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mist-20260630x10q.htm"/>
        <w:bookmarkStart w:id="1" w:name="ksmis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left"/>
        <w:rPr/>
      </w:pPr>
      <w:bookmarkStart w:id="2" w:name="_36bb6c1a_06d6_4cfd_80da_758c93ede4e1"/>
      <w:bookmarkEnd w:id="2"/>
      <w:r>
        <w:rPr/>
        <w:t>​</w:t>
      </w:r>
    </w:p>
    <w:p>
      <w:pPr>
        <w:pStyle w:val="TextBody"/>
        <w:bidi w:val="0"/>
        <w:spacing w:before="6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pBdr/>
        <w:bidi w:val="0"/>
        <w:spacing w:before="0" w:after="0"/>
        <w:ind w:left="0" w:right="0" w:hanging="49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001-38899</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44"/>
        </w:rPr>
      </w:pPr>
      <w:r>
        <w:rPr>
          <w:rFonts w:ascii="Times New Roman;Times;serif" w:hAnsi="Times New Roman;Times;serif"/>
          <w:b/>
          <w:sz w:val="44"/>
        </w:rPr>
        <w:t>Milestone Pharmaceuticals Inc.</w:t>
      </w:r>
      <w:r>
        <w:rPr>
          <w:rFonts w:ascii="Times New Roman;Times;serif" w:hAnsi="Times New Roman;Times;serif"/>
          <w:sz w:val="44"/>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yOtZ6wW5UW5TlPhBmkr7Q_1_2"/>
      <w:bookmarkStart w:id="4" w:name="Tc_2wsjaVNk50ysNxb8OXzCaA_1_0"/>
      <w:bookmarkStart w:id="5" w:name="_d43855c7_7611_46a6_836f_474327c131d4"/>
      <w:bookmarkStart w:id="6" w:name="Tc_byOtZ6wW5UW5TlPhBmkr7Q_1_2"/>
      <w:bookmarkStart w:id="7" w:name="Tc_2wsjaVNk50ysNxb8OXzCaA_1_0"/>
      <w:bookmarkStart w:id="8" w:name="_d43855c7_7611_46a6_836f_474327c131d4"/>
      <w:bookmarkEnd w:id="6"/>
      <w:bookmarkEnd w:id="7"/>
      <w:bookmarkEnd w:id="8"/>
    </w:p>
    <w:tbl>
      <w:tblPr>
        <w:tblW w:w="4023" w:type="dxa"/>
        <w:jc w:val="left"/>
        <w:tblInd w:w="0" w:type="dxa"/>
        <w:tblLayout w:type="fixed"/>
        <w:tblCellMar>
          <w:top w:w="0" w:type="dxa"/>
          <w:left w:w="0" w:type="dxa"/>
          <w:bottom w:w="0" w:type="dxa"/>
          <w:right w:w="0" w:type="dxa"/>
        </w:tblCellMar>
      </w:tblPr>
      <w:tblGrid>
        <w:gridCol w:w="2236"/>
        <w:gridCol w:w="346"/>
        <w:gridCol w:w="1441"/>
      </w:tblGrid>
      <w:tr>
        <w:trPr/>
        <w:tc>
          <w:tcPr>
            <w:tcW w:w="223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Québec</w:t>
            </w:r>
          </w:p>
        </w:tc>
        <w:tc>
          <w:tcPr>
            <w:tcW w:w="346" w:type="dxa"/>
            <w:tcBorders/>
            <w:vAlign w:val="center"/>
          </w:tcPr>
          <w:p>
            <w:pPr>
              <w:pStyle w:val="TableContents"/>
              <w:bidi w:val="0"/>
              <w:spacing w:before="0" w:after="0"/>
              <w:ind w:left="0" w:right="0" w:hanging="0"/>
              <w:jc w:val="center"/>
              <w:rPr/>
            </w:pPr>
            <w:r>
              <w:rPr/>
              <w:t>  ​ ​ ​</w:t>
            </w:r>
          </w:p>
        </w:tc>
        <w:tc>
          <w:tcPr>
            <w:tcW w:w="144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lineRule="atLeast" w:line="142" w:before="0" w:after="0"/>
        <w:ind w:left="0" w:right="0" w:hanging="0"/>
        <w:jc w:val="left"/>
        <w:rPr/>
      </w:pPr>
      <w:r>
        <w:rPr/>
        <w:t>​</w:t>
      </w:r>
    </w:p>
    <w:p>
      <w:pPr>
        <w:pStyle w:val="TextBody"/>
        <w:bidi w:val="0"/>
        <w:spacing w:before="60" w:after="0"/>
        <w:ind w:left="0" w:right="0" w:hanging="0"/>
        <w:jc w:val="center"/>
        <w:rPr>
          <w:rFonts w:ascii="Times New Roman;Times;serif" w:hAnsi="Times New Roman;Times;serif"/>
          <w:b/>
          <w:sz w:val="20"/>
        </w:rPr>
      </w:pPr>
      <w:r>
        <w:rPr>
          <w:rFonts w:ascii="Times New Roman;Times;serif" w:hAnsi="Times New Roman;Times;serif"/>
          <w:b/>
          <w:sz w:val="20"/>
        </w:rPr>
        <w:t>1111 Dr. Frederik-Philips Boulevard, Suite 420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Montréal, Québec</w:t>
      </w:r>
      <w:r>
        <w:rPr>
          <w:rFonts w:ascii="Times New Roman;Times;serif" w:hAnsi="Times New Roman;Times;serif"/>
          <w:sz w:val="20"/>
        </w:rPr>
        <w:t xml:space="preserve"> </w:t>
      </w:r>
      <w:r>
        <w:rPr>
          <w:rFonts w:ascii="Times New Roman;Times;serif" w:hAnsi="Times New Roman;Times;serif"/>
          <w:b/>
          <w:sz w:val="20"/>
        </w:rPr>
        <w:t>CA</w:t>
      </w:r>
      <w:r>
        <w:rPr>
          <w:rFonts w:ascii="Times New Roman;Times;serif" w:hAnsi="Times New Roman;Times;serif"/>
          <w:sz w:val="20"/>
        </w:rPr>
        <w:t xml:space="preserve"> </w:t>
      </w:r>
      <w:r>
        <w:rPr>
          <w:rFonts w:ascii="Times New Roman;Times;serif" w:hAnsi="Times New Roman;Times;serif"/>
          <w:b/>
          <w:sz w:val="20"/>
        </w:rPr>
        <w:t>H4M 2X6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(514) 336-0444</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including zip code, and telephone number, including area code, of registrant’s principal executive offices)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9" w:name="Tc_gkeN_78iyEiXuKmrhr32Yg_0_4"/>
      <w:bookmarkStart w:id="10" w:name="Tc_Ji4opcLBwE-EjpXegp_ozA_0_2"/>
      <w:bookmarkStart w:id="11" w:name="Tc_pomTDGjS4EmG1IOpmA2ZWQ_0_0"/>
      <w:bookmarkStart w:id="12" w:name="_cdd8d793_6eb4_41d1_b71e_4e4a049d9a8b"/>
      <w:bookmarkStart w:id="13" w:name="Tc_gkeN_78iyEiXuKmrhr32Yg_0_4"/>
      <w:bookmarkStart w:id="14" w:name="Tc_Ji4opcLBwE-EjpXegp_ozA_0_2"/>
      <w:bookmarkStart w:id="15" w:name="Tc_pomTDGjS4EmG1IOpmA2ZWQ_0_0"/>
      <w:bookmarkStart w:id="16" w:name="_cdd8d793_6eb4_41d1_b71e_4e4a049d9a8b"/>
      <w:bookmarkEnd w:id="13"/>
      <w:bookmarkEnd w:id="14"/>
      <w:bookmarkEnd w:id="15"/>
      <w:bookmarkEnd w:id="16"/>
    </w:p>
    <w:tbl>
      <w:tblPr>
        <w:tblW w:w="7190" w:type="dxa"/>
        <w:jc w:val="left"/>
        <w:tblInd w:w="0" w:type="dxa"/>
        <w:tblLayout w:type="fixed"/>
        <w:tblCellMar>
          <w:top w:w="0" w:type="dxa"/>
          <w:left w:w="0" w:type="dxa"/>
          <w:bottom w:w="28" w:type="dxa"/>
          <w:right w:w="0" w:type="dxa"/>
        </w:tblCellMar>
      </w:tblPr>
      <w:tblGrid>
        <w:gridCol w:w="1456"/>
        <w:gridCol w:w="346"/>
        <w:gridCol w:w="1561"/>
        <w:gridCol w:w="346"/>
        <w:gridCol w:w="3481"/>
      </w:tblGrid>
      <w:tr>
        <w:trPr/>
        <w:tc>
          <w:tcPr>
            <w:tcW w:w="145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45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Shares</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MIST</w:t>
            </w:r>
          </w:p>
        </w:tc>
        <w:tc>
          <w:tcPr>
            <w:tcW w:w="34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lineRule="atLeast" w:line="142" w:before="0" w:after="0"/>
        <w:ind w:left="0" w:right="0" w:hanging="0"/>
        <w:jc w:val="left"/>
        <w:rPr/>
      </w:pPr>
      <w:r>
        <w:rPr/>
        <w:t>​</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tU_PtBdDOUeFSMejc6MZxA_2_0"/>
      <w:bookmarkStart w:id="18" w:name="Tc_F5K5o7SO70-NSPYRCf2CRw_1_3"/>
      <w:bookmarkStart w:id="19" w:name="Tc_BAgJNzCUfkWDkie-J36VXQ_1_1"/>
      <w:bookmarkStart w:id="20" w:name="Tc_Y4bWPNYF00aO3wL5paGfEg_0_4"/>
      <w:bookmarkStart w:id="21" w:name="Tc_BAm3taQfz0SnmFRGaAzgCA_0_3"/>
      <w:bookmarkStart w:id="22" w:name="Tc_xUX4JNLreUWjL2v34iFjrA_0_1"/>
      <w:bookmarkStart w:id="23" w:name="Tc_BO7T9nHaRk-9ysE6M-bcBg_0_0"/>
      <w:bookmarkStart w:id="24" w:name="_7af8602e_d475_4b3d_887c_82b1d4ca3dfa"/>
      <w:bookmarkStart w:id="25" w:name="Tc_tU_PtBdDOUeFSMejc6MZxA_2_0"/>
      <w:bookmarkStart w:id="26" w:name="Tc_F5K5o7SO70-NSPYRCf2CRw_1_3"/>
      <w:bookmarkStart w:id="27" w:name="Tc_BAgJNzCUfkWDkie-J36VXQ_1_1"/>
      <w:bookmarkStart w:id="28" w:name="Tc_Y4bWPNYF00aO3wL5paGfEg_0_4"/>
      <w:bookmarkStart w:id="29" w:name="Tc_BAm3taQfz0SnmFRGaAzgCA_0_3"/>
      <w:bookmarkStart w:id="30" w:name="Tc_xUX4JNLreUWjL2v34iFjrA_0_1"/>
      <w:bookmarkStart w:id="31" w:name="Tc_BO7T9nHaRk-9ysE6M-bcBg_0_0"/>
      <w:bookmarkStart w:id="32" w:name="_7af8602e_d475_4b3d_887c_82b1d4ca3dfa"/>
      <w:bookmarkEnd w:id="25"/>
      <w:bookmarkEnd w:id="26"/>
      <w:bookmarkEnd w:id="27"/>
      <w:bookmarkEnd w:id="28"/>
      <w:bookmarkEnd w:id="29"/>
      <w:bookmarkEnd w:id="30"/>
      <w:bookmarkEnd w:id="31"/>
      <w:bookmarkEnd w:id="32"/>
    </w:p>
    <w:tbl>
      <w:tblPr>
        <w:tblW w:w="5423" w:type="dxa"/>
        <w:jc w:val="left"/>
        <w:tblInd w:w="0" w:type="dxa"/>
        <w:tblLayout w:type="fixed"/>
        <w:tblCellMar>
          <w:top w:w="0" w:type="dxa"/>
          <w:left w:w="0" w:type="dxa"/>
          <w:bottom w:w="0" w:type="dxa"/>
          <w:right w:w="0" w:type="dxa"/>
        </w:tblCellMar>
      </w:tblPr>
      <w:tblGrid>
        <w:gridCol w:w="2326"/>
        <w:gridCol w:w="316"/>
        <w:gridCol w:w="109"/>
        <w:gridCol w:w="2311"/>
        <w:gridCol w:w="361"/>
      </w:tblGrid>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72" w:type="dxa"/>
            <w:gridSpan w:val="2"/>
            <w:tcBorders/>
            <w:vAlign w:val="center"/>
          </w:tcPr>
          <w:p>
            <w:pPr>
              <w:pStyle w:val="TableContents"/>
              <w:bidi w:val="0"/>
              <w:spacing w:before="0" w:after="0"/>
              <w:ind w:left="0" w:right="0" w:hanging="0"/>
              <w:jc w:val="left"/>
              <w:rPr/>
            </w:pPr>
            <w:r>
              <w:rPr/>
              <w:t>​</w:t>
            </w:r>
          </w:p>
        </w:tc>
      </w:tr>
    </w:tbl>
    <w:p>
      <w:pPr>
        <w:pStyle w:val="TextBody"/>
        <w:bidi w:val="0"/>
        <w:spacing w:lineRule="atLeast" w:line="142" w:before="0" w:after="0"/>
        <w:ind w:left="0" w:right="0" w:hanging="0"/>
        <w:jc w:val="left"/>
        <w:rPr/>
      </w:pPr>
      <w:r>
        <w:rPr/>
        <w:t>​</w:t>
      </w:r>
    </w:p>
    <w:p>
      <w:pPr>
        <w:pStyle w:val="TextBody"/>
        <w:bidi w:val="0"/>
        <w:spacing w:before="0" w:after="120"/>
        <w:ind w:left="0" w:right="0" w:firstLine="490"/>
        <w:jc w:val="left"/>
        <w:rPr>
          <w:rFonts w:ascii="Times New Roman;Times;serif" w:hAnsi="Times New Roman;Times;serif"/>
          <w:sz w:val="2"/>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
        </w:rPr>
        <w:t>☐</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pBdr>
          <w:bottom w:val="single" w:sz="2" w:space="1" w:color="000000"/>
        </w:pBdr>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As of August 12, 2026, the registrant had 124,497,980 common shares, no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3" w:name="_3023d75b_d0ec_4914_b79f_783eb28cf046"/>
      <w:bookmarkEnd w:id="33"/>
      <w:r>
        <w:rPr/>
        <w:t>​</w:t>
      </w:r>
    </w:p>
    <w:p>
      <w:pPr>
        <w:pStyle w:val="TextBody"/>
        <w:bidi w:val="0"/>
        <w:spacing w:before="0" w:after="240"/>
        <w:ind w:left="0" w:right="0" w:firstLine="720"/>
        <w:jc w:val="center"/>
        <w:rPr>
          <w:rFonts w:ascii="Times New Roman;Times;serif" w:hAnsi="Times New Roman;Times;serif"/>
          <w:b/>
          <w:sz w:val="20"/>
        </w:rPr>
      </w:pPr>
      <w:bookmarkStart w:id="34" w:name="TOC"/>
      <w:bookmarkEnd w:id="34"/>
      <w:r>
        <w:rPr>
          <w:rFonts w:ascii="Times New Roman;Times;serif" w:hAnsi="Times New Roman;Times;serif"/>
          <w:b/>
          <w:sz w:val="20"/>
        </w:rPr>
        <w:t>Table of Contents</w:t>
      </w:r>
    </w:p>
    <w:tbl>
      <w:tblPr>
        <w:tblW w:w="8733" w:type="dxa"/>
        <w:jc w:val="left"/>
        <w:tblInd w:w="0" w:type="dxa"/>
        <w:tblLayout w:type="fixed"/>
        <w:tblCellMar>
          <w:top w:w="0" w:type="dxa"/>
          <w:left w:w="0" w:type="dxa"/>
          <w:bottom w:w="0" w:type="dxa"/>
          <w:right w:w="0" w:type="dxa"/>
        </w:tblCellMar>
      </w:tblPr>
      <w:tblGrid>
        <w:gridCol w:w="886"/>
        <w:gridCol w:w="7366"/>
        <w:gridCol w:w="481"/>
      </w:tblGrid>
      <w:tr>
        <w:trPr/>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62610" cy="29210"/>
                      <wp:effectExtent l="0" t="0" r="0" b="0"/>
                      <wp:wrapNone/>
                      <wp:docPr id="1" name="Frame1"/>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77410" cy="29210"/>
                      <wp:effectExtent l="0" t="0" r="0" b="0"/>
                      <wp:wrapNone/>
                      <wp:docPr id="2" name="Frame2"/>
                      <a:graphic xmlns:a="http://schemas.openxmlformats.org/drawingml/2006/main">
                        <a:graphicData uri="http://schemas.microsoft.com/office/word/2010/wordprocessingShape">
                          <wps:wsp>
                            <wps:cNvSpPr txBox="1"/>
                            <wps:spPr>
                              <a:xfrm>
                                <a:off x="0" y="0"/>
                                <a:ext cx="467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05435" cy="29210"/>
                      <wp:effectExtent l="0" t="0" r="0" b="0"/>
                      <wp:wrapNone/>
                      <wp:docPr id="3" name="Frame3"/>
                      <a:graphic xmlns:a="http://schemas.openxmlformats.org/drawingml/2006/main">
                        <a:graphicData uri="http://schemas.microsoft.com/office/word/2010/wordprocessingShape">
                          <wps:wsp>
                            <wps:cNvSpPr txBox="1"/>
                            <wps:spPr>
                              <a:xfrm>
                                <a:off x="0" y="0"/>
                                <a:ext cx="305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252" w:type="dxa"/>
            <w:gridSpan w:val="2"/>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8252" w:type="dxa"/>
            <w:gridSpan w:val="2"/>
            <w:tcBorders/>
            <w:vAlign w:val="center"/>
          </w:tcPr>
          <w:p>
            <w:pPr>
              <w:pStyle w:val="TableContents"/>
              <w:bidi w:val="0"/>
              <w:spacing w:before="0" w:after="0"/>
              <w:ind w:left="0" w:right="0" w:hanging="0"/>
              <w:jc w:val="left"/>
              <w:rPr/>
            </w:pPr>
            <w:hyperlink w:anchor="SPECIALNOTEREGARDINGFORWARDLOOKIN">
              <w:r>
                <w:rPr>
                  <w:rStyle w:val="InternetLink"/>
                  <w:rFonts w:ascii="Times New Roman;Times;serif" w:hAnsi="Times New Roman;Times;serif"/>
                  <w:b/>
                  <w:i w:val="false"/>
                  <w:caps w:val="false"/>
                  <w:smallCaps w:val="false"/>
                  <w:sz w:val="20"/>
                </w:rPr>
                <w:t>SPECIAL NOTE REGARDING FORWARD-LOOKING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252" w:type="dxa"/>
            <w:gridSpan w:val="2"/>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i w:val="false"/>
                  <w:caps w:val="false"/>
                  <w:smallCaps w:val="false"/>
                  <w:sz w:val="20"/>
                </w:rPr>
                <w:t>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
              <w:r>
                <w:rPr>
                  <w:rStyle w:val="InternetLink"/>
                  <w:rFonts w:ascii="Times New Roman;Times;serif" w:hAnsi="Times New Roman;Times;serif"/>
                  <w:b w:val="false"/>
                  <w:i w:val="false"/>
                  <w:caps w:val="false"/>
                  <w:smallCaps w:val="false"/>
                  <w:sz w:val="20"/>
                </w:rPr>
                <w:t>Condensed Consolidated Balance Sheets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Loss">
              <w:r>
                <w:rPr>
                  <w:rStyle w:val="InternetLink"/>
                  <w:rFonts w:ascii="Times New Roman;Times;serif" w:hAnsi="Times New Roman;Times;serif"/>
                  <w:b w:val="false"/>
                  <w:i w:val="false"/>
                  <w:caps w:val="false"/>
                  <w:smallCaps w:val="false"/>
                  <w:sz w:val="20"/>
                </w:rPr>
                <w:t>Condensed Consolidated Statements of Loss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Shareh">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CashFlows">
              <w:r>
                <w:rPr>
                  <w:rStyle w:val="InternetLink"/>
                  <w:rFonts w:ascii="Times New Roman;Times;serif" w:hAnsi="Times New Roman;Times;serif"/>
                  <w:b w:val="false"/>
                  <w:i w:val="false"/>
                  <w:caps w:val="false"/>
                  <w:smallCaps w:val="false"/>
                  <w:sz w:val="20"/>
                </w:rPr>
                <w:t>Condensed Consolidated Statements of Cash Flows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1Organizationandnatureofoperations_3301">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8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8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86"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
              <w:r>
                <w:rPr>
                  <w:rStyle w:val="InternetLink"/>
                  <w:rFonts w:ascii="Times New Roman;Times;serif" w:hAnsi="Times New Roman;Times;serif"/>
                  <w:b/>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86"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8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86" w:type="dxa"/>
            <w:tcBorders/>
            <w:vAlign w:val="center"/>
          </w:tcPr>
          <w:p>
            <w:pPr>
              <w:pStyle w:val="TableContents"/>
              <w:bidi w:val="0"/>
              <w:spacing w:before="0" w:after="0"/>
              <w:ind w:left="0" w:right="0" w:hanging="0"/>
              <w:jc w:val="left"/>
              <w:rPr/>
            </w:pPr>
            <w:hyperlink w:anchor="Item2UnregisteredSalesofEquitySec">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86"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86" w:type="dxa"/>
            <w:tcBorders/>
            <w:vAlign w:val="center"/>
          </w:tcPr>
          <w:p>
            <w:pPr>
              <w:pStyle w:val="TableContents"/>
              <w:bidi w:val="0"/>
              <w:spacing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8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86"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lineRule="atLeast" w:line="240"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35" w:name="_78bb8fbd_a18d_41f5_9787_d6f6f3e7d8fc"/>
      <w:bookmarkEnd w:id="35"/>
      <w:r>
        <w:rPr/>
        <w:t>“</w:t>
      </w:r>
      <w:r>
        <w:rPr>
          <w:rFonts w:ascii="Times New Roman;Times;serif" w:hAnsi="Times New Roman;Times;serif"/>
          <w:sz w:val="20"/>
        </w:rPr>
        <w:t>Milestone Pharmaceuticals” and the Milestone logo appearing in this Quarterly Report on Form 10-Q are unregistered trademarks of Milestone Pharmaceuticals Inc. All other trademarks, trade names and service marks appearing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references to United States dollars and Canadian dollars. All dollar amounts referenced, unless otherwise indicated, are expressed in United States dollars. References to “$” are to United States dollars and references to “C$” are to Canadian dollars.</w:t>
      </w:r>
    </w:p>
    <w:p>
      <w:pPr>
        <w:pStyle w:val="TextBody"/>
        <w:bidi w:val="0"/>
        <w:spacing w:before="0" w:after="200"/>
        <w:ind w:left="0" w:right="0" w:hanging="0"/>
        <w:jc w:val="center"/>
        <w:rPr>
          <w:rFonts w:ascii="Times New Roman;Times;serif" w:hAnsi="Times New Roman;Times;serif"/>
          <w:b/>
          <w:sz w:val="20"/>
        </w:rPr>
      </w:pPr>
      <w:bookmarkStart w:id="36" w:name="SPECIALNOTEREGARDINGFORWARDLOOKIN"/>
      <w:bookmarkEnd w:id="36"/>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Quarterly Report on Form 10-Q, regarding,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the commercialization of CARDAMYST™ (etripamil) nasal spray for the conversion of acute symptomatic episodes of paroxysmal supraventricular tachycardia, or “PSVT,” to sinus rhythm in adults as well as our plans to develop and commercialize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timing, progress, and results of our current and future clinical trials of etripamil, including our Phase 3 clinical trial of etripamil for the treatment of atrial fibrillation and rapid ventricular rate, and of our research and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develop and, if approved by regulatory authorities, commercialize etripamil in China, Hong Kong, Macau, and Taiwan through our license agreement with our partner Everest Medicines, formerly partnered with Corxel Pharmaceuticals; </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estimates regarding expenses, future revenue, capital requirements, and needs for additional financing; </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establish collaborations or obtain additional funding;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obtain regulatory approval of our current products for new indications and/or of our future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the potential market size and the rate and degree of market acceptance of etripamil and any future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fund our working capital requirements and expectations regarding the sufficiency of our capital resources;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of our business model and strategic plans for our business, etripamil, and any future product candidates; </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intellectual property position and the duration of our patent rights; </w:t>
            </w:r>
          </w:p>
        </w:tc>
      </w:tr>
    </w:tbl>
    <w:tbl>
      <w:tblPr>
        <w:tblW w:w="7821" w:type="dxa"/>
        <w:jc w:val="left"/>
        <w:tblInd w:w="0" w:type="dxa"/>
        <w:tblLayout w:type="fixed"/>
        <w:tblCellMar>
          <w:top w:w="28" w:type="dxa"/>
          <w:left w:w="28" w:type="dxa"/>
          <w:bottom w:w="28" w:type="dxa"/>
          <w:right w:w="28" w:type="dxa"/>
        </w:tblCellMar>
      </w:tblPr>
      <w:tblGrid>
        <w:gridCol w:w="124"/>
        <w:gridCol w:w="25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or disputes concerning our intellectual property or other proprietary rights; </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regarding government and third-party payor coverage and reimbursement; </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in the markets we serve; </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government laws and regulations; </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international trade policies, including tariffs, sanctions, and trade barriers; and</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factors that may impact our financial results.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foregoing list of risks is not exhaustive. Other sections of this Quarterly Report on Form 10-Q and the section titled “Risk Factors” </w:t>
      </w:r>
      <w:r>
        <w:rPr>
          <w:rFonts w:ascii="Times New Roman;Times;serif" w:hAnsi="Times New Roman;Times;serif"/>
          <w:color w:val="333333"/>
          <w:sz w:val="20"/>
          <w:shd w:fill="FFFFFF" w:val="clear"/>
        </w:rPr>
        <w:t>previously disclosed in Part I, Item 1A.</w:t>
      </w:r>
      <w:r>
        <w:rPr>
          <w:rFonts w:ascii="Times New Roman;Times;serif" w:hAnsi="Times New Roman;Times;serif"/>
          <w:sz w:val="20"/>
        </w:rPr>
        <w:t xml:space="preserve"> in our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w:t>
      </w:r>
      <w:r>
        <w:rPr>
          <w:rFonts w:ascii="Times New Roman;Times;serif" w:hAnsi="Times New Roman;Times;serif"/>
          <w:color w:val="333333"/>
          <w:sz w:val="20"/>
          <w:shd w:fill="FFFFFF" w:val="clear"/>
        </w:rPr>
        <w:t>previously disclosed in Part I, Item 1A.</w:t>
      </w:r>
      <w:r>
        <w:rPr>
          <w:rFonts w:ascii="Times New Roman;Times;serif" w:hAnsi="Times New Roman;Times;serif"/>
          <w:sz w:val="20"/>
        </w:rPr>
        <w:t xml:space="preserve"> in our Annual Report on Form 10-K, filed with the SEC and under Milestone’s SEDAR+ profile at www.sedarplus.com on March 20, 2026,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7" w:name="Part1"/>
      <w:bookmarkStart w:id="38" w:name="_88b1038f_eb02_4d35_b9a0_a122075c06b7"/>
      <w:bookmarkEnd w:id="37"/>
      <w:bookmarkEnd w:id="38"/>
      <w:r>
        <w:rPr>
          <w:rFonts w:ascii="Times New Roman;Times;serif" w:hAnsi="Times New Roman;Times;serif"/>
          <w:b/>
          <w:sz w:val="20"/>
        </w:rPr>
        <w:t>PART I—FINANCIAL INFORMATION</w:t>
      </w:r>
    </w:p>
    <w:p>
      <w:pPr>
        <w:pStyle w:val="TextBody"/>
        <w:bidi w:val="0"/>
        <w:spacing w:before="0" w:after="0"/>
        <w:ind w:left="0" w:right="0" w:hanging="0"/>
        <w:jc w:val="left"/>
        <w:rPr>
          <w:rFonts w:ascii="Times New Roman;Times;serif" w:hAnsi="Times New Roman;Times;serif"/>
          <w:b/>
          <w:sz w:val="20"/>
        </w:rPr>
      </w:pPr>
      <w:bookmarkStart w:id="39" w:name="Item1FinancialStatements"/>
      <w:bookmarkEnd w:id="39"/>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sz w:val="20"/>
        </w:rPr>
      </w:pPr>
      <w:bookmarkStart w:id="40" w:name="CondensedConsolidatedBalanceSheets"/>
      <w:bookmarkEnd w:id="40"/>
      <w:r>
        <w:rPr>
          <w:rFonts w:ascii="Times New Roman;Times;serif" w:hAnsi="Times New Roman;Times;serif"/>
          <w:b/>
          <w:sz w:val="20"/>
        </w:rPr>
        <w:t>Condensed Consolidated Balance Sheets</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 w:name="Tc_dcgd5CLdMk22F7tzsZ3iYw_43_5"/>
      <w:bookmarkStart w:id="42" w:name="Tc_HWImMNa4Yk6pxUFXeHdFsQ_43_2"/>
      <w:bookmarkStart w:id="43" w:name="Tc_qjA7nwXMTUuixsNn1Ti2Xg_43_0"/>
      <w:bookmarkStart w:id="44" w:name="Tc_VmzeVpwQJEm767-HKt3rmA_41_0"/>
      <w:bookmarkStart w:id="45" w:name="Tc_XhaN49e2QkCYXiUtp6qlGQ_39_0"/>
      <w:bookmarkStart w:id="46" w:name="Tc_o_Mf0jgcgUe2_VY1kRjuLg_38_0"/>
      <w:bookmarkStart w:id="47" w:name="Tc_IJBMzpWMn0KBuBbH5q1E4A_37_0"/>
      <w:bookmarkStart w:id="48" w:name="_9bd545a1_2439_4fcd_a217_2202db27de12_3"/>
      <w:bookmarkStart w:id="49" w:name="_9bd545a1_2439_4fcd_a217_2202db27de12_2"/>
      <w:bookmarkStart w:id="50" w:name="_9bd545a1_2439_4fcd_a217_2202db27de12"/>
      <w:bookmarkStart w:id="51" w:name="Tc_kpVEr1iRVkuiykHr5E-MHQ_36_0"/>
      <w:bookmarkStart w:id="52" w:name="Tc_bNnafm2C3kO75yQIKhZsdA_35_0"/>
      <w:bookmarkStart w:id="53" w:name="Tc_Ua9KmZU7A0aruO-Upxy7mA_32_0"/>
      <w:bookmarkStart w:id="54" w:name="Tc_y8DCJvcUvESnPxVtwwnRoQ_31_0"/>
      <w:bookmarkStart w:id="55" w:name="Tc_4Moltg34nkW85ZFp4dlI5Q_30_6"/>
      <w:bookmarkStart w:id="56" w:name="Tc_l0qu0nl7H0uW4kH0ek-5DA_30_0"/>
      <w:bookmarkStart w:id="57" w:name="Tc_-Z43YBnhjEqlVNumutwXWg_29_0"/>
      <w:bookmarkStart w:id="58" w:name="Tc_8ZFV0vUAtkKiO3JRFhWmuw_28_0"/>
      <w:bookmarkStart w:id="59" w:name="Tc_mKFsturgwUCH754poVwebg_27_0"/>
      <w:bookmarkStart w:id="60" w:name="Tc_ky7m3CYv8kC_QwoKgV8bEw_26_0"/>
      <w:bookmarkStart w:id="61" w:name="Tc_w0gaqGsUAUKQHIKp7qMKXA_25_6"/>
      <w:bookmarkStart w:id="62" w:name="Tc_ckBjEQiNQEOOvJSOKg-ZrQ_25_0"/>
      <w:bookmarkStart w:id="63" w:name="Tc_QNJAfxtuZEGvTmF4kRiiIg_24_0"/>
      <w:bookmarkStart w:id="64" w:name="Tc_0__KSN1nbUWDK87TPljlaQ_23_0"/>
      <w:bookmarkStart w:id="65" w:name="Tc_TEsQRrp_mEK4i-HYIWf-Pg_22_5"/>
      <w:bookmarkStart w:id="66" w:name="Tc_nQlx5zjT7EypAHo87WBGBg_22_2"/>
      <w:bookmarkStart w:id="67" w:name="Tc_MdRXP4Lxf0q7a79HC_KWxg_22_0"/>
      <w:bookmarkStart w:id="68" w:name="Tc_tXmfw0BfVESimGwaCTu0kw_21_0"/>
      <w:bookmarkStart w:id="69" w:name="Tc_RiQ0ngyQH0qVeAGTWXJxWA_19_0"/>
      <w:bookmarkStart w:id="70" w:name="Tc_tq50v4yZAk6ymS5OPQoAjw_17_5"/>
      <w:bookmarkStart w:id="71" w:name="Tc_Nx-dDt-AM0GnY5LkWuwp7Q_17_2"/>
      <w:bookmarkStart w:id="72" w:name="Tc_OX6SczyNN0aQDbvyfmAJlQ_17_0"/>
      <w:bookmarkStart w:id="73" w:name="Tc_ANFCDCcNdEOHlgvyArJTtg_16_0"/>
      <w:bookmarkStart w:id="74" w:name="Tc_4GQF7bnPSkCoRcr7VB_Kuw_15_0"/>
      <w:bookmarkStart w:id="75" w:name="Tc_sEuKHgqjMEG7Mfy4ZZjWhg_14_0"/>
      <w:bookmarkStart w:id="76" w:name="Tc_FBeqtyrCrEqdU6n6LC-zFQ_13_0"/>
      <w:bookmarkStart w:id="77" w:name="Tc_5mN8bAwAe0KCq4FanzBzFQ_12_0"/>
      <w:bookmarkStart w:id="78" w:name="Tc_B6GT1wT1JECN9c2zlsecCQ_11_0"/>
      <w:bookmarkStart w:id="79" w:name="Tc_iCRP9dvf30a1Uw_UVBCv8g_10_0"/>
      <w:bookmarkStart w:id="80" w:name="Tc_5gcmMqilY0es18EBG7UGbA_9_3"/>
      <w:bookmarkStart w:id="81" w:name="Tc_0LqNa0s0EkqEAmtxTfdSEw_9_0"/>
      <w:bookmarkStart w:id="82" w:name="Tc_TpaOT3Kd10q5xncFkis6zQ_8_6"/>
      <w:bookmarkStart w:id="83" w:name="Tc_ZvAzeOD7RUqT3fXGO8PSbw_8_0"/>
      <w:bookmarkStart w:id="84" w:name="Tc_2cNFH-PVAkSccexsj2WL7w_7_0"/>
      <w:bookmarkStart w:id="85" w:name="Tc_-B_bu93X6EKpPpvD_dhemg_6_5"/>
      <w:bookmarkStart w:id="86" w:name="Tc_nvFhS61iTEifu2qZI4GBkg_6_2"/>
      <w:bookmarkStart w:id="87" w:name="Tc_nMFJ969s30itXAy2KaRIHQ_6_0"/>
      <w:bookmarkStart w:id="88" w:name="Tc_RbqtO1a2eE6IpkrJxntPxw_5_0"/>
      <w:bookmarkStart w:id="89" w:name="Tc_q71FFthbU02GVLeRfe-rhQ_3_0"/>
      <w:bookmarkStart w:id="90" w:name="Tc_f21c03lRmEyky5AOcmT8Sw_2_5"/>
      <w:bookmarkStart w:id="91" w:name="Tc_lmNyKnJovU2uf9dtCJImeg_2_2"/>
      <w:bookmarkStart w:id="92" w:name="_e78ee92f_31b3_4366_a253_ee3d143f2de0"/>
      <w:bookmarkStart w:id="93" w:name="Tc_dcgd5CLdMk22F7tzsZ3iYw_43_5"/>
      <w:bookmarkStart w:id="94" w:name="Tc_HWImMNa4Yk6pxUFXeHdFsQ_43_2"/>
      <w:bookmarkStart w:id="95" w:name="Tc_qjA7nwXMTUuixsNn1Ti2Xg_43_0"/>
      <w:bookmarkStart w:id="96" w:name="Tc_VmzeVpwQJEm767-HKt3rmA_41_0"/>
      <w:bookmarkStart w:id="97" w:name="Tc_XhaN49e2QkCYXiUtp6qlGQ_39_0"/>
      <w:bookmarkStart w:id="98" w:name="Tc_o_Mf0jgcgUe2_VY1kRjuLg_38_0"/>
      <w:bookmarkStart w:id="99" w:name="Tc_IJBMzpWMn0KBuBbH5q1E4A_37_0"/>
      <w:bookmarkStart w:id="100" w:name="_9bd545a1_2439_4fcd_a217_2202db27de12_3"/>
      <w:bookmarkStart w:id="101" w:name="_9bd545a1_2439_4fcd_a217_2202db27de12_2"/>
      <w:bookmarkStart w:id="102" w:name="_9bd545a1_2439_4fcd_a217_2202db27de12"/>
      <w:bookmarkStart w:id="103" w:name="Tc_kpVEr1iRVkuiykHr5E-MHQ_36_0"/>
      <w:bookmarkStart w:id="104" w:name="Tc_bNnafm2C3kO75yQIKhZsdA_35_0"/>
      <w:bookmarkStart w:id="105" w:name="Tc_Ua9KmZU7A0aruO-Upxy7mA_32_0"/>
      <w:bookmarkStart w:id="106" w:name="Tc_y8DCJvcUvESnPxVtwwnRoQ_31_0"/>
      <w:bookmarkStart w:id="107" w:name="Tc_4Moltg34nkW85ZFp4dlI5Q_30_6"/>
      <w:bookmarkStart w:id="108" w:name="Tc_l0qu0nl7H0uW4kH0ek-5DA_30_0"/>
      <w:bookmarkStart w:id="109" w:name="Tc_-Z43YBnhjEqlVNumutwXWg_29_0"/>
      <w:bookmarkStart w:id="110" w:name="Tc_8ZFV0vUAtkKiO3JRFhWmuw_28_0"/>
      <w:bookmarkStart w:id="111" w:name="Tc_mKFsturgwUCH754poVwebg_27_0"/>
      <w:bookmarkStart w:id="112" w:name="Tc_ky7m3CYv8kC_QwoKgV8bEw_26_0"/>
      <w:bookmarkStart w:id="113" w:name="Tc_w0gaqGsUAUKQHIKp7qMKXA_25_6"/>
      <w:bookmarkStart w:id="114" w:name="Tc_ckBjEQiNQEOOvJSOKg-ZrQ_25_0"/>
      <w:bookmarkStart w:id="115" w:name="Tc_QNJAfxtuZEGvTmF4kRiiIg_24_0"/>
      <w:bookmarkStart w:id="116" w:name="Tc_0__KSN1nbUWDK87TPljlaQ_23_0"/>
      <w:bookmarkStart w:id="117" w:name="Tc_TEsQRrp_mEK4i-HYIWf-Pg_22_5"/>
      <w:bookmarkStart w:id="118" w:name="Tc_nQlx5zjT7EypAHo87WBGBg_22_2"/>
      <w:bookmarkStart w:id="119" w:name="Tc_MdRXP4Lxf0q7a79HC_KWxg_22_0"/>
      <w:bookmarkStart w:id="120" w:name="Tc_tXmfw0BfVESimGwaCTu0kw_21_0"/>
      <w:bookmarkStart w:id="121" w:name="Tc_RiQ0ngyQH0qVeAGTWXJxWA_19_0"/>
      <w:bookmarkStart w:id="122" w:name="Tc_tq50v4yZAk6ymS5OPQoAjw_17_5"/>
      <w:bookmarkStart w:id="123" w:name="Tc_Nx-dDt-AM0GnY5LkWuwp7Q_17_2"/>
      <w:bookmarkStart w:id="124" w:name="Tc_OX6SczyNN0aQDbvyfmAJlQ_17_0"/>
      <w:bookmarkStart w:id="125" w:name="Tc_ANFCDCcNdEOHlgvyArJTtg_16_0"/>
      <w:bookmarkStart w:id="126" w:name="Tc_4GQF7bnPSkCoRcr7VB_Kuw_15_0"/>
      <w:bookmarkStart w:id="127" w:name="Tc_sEuKHgqjMEG7Mfy4ZZjWhg_14_0"/>
      <w:bookmarkStart w:id="128" w:name="Tc_FBeqtyrCrEqdU6n6LC-zFQ_13_0"/>
      <w:bookmarkStart w:id="129" w:name="Tc_5mN8bAwAe0KCq4FanzBzFQ_12_0"/>
      <w:bookmarkStart w:id="130" w:name="Tc_B6GT1wT1JECN9c2zlsecCQ_11_0"/>
      <w:bookmarkStart w:id="131" w:name="Tc_iCRP9dvf30a1Uw_UVBCv8g_10_0"/>
      <w:bookmarkStart w:id="132" w:name="Tc_5gcmMqilY0es18EBG7UGbA_9_3"/>
      <w:bookmarkStart w:id="133" w:name="Tc_0LqNa0s0EkqEAmtxTfdSEw_9_0"/>
      <w:bookmarkStart w:id="134" w:name="Tc_TpaOT3Kd10q5xncFkis6zQ_8_6"/>
      <w:bookmarkStart w:id="135" w:name="Tc_ZvAzeOD7RUqT3fXGO8PSbw_8_0"/>
      <w:bookmarkStart w:id="136" w:name="Tc_2cNFH-PVAkSccexsj2WL7w_7_0"/>
      <w:bookmarkStart w:id="137" w:name="Tc_-B_bu93X6EKpPpvD_dhemg_6_5"/>
      <w:bookmarkStart w:id="138" w:name="Tc_nvFhS61iTEifu2qZI4GBkg_6_2"/>
      <w:bookmarkStart w:id="139" w:name="Tc_nMFJ969s30itXAy2KaRIHQ_6_0"/>
      <w:bookmarkStart w:id="140" w:name="Tc_RbqtO1a2eE6IpkrJxntPxw_5_0"/>
      <w:bookmarkStart w:id="141" w:name="Tc_q71FFthbU02GVLeRfe-rhQ_3_0"/>
      <w:bookmarkStart w:id="142" w:name="Tc_f21c03lRmEyky5AOcmT8Sw_2_5"/>
      <w:bookmarkStart w:id="143" w:name="Tc_lmNyKnJovU2uf9dtCJImeg_2_2"/>
      <w:bookmarkStart w:id="144" w:name="_e78ee92f_31b3_4366_a253_ee3d143f2de0"/>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tbl>
      <w:tblPr>
        <w:tblW w:w="10205" w:type="dxa"/>
        <w:jc w:val="left"/>
        <w:tblInd w:w="0" w:type="dxa"/>
        <w:tblLayout w:type="fixed"/>
        <w:tblCellMar>
          <w:top w:w="0" w:type="dxa"/>
          <w:left w:w="0" w:type="dxa"/>
          <w:bottom w:w="0" w:type="dxa"/>
          <w:right w:w="0" w:type="dxa"/>
        </w:tblCellMar>
      </w:tblPr>
      <w:tblGrid>
        <w:gridCol w:w="6841"/>
        <w:gridCol w:w="346"/>
        <w:gridCol w:w="233"/>
        <w:gridCol w:w="893"/>
        <w:gridCol w:w="346"/>
        <w:gridCol w:w="305"/>
        <w:gridCol w:w="1241"/>
      </w:tblGrid>
      <w:tr>
        <w:trPr/>
        <w:tc>
          <w:tcPr>
            <w:tcW w:w="6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44035" cy="175260"/>
                      <wp:effectExtent l="0" t="0" r="0" b="0"/>
                      <wp:wrapNone/>
                      <wp:docPr id="4" name="Frame4"/>
                      <a:graphic xmlns:a="http://schemas.openxmlformats.org/drawingml/2006/main">
                        <a:graphicData uri="http://schemas.microsoft.com/office/word/2010/wordprocessingShape">
                          <wps:wsp>
                            <wps:cNvSpPr txBox="1"/>
                            <wps:spPr>
                              <a:xfrm>
                                <a:off x="0" y="0"/>
                                <a:ext cx="434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7955" cy="175260"/>
                      <wp:effectExtent l="0" t="0" r="0" b="0"/>
                      <wp:wrapNone/>
                      <wp:docPr id="6" name="Frame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7055" cy="175260"/>
                      <wp:effectExtent l="0" t="0" r="0" b="0"/>
                      <wp:wrapNone/>
                      <wp:docPr id="7" name="Frame7"/>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3675" cy="175260"/>
                      <wp:effectExtent l="0" t="0" r="0" b="0"/>
                      <wp:wrapNone/>
                      <wp:docPr id="9" name="Frame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8035" cy="175260"/>
                      <wp:effectExtent l="0" t="0" r="0" b="0"/>
                      <wp:wrapNone/>
                      <wp:docPr id="10" name="Frame10"/>
                      <a:graphic xmlns:a="http://schemas.openxmlformats.org/drawingml/2006/main">
                        <a:graphicData uri="http://schemas.microsoft.com/office/word/2010/wordprocessingShape">
                          <wps:wsp>
                            <wps:cNvSpPr txBox="1"/>
                            <wps:spPr>
                              <a:xfrm>
                                <a:off x="0" y="0"/>
                                <a:ext cx="788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center"/>
              <w:rPr/>
            </w:pPr>
            <w:r>
              <w:rPr/>
              <w:t>​</w:t>
            </w:r>
          </w:p>
        </w:tc>
        <w:tc>
          <w:tcPr>
            <w:tcW w:w="8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left"/>
              <w:rPr/>
            </w:pPr>
            <w:r>
              <w:rPr/>
              <w:t>​</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  ​</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  ​</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169,728</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73,046</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881</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32,914</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2,720</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License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1,546</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tax credits receivable</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515</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Prepaid expenses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1,035</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1,805</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4,722</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648</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receivables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1,646</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180,327</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111,921</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346" w:type="dxa"/>
            <w:tcBorders/>
            <w:vAlign w:val="center"/>
          </w:tcPr>
          <w:p>
            <w:pPr>
              <w:pStyle w:val="TableContents"/>
              <w:bidi w:val="0"/>
              <w:spacing w:before="0" w:after="0"/>
              <w:ind w:left="0" w:right="0" w:hanging="0"/>
              <w:jc w:val="left"/>
              <w:rPr/>
            </w:pPr>
            <w:r>
              <w:rPr/>
              <w:t> </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181,625</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113,561</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  ​</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  ​</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8,454</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Accrued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11,983</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7,644</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647</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22,184</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13,979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Senior secured convertible notes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59,207</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57,191</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Royalty financing obligation, long-term</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81,763</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163,407</w:t>
            </w:r>
          </w:p>
        </w:tc>
        <w:tc>
          <w:tcPr>
            <w:tcW w:w="346" w:type="dxa"/>
            <w:tcBorders/>
            <w:vAlign w:val="center"/>
          </w:tcPr>
          <w:p>
            <w:pPr>
              <w:pStyle w:val="TableContents"/>
              <w:bidi w:val="0"/>
              <w:spacing w:before="0" w:after="0"/>
              <w:ind w:left="0" w:right="0" w:hanging="0"/>
              <w:jc w:val="left"/>
              <w:rPr/>
            </w:pPr>
            <w:r>
              <w:rPr/>
              <w:t> </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71,792</w:t>
            </w:r>
          </w:p>
        </w:tc>
      </w:tr>
      <w:tr>
        <w:trPr/>
        <w:tc>
          <w:tcPr>
            <w:tcW w:w="68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pPr>
            <w:r>
              <w:rPr/>
              <w:t>  ​</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shares, no par value, unlimited shares authorized, 124,497,980 shares issued and outstanding as of June 30, 2026, 106,236,344 shares issued and outstanding as of December 31, 2025</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384,985</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352,619</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Pre-funded warrants - 16,412,925 issued and outstanding as of June 30, 2026, and 16,412,925 as of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55,649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55,649</w:t>
            </w:r>
          </w:p>
        </w:tc>
      </w:tr>
      <w:tr>
        <w:trPr/>
        <w:tc>
          <w:tcPr>
            <w:tcW w:w="68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62,867</w:t>
            </w:r>
          </w:p>
        </w:tc>
        <w:tc>
          <w:tcPr>
            <w:tcW w:w="346"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64,104</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(485,283)</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(430,603)</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1241" w:type="dxa"/>
            <w:tcBorders/>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shareholders’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18,218</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41,769</w:t>
            </w:r>
          </w:p>
        </w:tc>
      </w:tr>
      <w:tr>
        <w:trPr/>
        <w:tc>
          <w:tcPr>
            <w:tcW w:w="6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4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Total liabilities and shareholders’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181,625</w:t>
            </w:r>
          </w:p>
        </w:tc>
        <w:tc>
          <w:tcPr>
            <w:tcW w:w="346" w:type="dxa"/>
            <w:tcBorders/>
            <w:shd w:fill="CCEEFF" w:val="clear"/>
            <w:vAlign w:val="center"/>
          </w:tcPr>
          <w:p>
            <w:pPr>
              <w:pStyle w:val="TableContents"/>
              <w:bidi w:val="0"/>
              <w:spacing w:before="0" w:after="0"/>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1" w:type="dxa"/>
            <w:tcBorders>
              <w:bottom w:val="double" w:sz="6" w:space="0" w:color="000000"/>
            </w:tcBorders>
            <w:shd w:fill="CCEEFF" w:val="clear"/>
            <w:tcMar>
              <w:bottom w:w="28" w:type="dxa"/>
            </w:tcMar>
            <w:vAlign w:val="center"/>
          </w:tcPr>
          <w:p>
            <w:pPr>
              <w:pStyle w:val="TableContents"/>
              <w:bidi w:val="0"/>
              <w:spacing w:before="0" w:after="0"/>
              <w:ind w:left="0" w:right="54" w:hanging="0"/>
              <w:jc w:val="right"/>
              <w:rPr>
                <w:rFonts w:ascii="Times New Roman;Times;serif" w:hAnsi="Times New Roman;Times;serif"/>
                <w:sz w:val="16"/>
              </w:rPr>
            </w:pPr>
            <w:r>
              <w:rPr>
                <w:rFonts w:ascii="Times New Roman;Times;serif" w:hAnsi="Times New Roman;Times;serif"/>
                <w:sz w:val="16"/>
              </w:rPr>
              <w:t>113,561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5" w:name="_24222cba_9173_4822_b4a7_4701f06ba4ab"/>
      <w:bookmarkEnd w:id="145"/>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sz w:val="20"/>
        </w:rPr>
      </w:pPr>
      <w:bookmarkStart w:id="146" w:name="CondensedConsolidatedStatementsofLoss"/>
      <w:bookmarkEnd w:id="146"/>
      <w:r>
        <w:rPr>
          <w:rFonts w:ascii="Times New Roman;Times;serif" w:hAnsi="Times New Roman;Times;serif"/>
          <w:b/>
          <w:sz w:val="20"/>
        </w:rPr>
        <w:t>Condensed Consolidated Statements of Loss</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7" w:name="Tc_7wx07ZfO2kKypqI-UJPEGQ_25_11"/>
      <w:bookmarkStart w:id="148" w:name="Tc_wVsaw4-jaU6eNaX0I6yKhg_25_8"/>
      <w:bookmarkStart w:id="149" w:name="Tc_XJZJZneY2k2d2r6RSJyKug_25_5"/>
      <w:bookmarkStart w:id="150" w:name="Tc_oWQjQRepXECdHu5qHG5_-A_25_2"/>
      <w:bookmarkStart w:id="151" w:name="Tc_HQn-WrhWCEKJB1XPS5XqHA_25_0"/>
      <w:bookmarkStart w:id="152" w:name="Tc_esNpVxjZF0mx_N7FWOq5sw_23_0"/>
      <w:bookmarkStart w:id="153" w:name="Tc_f1mcxCa07EuYKZPomZ1R-Q_21_11"/>
      <w:bookmarkStart w:id="154" w:name="Tc_cNloKcJQeEW9yh-ZpOYnRg_21_8"/>
      <w:bookmarkStart w:id="155" w:name="Tc_2JzhlgzGa0-HSSqYQQnFrw_21_5"/>
      <w:bookmarkStart w:id="156" w:name="Tc_O2BhgBmrSECOa1KsCuJb3w_21_2"/>
      <w:bookmarkStart w:id="157" w:name="Tc_V6i3dOe_sEu_v2RD7Bp9dA_21_0"/>
      <w:bookmarkStart w:id="158" w:name="Tc_ca4dwd2Y80C6rqeGq-Xezg_19_0"/>
      <w:bookmarkStart w:id="159" w:name="Tc_NfqWNENtsEiWXEbpTuqD5A_18_0"/>
      <w:bookmarkStart w:id="160" w:name="Tc_TLGsYQr3ckeX5i0WnMdZiw_16_0"/>
      <w:bookmarkStart w:id="161" w:name="Tc_wMf4kitNdkOM_xhYHDILeA_14_0"/>
      <w:bookmarkStart w:id="162" w:name="Tc_HeHK8n16FkiVk4_Vs20RXQ_13_0"/>
      <w:bookmarkStart w:id="163" w:name="Tc_DsBbfhZ0_kOoLiWD9sJMwA_12_0"/>
      <w:bookmarkStart w:id="164" w:name="Tc_AHI9ZMaskkeKyitAPzf-Eg_11_12"/>
      <w:bookmarkStart w:id="165" w:name="Tc_9UFGyPJO30uVvkOUESXUUA_11_6"/>
      <w:bookmarkStart w:id="166" w:name="Tc_e4aVQRnHAU2HaOOZaaybJQ_11_0"/>
      <w:bookmarkStart w:id="167" w:name="Tc_HRSm1wEpuEK260plgDdS4g_10_0"/>
      <w:bookmarkStart w:id="168" w:name="Tc_J4BDdrobhkOZGFvWaJz_ig_8_12"/>
      <w:bookmarkStart w:id="169" w:name="Tc_65LmE2yNHEa8KJKmXsy4PA_8_6"/>
      <w:bookmarkStart w:id="170" w:name="Tc_1Qlia4V8Uka0JSr5qwCm1Q_8_0"/>
      <w:bookmarkStart w:id="171" w:name="Tc_HMMIWrXXFEehIw211-LyTQ_7_12"/>
      <w:bookmarkStart w:id="172" w:name="Tc_LOy9suEPZ0WF2no-Ncy0GQ_7_9"/>
      <w:bookmarkStart w:id="173" w:name="Tc_7JDd88A5Z0-42nCFTVkcxA_7_6"/>
      <w:bookmarkStart w:id="174" w:name="Tc_jX58CBNomEWaIk10Xv5W-g_7_3"/>
      <w:bookmarkStart w:id="175" w:name="Tc_FdKTtr1XRE6xxIqOprDuAA_7_0"/>
      <w:bookmarkStart w:id="176" w:name="Tc_7EN1a3f180a1G2K-ohwaZg_6_12"/>
      <w:bookmarkStart w:id="177" w:name="Tc_5qCgFbtigE28s40trVgWDg_6_11"/>
      <w:bookmarkStart w:id="178" w:name="Tc_kkJ0u0oOKkquWUr22fRVYg_6_8"/>
      <w:bookmarkStart w:id="179" w:name="Tc_swJkF59JIEiAQnjB0pcvpw_6_6"/>
      <w:bookmarkStart w:id="180" w:name="Tc_woy1U-ZBWkaWvFs6IuUegQ_6_5"/>
      <w:bookmarkStart w:id="181" w:name="Tc_7Fb21VFrZ0GsN1R8mJ0-VQ_6_2"/>
      <w:bookmarkStart w:id="182" w:name="Tc_eDgWuVJ9lE6_-kvN4ya11w_6_0"/>
      <w:bookmarkStart w:id="183" w:name="Tc_09RIjzVtX02bXO-5SVAvmQ_5_0"/>
      <w:bookmarkStart w:id="184" w:name="Tc_VDkihCeyZUiLU_MRCvIxuA_3_11"/>
      <w:bookmarkStart w:id="185" w:name="Tc_zK0l-t_SfkCCnkJjc1etWA_3_8"/>
      <w:bookmarkStart w:id="186" w:name="Tc_91DcXTqHmEesiPAt_XAvFg_3_5"/>
      <w:bookmarkStart w:id="187" w:name="Tc_cUcHURIfCkqXXzrIXB3ukg_3_2"/>
      <w:bookmarkStart w:id="188" w:name="Tc_bECy2GAVO0yZ_IJSgGlrkg_2_8"/>
      <w:bookmarkStart w:id="189" w:name="Tc_sh6MZ3l3h0CRXWqR6OYJ0Q_2_2"/>
      <w:bookmarkStart w:id="190" w:name="_fefd0c80_c82b_4b54_b3b2_ab78f8a99b52"/>
      <w:bookmarkStart w:id="191" w:name="_9f0291b4_3853_4109_8359_8db933d921df"/>
      <w:bookmarkStart w:id="192" w:name="Tc_7wx07ZfO2kKypqI-UJPEGQ_25_11"/>
      <w:bookmarkStart w:id="193" w:name="Tc_wVsaw4-jaU6eNaX0I6yKhg_25_8"/>
      <w:bookmarkStart w:id="194" w:name="Tc_XJZJZneY2k2d2r6RSJyKug_25_5"/>
      <w:bookmarkStart w:id="195" w:name="Tc_oWQjQRepXECdHu5qHG5_-A_25_2"/>
      <w:bookmarkStart w:id="196" w:name="Tc_HQn-WrhWCEKJB1XPS5XqHA_25_0"/>
      <w:bookmarkStart w:id="197" w:name="Tc_esNpVxjZF0mx_N7FWOq5sw_23_0"/>
      <w:bookmarkStart w:id="198" w:name="Tc_f1mcxCa07EuYKZPomZ1R-Q_21_11"/>
      <w:bookmarkStart w:id="199" w:name="Tc_cNloKcJQeEW9yh-ZpOYnRg_21_8"/>
      <w:bookmarkStart w:id="200" w:name="Tc_2JzhlgzGa0-HSSqYQQnFrw_21_5"/>
      <w:bookmarkStart w:id="201" w:name="Tc_O2BhgBmrSECOa1KsCuJb3w_21_2"/>
      <w:bookmarkStart w:id="202" w:name="Tc_V6i3dOe_sEu_v2RD7Bp9dA_21_0"/>
      <w:bookmarkStart w:id="203" w:name="Tc_ca4dwd2Y80C6rqeGq-Xezg_19_0"/>
      <w:bookmarkStart w:id="204" w:name="Tc_NfqWNENtsEiWXEbpTuqD5A_18_0"/>
      <w:bookmarkStart w:id="205" w:name="Tc_TLGsYQr3ckeX5i0WnMdZiw_16_0"/>
      <w:bookmarkStart w:id="206" w:name="Tc_wMf4kitNdkOM_xhYHDILeA_14_0"/>
      <w:bookmarkStart w:id="207" w:name="Tc_HeHK8n16FkiVk4_Vs20RXQ_13_0"/>
      <w:bookmarkStart w:id="208" w:name="Tc_DsBbfhZ0_kOoLiWD9sJMwA_12_0"/>
      <w:bookmarkStart w:id="209" w:name="Tc_AHI9ZMaskkeKyitAPzf-Eg_11_12"/>
      <w:bookmarkStart w:id="210" w:name="Tc_9UFGyPJO30uVvkOUESXUUA_11_6"/>
      <w:bookmarkStart w:id="211" w:name="Tc_e4aVQRnHAU2HaOOZaaybJQ_11_0"/>
      <w:bookmarkStart w:id="212" w:name="Tc_HRSm1wEpuEK260plgDdS4g_10_0"/>
      <w:bookmarkStart w:id="213" w:name="Tc_J4BDdrobhkOZGFvWaJz_ig_8_12"/>
      <w:bookmarkStart w:id="214" w:name="Tc_65LmE2yNHEa8KJKmXsy4PA_8_6"/>
      <w:bookmarkStart w:id="215" w:name="Tc_1Qlia4V8Uka0JSr5qwCm1Q_8_0"/>
      <w:bookmarkStart w:id="216" w:name="Tc_HMMIWrXXFEehIw211-LyTQ_7_12"/>
      <w:bookmarkStart w:id="217" w:name="Tc_LOy9suEPZ0WF2no-Ncy0GQ_7_9"/>
      <w:bookmarkStart w:id="218" w:name="Tc_7JDd88A5Z0-42nCFTVkcxA_7_6"/>
      <w:bookmarkStart w:id="219" w:name="Tc_jX58CBNomEWaIk10Xv5W-g_7_3"/>
      <w:bookmarkStart w:id="220" w:name="Tc_FdKTtr1XRE6xxIqOprDuAA_7_0"/>
      <w:bookmarkStart w:id="221" w:name="Tc_7EN1a3f180a1G2K-ohwaZg_6_12"/>
      <w:bookmarkStart w:id="222" w:name="Tc_5qCgFbtigE28s40trVgWDg_6_11"/>
      <w:bookmarkStart w:id="223" w:name="Tc_kkJ0u0oOKkquWUr22fRVYg_6_8"/>
      <w:bookmarkStart w:id="224" w:name="Tc_swJkF59JIEiAQnjB0pcvpw_6_6"/>
      <w:bookmarkStart w:id="225" w:name="Tc_woy1U-ZBWkaWvFs6IuUegQ_6_5"/>
      <w:bookmarkStart w:id="226" w:name="Tc_7Fb21VFrZ0GsN1R8mJ0-VQ_6_2"/>
      <w:bookmarkStart w:id="227" w:name="Tc_eDgWuVJ9lE6_-kvN4ya11w_6_0"/>
      <w:bookmarkStart w:id="228" w:name="Tc_09RIjzVtX02bXO-5SVAvmQ_5_0"/>
      <w:bookmarkStart w:id="229" w:name="Tc_VDkihCeyZUiLU_MRCvIxuA_3_11"/>
      <w:bookmarkStart w:id="230" w:name="Tc_zK0l-t_SfkCCnkJjc1etWA_3_8"/>
      <w:bookmarkStart w:id="231" w:name="Tc_91DcXTqHmEesiPAt_XAvFg_3_5"/>
      <w:bookmarkStart w:id="232" w:name="Tc_cUcHURIfCkqXXzrIXB3ukg_3_2"/>
      <w:bookmarkStart w:id="233" w:name="Tc_bECy2GAVO0yZ_IJSgGlrkg_2_8"/>
      <w:bookmarkStart w:id="234" w:name="Tc_sh6MZ3l3h0CRXWqR6OYJ0Q_2_2"/>
      <w:bookmarkStart w:id="235" w:name="_fefd0c80_c82b_4b54_b3b2_ab78f8a99b52"/>
      <w:bookmarkStart w:id="236" w:name="_9f0291b4_3853_4109_8359_8db933d921df"/>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tbl>
      <w:tblPr>
        <w:tblW w:w="10205" w:type="dxa"/>
        <w:jc w:val="left"/>
        <w:tblInd w:w="0" w:type="dxa"/>
        <w:tblLayout w:type="fixed"/>
        <w:tblCellMar>
          <w:top w:w="0" w:type="dxa"/>
          <w:left w:w="0" w:type="dxa"/>
          <w:bottom w:w="0" w:type="dxa"/>
          <w:right w:w="0" w:type="dxa"/>
        </w:tblCellMar>
      </w:tblPr>
      <w:tblGrid>
        <w:gridCol w:w="4099"/>
        <w:gridCol w:w="346"/>
        <w:gridCol w:w="196"/>
        <w:gridCol w:w="1006"/>
        <w:gridCol w:w="286"/>
        <w:gridCol w:w="196"/>
        <w:gridCol w:w="916"/>
        <w:gridCol w:w="406"/>
        <w:gridCol w:w="196"/>
        <w:gridCol w:w="1006"/>
        <w:gridCol w:w="286"/>
        <w:gridCol w:w="196"/>
        <w:gridCol w:w="916"/>
        <w:gridCol w:w="154"/>
      </w:tblGrid>
      <w:tr>
        <w:trPr/>
        <w:tc>
          <w:tcPr>
            <w:tcW w:w="4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02865" cy="175260"/>
                      <wp:effectExtent l="0" t="0" r="0" b="0"/>
                      <wp:wrapNone/>
                      <wp:docPr id="11" name="Frame11"/>
                      <a:graphic xmlns:a="http://schemas.openxmlformats.org/drawingml/2006/main">
                        <a:graphicData uri="http://schemas.microsoft.com/office/word/2010/wordprocessingShape">
                          <wps:wsp>
                            <wps:cNvSpPr txBox="1"/>
                            <wps:spPr>
                              <a:xfrm>
                                <a:off x="0" y="0"/>
                                <a:ext cx="2602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8810" cy="175260"/>
                      <wp:effectExtent l="0" t="0" r="0" b="0"/>
                      <wp:wrapNone/>
                      <wp:docPr id="14" name="Frame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1610" cy="175260"/>
                      <wp:effectExtent l="0" t="0" r="0" b="0"/>
                      <wp:wrapNone/>
                      <wp:docPr id="15" name="Frame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1660" cy="175260"/>
                      <wp:effectExtent l="0" t="0" r="0" b="0"/>
                      <wp:wrapNone/>
                      <wp:docPr id="17" name="Frame1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57810" cy="175260"/>
                      <wp:effectExtent l="0" t="0" r="0" b="0"/>
                      <wp:wrapNone/>
                      <wp:docPr id="18" name="Frame18"/>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38810" cy="175260"/>
                      <wp:effectExtent l="0" t="0" r="0" b="0"/>
                      <wp:wrapNone/>
                      <wp:docPr id="20" name="Frame2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610" cy="175260"/>
                      <wp:effectExtent l="0" t="0" r="0" b="0"/>
                      <wp:wrapNone/>
                      <wp:docPr id="21" name="Frame2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81660" cy="175260"/>
                      <wp:effectExtent l="0" t="0" r="0" b="0"/>
                      <wp:wrapNone/>
                      <wp:docPr id="23" name="Frame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75260"/>
                      <wp:effectExtent l="0" t="0" r="0" b="0"/>
                      <wp:wrapNone/>
                      <wp:docPr id="24"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2600" w:type="dxa"/>
            <w:gridSpan w:val="5"/>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406" w:type="dxa"/>
            <w:tcBorders/>
            <w:vAlign w:val="center"/>
          </w:tcPr>
          <w:p>
            <w:pPr>
              <w:pStyle w:val="TableContents"/>
              <w:bidi w:val="0"/>
              <w:spacing w:before="0" w:after="0"/>
              <w:ind w:left="0" w:right="0" w:hanging="0"/>
              <w:jc w:val="center"/>
              <w:rPr/>
            </w:pPr>
            <w:r>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center"/>
              <w:rPr/>
            </w:pPr>
            <w:r>
              <w:rPr/>
              <w:t>  ​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center"/>
              <w:rPr/>
            </w:pPr>
            <w:r>
              <w:rPr/>
              <w:t>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Product revenue,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License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559</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w:t>
            </w:r>
          </w:p>
        </w:tc>
        <w:tc>
          <w:tcPr>
            <w:tcW w:w="28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0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Expenses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Cost of 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net of tax credits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3,509</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3,669</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6,760</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8,647</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22,648</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8,862</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43,284</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26,189</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50,090</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33,054</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from operations</w:t>
            </w:r>
          </w:p>
        </w:tc>
        <w:tc>
          <w:tcPr>
            <w:tcW w:w="34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(25,630)</w:t>
            </w:r>
          </w:p>
        </w:tc>
        <w:tc>
          <w:tcPr>
            <w:tcW w:w="28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(12,531)</w:t>
            </w:r>
          </w:p>
        </w:tc>
        <w:tc>
          <w:tcPr>
            <w:tcW w:w="40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(49,293)</w:t>
            </w:r>
          </w:p>
        </w:tc>
        <w:tc>
          <w:tcPr>
            <w:tcW w:w="28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(33,054)</w:t>
            </w:r>
          </w:p>
        </w:tc>
        <w:tc>
          <w:tcPr>
            <w:tcW w:w="154" w:type="dxa"/>
            <w:tcBorders/>
            <w:vAlign w:val="center"/>
          </w:tcPr>
          <w:p>
            <w:pPr>
              <w:pStyle w:val="TableContents"/>
              <w:bidi w:val="0"/>
              <w:spacing w:before="0" w:after="0"/>
              <w:ind w:left="0" w:right="0" w:hanging="0"/>
              <w:jc w:val="left"/>
              <w:rPr/>
            </w:pPr>
            <w:r>
              <w:rPr/>
              <w:t>​</w:t>
            </w:r>
          </w:p>
        </w:tc>
      </w:tr>
      <w:tr>
        <w:trPr/>
        <w:tc>
          <w:tcPr>
            <w:tcW w:w="40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9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1,741</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3,473</w:t>
            </w:r>
          </w:p>
        </w:tc>
        <w:tc>
          <w:tcPr>
            <w:tcW w:w="28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1,213</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(4,725)</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(951)</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(28,614)</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(12,966)</w:t>
            </w:r>
          </w:p>
        </w:tc>
        <w:tc>
          <w:tcPr>
            <w:tcW w:w="40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(54,680)</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(33,727)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Weighted average number of shares and pre-funded warrants outstanding, basic and diluted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138,691,580</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66,380,118</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134,512,026</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66,333,024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09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(0.21)</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(0.20)</w:t>
            </w:r>
          </w:p>
        </w:tc>
        <w:tc>
          <w:tcPr>
            <w:tcW w:w="40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(0.41)</w:t>
            </w:r>
          </w:p>
        </w:tc>
        <w:tc>
          <w:tcPr>
            <w:tcW w:w="28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(0.51)</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7" w:name="_f7b1a4e2_52a6_46cc_b08d_707bebd93a4f"/>
      <w:bookmarkEnd w:id="237"/>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bookmarkStart w:id="238" w:name="CondensedConsolidatedStatementsofShareh"/>
      <w:bookmarkEnd w:id="238"/>
      <w:r>
        <w:rPr>
          <w:rFonts w:ascii="Times New Roman;Times;serif" w:hAnsi="Times New Roman;Times;serif"/>
          <w:b/>
          <w:sz w:val="20"/>
        </w:rPr>
        <w:t>Condensed Consolidated Statements of Shareholders’ Equity (Unaudited)</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9" w:name="Tc_LDTD6uY1d0eDIH1umchLYA_35_18"/>
      <w:bookmarkStart w:id="240" w:name="Tc_9YmlZNDRMUKn9EbRnvTwmg_35_15"/>
      <w:bookmarkStart w:id="241" w:name="Tc_IUGDD9RLe0ObnTd0DpGlzg_35_12"/>
      <w:bookmarkStart w:id="242" w:name="Tc_k8RviWpmGkO0zhhXAInvjA_35_9"/>
      <w:bookmarkStart w:id="243" w:name="Tc_AfxcOwODo0GUx2u0k9iSdA_35_4"/>
      <w:bookmarkStart w:id="244" w:name="Tc_KJVgkPRY5UuPVyrrtpRYVw_35_0"/>
      <w:bookmarkStart w:id="245" w:name="Tc_VmBrJ37WcEib7vvH9e0FUw_34_16"/>
      <w:bookmarkStart w:id="246" w:name="Tc_inRDgSih0kCXHVHRNFczPA_34_13"/>
      <w:bookmarkStart w:id="247" w:name="Tc_qTNNkcP55Eij7O776k8Rxw_34_10"/>
      <w:bookmarkStart w:id="248" w:name="Tc_Jyd2LxkDL06oeSvZvj7KQQ_34_7"/>
      <w:bookmarkStart w:id="249" w:name="Tc_9hmntLIZ6EutBzvxaLDwrw_34_0"/>
      <w:bookmarkStart w:id="250" w:name="Tc_Z43LYPTt8kSv-wc-0cRcyA_33_16"/>
      <w:bookmarkStart w:id="251" w:name="Tc_MXgqxcomOk-kFO2LcbzLmw_33_13"/>
      <w:bookmarkStart w:id="252" w:name="Tc_MaaJdlBlHk6bQl8ghNlvCA_33_10"/>
      <w:bookmarkStart w:id="253" w:name="Tc_5WtWP_bdSEaIStIfk7A-SQ_33_7"/>
      <w:bookmarkStart w:id="254" w:name="Tc_fK5UR13d8Ei6YeceFYdbZg_33_0"/>
      <w:bookmarkStart w:id="255" w:name="Tc_6fxWDhOpME-p1DOXn8pd4w_32_19"/>
      <w:bookmarkStart w:id="256" w:name="Tc_0aqgAFNo1U29QCHBDHudzg_32_16"/>
      <w:bookmarkStart w:id="257" w:name="Tc_xo6QDJj3jUGlvclUiyBoRA_32_10"/>
      <w:bookmarkStart w:id="258" w:name="Tc_ro6fW0nJxEmF_3IbHf6wbg_32_7"/>
      <w:bookmarkStart w:id="259" w:name="Tc_iie2ZA0As0eOdxWNQHaT7g_32_0"/>
      <w:bookmarkStart w:id="260" w:name="Tc_DMyO2k6t2U2r9a88Q2t6Yw_31_16"/>
      <w:bookmarkStart w:id="261" w:name="Tc_FBXAhPVAgkqIN2FYTbkIUw_31_10"/>
      <w:bookmarkStart w:id="262" w:name="Tc_TQIIfAMZv0Kn6i_WlebvcQ_31_7"/>
      <w:bookmarkStart w:id="263" w:name="Tc_BQsPDbJWH0WEaRNCKMYZXw_31_5"/>
      <w:bookmarkStart w:id="264" w:name="Tc_Q5tFK69cyk22PsiLGLyKkg_31_2"/>
      <w:bookmarkStart w:id="265" w:name="Tc_sUYpTe_yPkCZs75jO2_6LQ_31_0"/>
      <w:bookmarkStart w:id="266" w:name="Tc_Cu8LK_SrHUaay7Urc15kQA_30_16"/>
      <w:bookmarkStart w:id="267" w:name="Tc_HXtaS9DplkyG-yZ-xhCSkw_30_10"/>
      <w:bookmarkStart w:id="268" w:name="Tc_dd1i5PDG6E-xAA_RDBlqeA_30_7"/>
      <w:bookmarkStart w:id="269" w:name="Tc_Dbr3W7IafU6bKQj19TNrtg_30_0"/>
      <w:bookmarkStart w:id="270" w:name="Tc_dCVL3eVn706bdyj2JR1gHA_29_16"/>
      <w:bookmarkStart w:id="271" w:name="Tc_Gn-ixGdN2kSn7WFoHVLibw_29_10"/>
      <w:bookmarkStart w:id="272" w:name="Tc_ARFmYeCOa0mE2ByDFXF87A_29_7"/>
      <w:bookmarkStart w:id="273" w:name="Tc_MEypeL5_vUWvFXZT1W3Vbw_29_0"/>
      <w:bookmarkStart w:id="274" w:name="Tc_XB5Lt1sCoUqr-6sRk_sigg_28_13"/>
      <w:bookmarkStart w:id="275" w:name="Tc_t0FKarMLHUu-EcT6D1rfvA_28_10"/>
      <w:bookmarkStart w:id="276" w:name="Tc_2N9zoZGniUKLY1kDZJas8g_28_7"/>
      <w:bookmarkStart w:id="277" w:name="Tc_XM2xWrMuVkGN7imj4zlIFg_28_5"/>
      <w:bookmarkStart w:id="278" w:name="Tc_UNdOosc3_EGBX924Pe4lhg_28_2"/>
      <w:bookmarkStart w:id="279" w:name="Tc_Uajjq3eAskODK2jmd79peQ_28_0"/>
      <w:bookmarkStart w:id="280" w:name="Tc_YfO5Z2s2OU2Ahg62LphlBQ_27_0"/>
      <w:bookmarkStart w:id="281" w:name="Tc_Vt-Abw37HUmMhsspMwlUXg_26_18"/>
      <w:bookmarkStart w:id="282" w:name="Tc_IkkkSkMivkSXF-niyW2VUg_26_15"/>
      <w:bookmarkStart w:id="283" w:name="Tc_9CmNaAbBJUeJoQEufxjXog_26_12"/>
      <w:bookmarkStart w:id="284" w:name="Tc_p3yLdsSdF0OIQIaRrZoRZg_26_9"/>
      <w:bookmarkStart w:id="285" w:name="Tc_9BPXSUuP-USZvHpcPRK8tA_26_4"/>
      <w:bookmarkStart w:id="286" w:name="Tc_9WGlrnk1TUmRDc8J5RAhFw_26_0"/>
      <w:bookmarkStart w:id="287" w:name="Tc_eXAO1RAgK0ejRvUNatoh1g_24_18"/>
      <w:bookmarkStart w:id="288" w:name="Tc_POi0dKTQbUWnm9xXd5dxAA_24_15"/>
      <w:bookmarkStart w:id="289" w:name="Tc_WPoy0v0OGU-K6x8C86aYgg_24_12"/>
      <w:bookmarkStart w:id="290" w:name="Tc_Rk-8Yx0k5Eib8it1bEKjtA_24_9"/>
      <w:bookmarkStart w:id="291" w:name="Tc_2oKXM14RcUqnkjgalisB-A_24_4"/>
      <w:bookmarkStart w:id="292" w:name="Tc_cyRW0dMD2UqHYDM9_Gucnw_24_0"/>
      <w:bookmarkStart w:id="293" w:name="Tc_6yXA0F_y40uUAEwwRpMdVw_23_16"/>
      <w:bookmarkStart w:id="294" w:name="Tc_XYOiH2db7kqgDFD6EKgFwA_23_13"/>
      <w:bookmarkStart w:id="295" w:name="Tc_nevtqZf5HEmvaiHFQXL4Qg_23_10"/>
      <w:bookmarkStart w:id="296" w:name="Tc_eFQOW6hfIUCDy9bYrCJw3A_23_7"/>
      <w:bookmarkStart w:id="297" w:name="Tc_aDeMupthpk605Cmz2SHWWw_23_0"/>
      <w:bookmarkStart w:id="298" w:name="Tc_-X0V-aLwQUSwQVqxvQrW3A_22_16"/>
      <w:bookmarkStart w:id="299" w:name="Tc_8pckGdhOvEaxql5KY1sS8g_22_10"/>
      <w:bookmarkStart w:id="300" w:name="Tc_xOFkFrwvo0Wm4h8e75nWKA_22_7"/>
      <w:bookmarkStart w:id="301" w:name="Tc_xHHS0aMHCUibeILTN_zpkw_22_5"/>
      <w:bookmarkStart w:id="302" w:name="Tc_j_isl9WclkmTL5l5CWq2QA_22_2"/>
      <w:bookmarkStart w:id="303" w:name="Tc_m1LDan570UGP32IxBgknBw_22_0"/>
      <w:bookmarkStart w:id="304" w:name="Tc_t45c2sjZtEqY-uTBLDliYg_21_16"/>
      <w:bookmarkStart w:id="305" w:name="Tc_HCg_HwCjekKDdZqR7-K3xA_21_10"/>
      <w:bookmarkStart w:id="306" w:name="Tc_DHOIJ3AuQEOCJEHWGdc8Dw_21_7"/>
      <w:bookmarkStart w:id="307" w:name="Tc_G3XRvAft40y0di5nLeqa6A_21_0"/>
      <w:bookmarkStart w:id="308" w:name="Tc_9nq5Lfm_hEG7D8_zvr6glQ_20_13"/>
      <w:bookmarkStart w:id="309" w:name="Tc_eP70sERt10Cz5DNPTOU0hg_20_10"/>
      <w:bookmarkStart w:id="310" w:name="Tc_5rPFPZfE3EitTPNtzJI4-w_20_7"/>
      <w:bookmarkStart w:id="311" w:name="Tc_BauiJDKX7EaF9DbFI0MWvA_20_5"/>
      <w:bookmarkStart w:id="312" w:name="Tc_eLCHBKItT0qBJAptZNxgSA_20_2"/>
      <w:bookmarkStart w:id="313" w:name="Tc_WbmqFBVgZk-AJN9WwrLU6Q_20_0"/>
      <w:bookmarkStart w:id="314" w:name="Tc_MzBudALR_kGCiDR9GXmFEw_19_0"/>
      <w:bookmarkStart w:id="315" w:name="Tc_oPqh1vnU7U2F37qzac9GaQ_18_18"/>
      <w:bookmarkStart w:id="316" w:name="Tc_H6gmS3v-bUi0Wgtz9NB5bA_18_15"/>
      <w:bookmarkStart w:id="317" w:name="Tc_e_TvfUsR1kq3S5sZx6HxpQ_18_12"/>
      <w:bookmarkStart w:id="318" w:name="Tc_fzUYc2yiXEeaN_Mw2b9ZlQ_18_9"/>
      <w:bookmarkStart w:id="319" w:name="Tc_Mh5-jfRRhUutkHuC13dXRg_18_4"/>
      <w:bookmarkStart w:id="320" w:name="Tc_GfsZaTVnZEmw3RPl1KcjAA_18_0"/>
      <w:bookmarkStart w:id="321" w:name="Tc_PskpoBHQ70qH6sSzwq_kOg_16_18"/>
      <w:bookmarkStart w:id="322" w:name="Tc_a-FDinv0ikWmwNAJ418jIA_16_15"/>
      <w:bookmarkStart w:id="323" w:name="Tc_Y3dQtkWFfE2oAERpKLKAPQ_16_12"/>
      <w:bookmarkStart w:id="324" w:name="Tc_ufb8gqNF50itmi5RuL8F2Q_16_9"/>
      <w:bookmarkStart w:id="325" w:name="Tc_Vhsm61tymkGfUjSqAw5DJw_16_4"/>
      <w:bookmarkStart w:id="326" w:name="Tc_qV10td3gVk-LcupqK5wufA_16_0"/>
      <w:bookmarkStart w:id="327" w:name="Tc_2CVaoYQ2vkeRjMOstaSkIw_15_16"/>
      <w:bookmarkStart w:id="328" w:name="Tc_xD___Lq3tk6EPowziF5RNA_15_10"/>
      <w:bookmarkStart w:id="329" w:name="Tc__MoVUClWVECoN0n28Z7rVQ_15_7"/>
      <w:bookmarkStart w:id="330" w:name="Tc_-3pTs4SATkKreQxkzRKerQ_15_5"/>
      <w:bookmarkStart w:id="331" w:name="Tc_h1DZufh-N0euPABIM6u6yA_15_2"/>
      <w:bookmarkStart w:id="332" w:name="Tc_u49KGJXM2kO36oyS0LP7vQ_15_0"/>
      <w:bookmarkStart w:id="333" w:name="Tc_gvvmvwJlxUCoA8Mb4TABKg_14_16"/>
      <w:bookmarkStart w:id="334" w:name="Tc_3sHA0O1Q60e5rED1OHHxQA_14_10"/>
      <w:bookmarkStart w:id="335" w:name="Tc_Kl-btt-ki029NP8Hl6uUUg_14_7"/>
      <w:bookmarkStart w:id="336" w:name="Tc_BxsuU2f_sEecgmWdffvlTQ_14_0"/>
      <w:bookmarkStart w:id="337" w:name="Tc_gxcHUiiYl0yaOnhVw5_UYA_13_16"/>
      <w:bookmarkStart w:id="338" w:name="Tc_SUC50a2es0CoDwc3OnatAA_13_10"/>
      <w:bookmarkStart w:id="339" w:name="Tc_pkHkg5Zm90m0-DzqGuv2hA_13_7"/>
      <w:bookmarkStart w:id="340" w:name="Tc_tVNRq_BEpEqtdVBsrmV-Sg_13_0"/>
      <w:bookmarkStart w:id="341" w:name="Tc_2Zsds3MWNESxzFIqHJrKdQ_12_13"/>
      <w:bookmarkStart w:id="342" w:name="Tc_pN0Hn22TekeHTf2WAULZaQ_12_10"/>
      <w:bookmarkStart w:id="343" w:name="Tc_hsFn3XlA9Ey5CbCzWb37bg_12_7"/>
      <w:bookmarkStart w:id="344" w:name="Tc_stCATqWmAUeqx-1X9GWmlA_12_5"/>
      <w:bookmarkStart w:id="345" w:name="Tc_hVacNgIs7EakA31oYHm_8A_12_2"/>
      <w:bookmarkStart w:id="346" w:name="Tc_9LEYJXmt2UykhO2rFeexeA_12_0"/>
      <w:bookmarkStart w:id="347" w:name="Tc_1wlBg9y7AEm4KUx6IVgd8Q_11_0"/>
      <w:bookmarkStart w:id="348" w:name="Tc_CF-YQw9QPkayKuAgxOvcGQ_10_18"/>
      <w:bookmarkStart w:id="349" w:name="Tc_jAIsNeXaWESGS5KHZx02sw_10_15"/>
      <w:bookmarkStart w:id="350" w:name="Tc_S45QW-nsjUqO3whf72alPw_10_12"/>
      <w:bookmarkStart w:id="351" w:name="Tc_yrPxGGUrXUykYkDbIVzyew_10_9"/>
      <w:bookmarkStart w:id="352" w:name="Tc_r7Aoz1tGmUCgIRGYm4SOaw_10_4"/>
      <w:bookmarkStart w:id="353" w:name="Tc_AjEYOZb2p0GUFaO0AS1F2A_10_0"/>
      <w:bookmarkStart w:id="354" w:name="Tc_96SQm39bp0uyCeJBNpCSsg_8_18"/>
      <w:bookmarkStart w:id="355" w:name="Tc_Y3AiwrbWLkauyBtalOqzRw_8_15"/>
      <w:bookmarkStart w:id="356" w:name="Tc_qexmavQFEkGmDwzCebKMlQ_8_12"/>
      <w:bookmarkStart w:id="357" w:name="Tc_APchyNpEwEqR4vLPVQMK9Q_8_9"/>
      <w:bookmarkStart w:id="358" w:name="Tc_esLbPRimqkqsY0CitKrPPg_8_4"/>
      <w:bookmarkStart w:id="359" w:name="Tc_uM8pWKdv5kueFuALH4ENKQ_8_0"/>
      <w:bookmarkStart w:id="360" w:name="Tc_4vqKj2Vj3U2tp6atSJyLSQ_7_16"/>
      <w:bookmarkStart w:id="361" w:name="Tc_1ULWTFpTAEOCU6zRWoC1Ng_7_10"/>
      <w:bookmarkStart w:id="362" w:name="Tc_KGwFSbN4i0WQ3NxIRWqANA_7_7"/>
      <w:bookmarkStart w:id="363" w:name="Tc_aFqnjZAWXUmEsiFvo3qhUw_7_5"/>
      <w:bookmarkStart w:id="364" w:name="Tc_rhIAnqS-akWH0VPq6qGIgQ_7_2"/>
      <w:bookmarkStart w:id="365" w:name="Tc_CXpJZePraEy_ko7-83CCkA_7_0"/>
      <w:bookmarkStart w:id="366" w:name="Tc_DwaG3d7FREm1Q8N34_brfw_6_16"/>
      <w:bookmarkStart w:id="367" w:name="Tc_Ib2KySFg1UWeotd4YFSnRw_6_10"/>
      <w:bookmarkStart w:id="368" w:name="Tc_-wn3GFTCL0KNhYp0oMLrZA_6_7"/>
      <w:bookmarkStart w:id="369" w:name="Tc_b9RB_0fvvUiFzMEbsVXqPw_6_0"/>
      <w:bookmarkStart w:id="370" w:name="Tc_I3mXuPlU-kC7CBbwRjbQ-w_5_13"/>
      <w:bookmarkStart w:id="371" w:name="Tc_0DshtR9xQEiKwNI30PQYRw_5_10"/>
      <w:bookmarkStart w:id="372" w:name="Tc_Hzuxz-SMD0WI8qym7tJ05Q_5_7"/>
      <w:bookmarkStart w:id="373" w:name="Tc_pHdJsw4-pEyY6LT8nZiv2w_5_5"/>
      <w:bookmarkStart w:id="374" w:name="Tc_r99Qg9xLTkqhbG7bVkk5CQ_5_2"/>
      <w:bookmarkStart w:id="375" w:name="Tc_XMuZOV4tKkW50mDmFgB4Jg_5_0"/>
      <w:bookmarkStart w:id="376" w:name="Tc_5FH2T4CR60aJUe43wO-9MQ_4_0"/>
      <w:bookmarkStart w:id="377" w:name="Tc_vRje9BWLSUO4UveBWpjv6Q_3_18"/>
      <w:bookmarkStart w:id="378" w:name="Tc_GUEP5GlEzEWM5_A9c8jNew_3_15"/>
      <w:bookmarkStart w:id="379" w:name="Tc_VE_iFei5RUePJuy_44MGLA_3_12"/>
      <w:bookmarkStart w:id="380" w:name="Tc_W7K5oAonL0Gro4KEBTAeFw_3_9"/>
      <w:bookmarkStart w:id="381" w:name="Tc_Qakj-RFG7U2ON5fi0WyNtg_3_4"/>
      <w:bookmarkStart w:id="382" w:name="Tc_SmWCthufsUCEUrhd3zx5gw_3_0"/>
      <w:bookmarkStart w:id="383" w:name="Tc_isoG-ZcbDk6XTdLqCdnCDw_2_18"/>
      <w:bookmarkStart w:id="384" w:name="Tc_LbTl6Y2ISkilaZlUHrEOWg_2_15"/>
      <w:bookmarkStart w:id="385" w:name="Tc_2vnwkODwDUaLRpuFZFk2pA_2_12"/>
      <w:bookmarkStart w:id="386" w:name="Tc_kHZyOnVPZEC_UUO_EmW5IA_2_9"/>
      <w:bookmarkStart w:id="387" w:name="Tc_G6v1AQ1dZkyWxx--78eKZA_2_7"/>
      <w:bookmarkStart w:id="388" w:name="Tc_S8WFWodKAEWKVFI_qKsKTA_2_4"/>
      <w:bookmarkStart w:id="389" w:name="Tc_AIlyh6UCpkGDitplbEROeQ_2_2"/>
      <w:bookmarkStart w:id="390" w:name="Tc_eGN_dwXgN0G2_mTlghPx3w_1_7"/>
      <w:bookmarkStart w:id="391" w:name="Tc_vDk5pMbL8Uq8yTFKmdhvyQ_1_2"/>
      <w:bookmarkStart w:id="392" w:name="_923383fe_4a0e_47e8_ab3a_e41136b6f544"/>
      <w:bookmarkStart w:id="393" w:name="Tc_LDTD6uY1d0eDIH1umchLYA_35_18"/>
      <w:bookmarkStart w:id="394" w:name="Tc_9YmlZNDRMUKn9EbRnvTwmg_35_15"/>
      <w:bookmarkStart w:id="395" w:name="Tc_IUGDD9RLe0ObnTd0DpGlzg_35_12"/>
      <w:bookmarkStart w:id="396" w:name="Tc_k8RviWpmGkO0zhhXAInvjA_35_9"/>
      <w:bookmarkStart w:id="397" w:name="Tc_AfxcOwODo0GUx2u0k9iSdA_35_4"/>
      <w:bookmarkStart w:id="398" w:name="Tc_KJVgkPRY5UuPVyrrtpRYVw_35_0"/>
      <w:bookmarkStart w:id="399" w:name="Tc_VmBrJ37WcEib7vvH9e0FUw_34_16"/>
      <w:bookmarkStart w:id="400" w:name="Tc_inRDgSih0kCXHVHRNFczPA_34_13"/>
      <w:bookmarkStart w:id="401" w:name="Tc_qTNNkcP55Eij7O776k8Rxw_34_10"/>
      <w:bookmarkStart w:id="402" w:name="Tc_Jyd2LxkDL06oeSvZvj7KQQ_34_7"/>
      <w:bookmarkStart w:id="403" w:name="Tc_9hmntLIZ6EutBzvxaLDwrw_34_0"/>
      <w:bookmarkStart w:id="404" w:name="Tc_Z43LYPTt8kSv-wc-0cRcyA_33_16"/>
      <w:bookmarkStart w:id="405" w:name="Tc_MXgqxcomOk-kFO2LcbzLmw_33_13"/>
      <w:bookmarkStart w:id="406" w:name="Tc_MaaJdlBlHk6bQl8ghNlvCA_33_10"/>
      <w:bookmarkStart w:id="407" w:name="Tc_5WtWP_bdSEaIStIfk7A-SQ_33_7"/>
      <w:bookmarkStart w:id="408" w:name="Tc_fK5UR13d8Ei6YeceFYdbZg_33_0"/>
      <w:bookmarkStart w:id="409" w:name="Tc_6fxWDhOpME-p1DOXn8pd4w_32_19"/>
      <w:bookmarkStart w:id="410" w:name="Tc_0aqgAFNo1U29QCHBDHudzg_32_16"/>
      <w:bookmarkStart w:id="411" w:name="Tc_xo6QDJj3jUGlvclUiyBoRA_32_10"/>
      <w:bookmarkStart w:id="412" w:name="Tc_ro6fW0nJxEmF_3IbHf6wbg_32_7"/>
      <w:bookmarkStart w:id="413" w:name="Tc_iie2ZA0As0eOdxWNQHaT7g_32_0"/>
      <w:bookmarkStart w:id="414" w:name="Tc_DMyO2k6t2U2r9a88Q2t6Yw_31_16"/>
      <w:bookmarkStart w:id="415" w:name="Tc_FBXAhPVAgkqIN2FYTbkIUw_31_10"/>
      <w:bookmarkStart w:id="416" w:name="Tc_TQIIfAMZv0Kn6i_WlebvcQ_31_7"/>
      <w:bookmarkStart w:id="417" w:name="Tc_BQsPDbJWH0WEaRNCKMYZXw_31_5"/>
      <w:bookmarkStart w:id="418" w:name="Tc_Q5tFK69cyk22PsiLGLyKkg_31_2"/>
      <w:bookmarkStart w:id="419" w:name="Tc_sUYpTe_yPkCZs75jO2_6LQ_31_0"/>
      <w:bookmarkStart w:id="420" w:name="Tc_Cu8LK_SrHUaay7Urc15kQA_30_16"/>
      <w:bookmarkStart w:id="421" w:name="Tc_HXtaS9DplkyG-yZ-xhCSkw_30_10"/>
      <w:bookmarkStart w:id="422" w:name="Tc_dd1i5PDG6E-xAA_RDBlqeA_30_7"/>
      <w:bookmarkStart w:id="423" w:name="Tc_Dbr3W7IafU6bKQj19TNrtg_30_0"/>
      <w:bookmarkStart w:id="424" w:name="Tc_dCVL3eVn706bdyj2JR1gHA_29_16"/>
      <w:bookmarkStart w:id="425" w:name="Tc_Gn-ixGdN2kSn7WFoHVLibw_29_10"/>
      <w:bookmarkStart w:id="426" w:name="Tc_ARFmYeCOa0mE2ByDFXF87A_29_7"/>
      <w:bookmarkStart w:id="427" w:name="Tc_MEypeL5_vUWvFXZT1W3Vbw_29_0"/>
      <w:bookmarkStart w:id="428" w:name="Tc_XB5Lt1sCoUqr-6sRk_sigg_28_13"/>
      <w:bookmarkStart w:id="429" w:name="Tc_t0FKarMLHUu-EcT6D1rfvA_28_10"/>
      <w:bookmarkStart w:id="430" w:name="Tc_2N9zoZGniUKLY1kDZJas8g_28_7"/>
      <w:bookmarkStart w:id="431" w:name="Tc_XM2xWrMuVkGN7imj4zlIFg_28_5"/>
      <w:bookmarkStart w:id="432" w:name="Tc_UNdOosc3_EGBX924Pe4lhg_28_2"/>
      <w:bookmarkStart w:id="433" w:name="Tc_Uajjq3eAskODK2jmd79peQ_28_0"/>
      <w:bookmarkStart w:id="434" w:name="Tc_YfO5Z2s2OU2Ahg62LphlBQ_27_0"/>
      <w:bookmarkStart w:id="435" w:name="Tc_Vt-Abw37HUmMhsspMwlUXg_26_18"/>
      <w:bookmarkStart w:id="436" w:name="Tc_IkkkSkMivkSXF-niyW2VUg_26_15"/>
      <w:bookmarkStart w:id="437" w:name="Tc_9CmNaAbBJUeJoQEufxjXog_26_12"/>
      <w:bookmarkStart w:id="438" w:name="Tc_p3yLdsSdF0OIQIaRrZoRZg_26_9"/>
      <w:bookmarkStart w:id="439" w:name="Tc_9BPXSUuP-USZvHpcPRK8tA_26_4"/>
      <w:bookmarkStart w:id="440" w:name="Tc_9WGlrnk1TUmRDc8J5RAhFw_26_0"/>
      <w:bookmarkStart w:id="441" w:name="Tc_eXAO1RAgK0ejRvUNatoh1g_24_18"/>
      <w:bookmarkStart w:id="442" w:name="Tc_POi0dKTQbUWnm9xXd5dxAA_24_15"/>
      <w:bookmarkStart w:id="443" w:name="Tc_WPoy0v0OGU-K6x8C86aYgg_24_12"/>
      <w:bookmarkStart w:id="444" w:name="Tc_Rk-8Yx0k5Eib8it1bEKjtA_24_9"/>
      <w:bookmarkStart w:id="445" w:name="Tc_2oKXM14RcUqnkjgalisB-A_24_4"/>
      <w:bookmarkStart w:id="446" w:name="Tc_cyRW0dMD2UqHYDM9_Gucnw_24_0"/>
      <w:bookmarkStart w:id="447" w:name="Tc_6yXA0F_y40uUAEwwRpMdVw_23_16"/>
      <w:bookmarkStart w:id="448" w:name="Tc_XYOiH2db7kqgDFD6EKgFwA_23_13"/>
      <w:bookmarkStart w:id="449" w:name="Tc_nevtqZf5HEmvaiHFQXL4Qg_23_10"/>
      <w:bookmarkStart w:id="450" w:name="Tc_eFQOW6hfIUCDy9bYrCJw3A_23_7"/>
      <w:bookmarkStart w:id="451" w:name="Tc_aDeMupthpk605Cmz2SHWWw_23_0"/>
      <w:bookmarkStart w:id="452" w:name="Tc_-X0V-aLwQUSwQVqxvQrW3A_22_16"/>
      <w:bookmarkStart w:id="453" w:name="Tc_8pckGdhOvEaxql5KY1sS8g_22_10"/>
      <w:bookmarkStart w:id="454" w:name="Tc_xOFkFrwvo0Wm4h8e75nWKA_22_7"/>
      <w:bookmarkStart w:id="455" w:name="Tc_xHHS0aMHCUibeILTN_zpkw_22_5"/>
      <w:bookmarkStart w:id="456" w:name="Tc_j_isl9WclkmTL5l5CWq2QA_22_2"/>
      <w:bookmarkStart w:id="457" w:name="Tc_m1LDan570UGP32IxBgknBw_22_0"/>
      <w:bookmarkStart w:id="458" w:name="Tc_t45c2sjZtEqY-uTBLDliYg_21_16"/>
      <w:bookmarkStart w:id="459" w:name="Tc_HCg_HwCjekKDdZqR7-K3xA_21_10"/>
      <w:bookmarkStart w:id="460" w:name="Tc_DHOIJ3AuQEOCJEHWGdc8Dw_21_7"/>
      <w:bookmarkStart w:id="461" w:name="Tc_G3XRvAft40y0di5nLeqa6A_21_0"/>
      <w:bookmarkStart w:id="462" w:name="Tc_9nq5Lfm_hEG7D8_zvr6glQ_20_13"/>
      <w:bookmarkStart w:id="463" w:name="Tc_eP70sERt10Cz5DNPTOU0hg_20_10"/>
      <w:bookmarkStart w:id="464" w:name="Tc_5rPFPZfE3EitTPNtzJI4-w_20_7"/>
      <w:bookmarkStart w:id="465" w:name="Tc_BauiJDKX7EaF9DbFI0MWvA_20_5"/>
      <w:bookmarkStart w:id="466" w:name="Tc_eLCHBKItT0qBJAptZNxgSA_20_2"/>
      <w:bookmarkStart w:id="467" w:name="Tc_WbmqFBVgZk-AJN9WwrLU6Q_20_0"/>
      <w:bookmarkStart w:id="468" w:name="Tc_MzBudALR_kGCiDR9GXmFEw_19_0"/>
      <w:bookmarkStart w:id="469" w:name="Tc_oPqh1vnU7U2F37qzac9GaQ_18_18"/>
      <w:bookmarkStart w:id="470" w:name="Tc_H6gmS3v-bUi0Wgtz9NB5bA_18_15"/>
      <w:bookmarkStart w:id="471" w:name="Tc_e_TvfUsR1kq3S5sZx6HxpQ_18_12"/>
      <w:bookmarkStart w:id="472" w:name="Tc_fzUYc2yiXEeaN_Mw2b9ZlQ_18_9"/>
      <w:bookmarkStart w:id="473" w:name="Tc_Mh5-jfRRhUutkHuC13dXRg_18_4"/>
      <w:bookmarkStart w:id="474" w:name="Tc_GfsZaTVnZEmw3RPl1KcjAA_18_0"/>
      <w:bookmarkStart w:id="475" w:name="Tc_PskpoBHQ70qH6sSzwq_kOg_16_18"/>
      <w:bookmarkStart w:id="476" w:name="Tc_a-FDinv0ikWmwNAJ418jIA_16_15"/>
      <w:bookmarkStart w:id="477" w:name="Tc_Y3dQtkWFfE2oAERpKLKAPQ_16_12"/>
      <w:bookmarkStart w:id="478" w:name="Tc_ufb8gqNF50itmi5RuL8F2Q_16_9"/>
      <w:bookmarkStart w:id="479" w:name="Tc_Vhsm61tymkGfUjSqAw5DJw_16_4"/>
      <w:bookmarkStart w:id="480" w:name="Tc_qV10td3gVk-LcupqK5wufA_16_0"/>
      <w:bookmarkStart w:id="481" w:name="Tc_2CVaoYQ2vkeRjMOstaSkIw_15_16"/>
      <w:bookmarkStart w:id="482" w:name="Tc_xD___Lq3tk6EPowziF5RNA_15_10"/>
      <w:bookmarkStart w:id="483" w:name="Tc__MoVUClWVECoN0n28Z7rVQ_15_7"/>
      <w:bookmarkStart w:id="484" w:name="Tc_-3pTs4SATkKreQxkzRKerQ_15_5"/>
      <w:bookmarkStart w:id="485" w:name="Tc_h1DZufh-N0euPABIM6u6yA_15_2"/>
      <w:bookmarkStart w:id="486" w:name="Tc_u49KGJXM2kO36oyS0LP7vQ_15_0"/>
      <w:bookmarkStart w:id="487" w:name="Tc_gvvmvwJlxUCoA8Mb4TABKg_14_16"/>
      <w:bookmarkStart w:id="488" w:name="Tc_3sHA0O1Q60e5rED1OHHxQA_14_10"/>
      <w:bookmarkStart w:id="489" w:name="Tc_Kl-btt-ki029NP8Hl6uUUg_14_7"/>
      <w:bookmarkStart w:id="490" w:name="Tc_BxsuU2f_sEecgmWdffvlTQ_14_0"/>
      <w:bookmarkStart w:id="491" w:name="Tc_gxcHUiiYl0yaOnhVw5_UYA_13_16"/>
      <w:bookmarkStart w:id="492" w:name="Tc_SUC50a2es0CoDwc3OnatAA_13_10"/>
      <w:bookmarkStart w:id="493" w:name="Tc_pkHkg5Zm90m0-DzqGuv2hA_13_7"/>
      <w:bookmarkStart w:id="494" w:name="Tc_tVNRq_BEpEqtdVBsrmV-Sg_13_0"/>
      <w:bookmarkStart w:id="495" w:name="Tc_2Zsds3MWNESxzFIqHJrKdQ_12_13"/>
      <w:bookmarkStart w:id="496" w:name="Tc_pN0Hn22TekeHTf2WAULZaQ_12_10"/>
      <w:bookmarkStart w:id="497" w:name="Tc_hsFn3XlA9Ey5CbCzWb37bg_12_7"/>
      <w:bookmarkStart w:id="498" w:name="Tc_stCATqWmAUeqx-1X9GWmlA_12_5"/>
      <w:bookmarkStart w:id="499" w:name="Tc_hVacNgIs7EakA31oYHm_8A_12_2"/>
      <w:bookmarkStart w:id="500" w:name="Tc_9LEYJXmt2UykhO2rFeexeA_12_0"/>
      <w:bookmarkStart w:id="501" w:name="Tc_1wlBg9y7AEm4KUx6IVgd8Q_11_0"/>
      <w:bookmarkStart w:id="502" w:name="Tc_CF-YQw9QPkayKuAgxOvcGQ_10_18"/>
      <w:bookmarkStart w:id="503" w:name="Tc_jAIsNeXaWESGS5KHZx02sw_10_15"/>
      <w:bookmarkStart w:id="504" w:name="Tc_S45QW-nsjUqO3whf72alPw_10_12"/>
      <w:bookmarkStart w:id="505" w:name="Tc_yrPxGGUrXUykYkDbIVzyew_10_9"/>
      <w:bookmarkStart w:id="506" w:name="Tc_r7Aoz1tGmUCgIRGYm4SOaw_10_4"/>
      <w:bookmarkStart w:id="507" w:name="Tc_AjEYOZb2p0GUFaO0AS1F2A_10_0"/>
      <w:bookmarkStart w:id="508" w:name="Tc_96SQm39bp0uyCeJBNpCSsg_8_18"/>
      <w:bookmarkStart w:id="509" w:name="Tc_Y3AiwrbWLkauyBtalOqzRw_8_15"/>
      <w:bookmarkStart w:id="510" w:name="Tc_qexmavQFEkGmDwzCebKMlQ_8_12"/>
      <w:bookmarkStart w:id="511" w:name="Tc_APchyNpEwEqR4vLPVQMK9Q_8_9"/>
      <w:bookmarkStart w:id="512" w:name="Tc_esLbPRimqkqsY0CitKrPPg_8_4"/>
      <w:bookmarkStart w:id="513" w:name="Tc_uM8pWKdv5kueFuALH4ENKQ_8_0"/>
      <w:bookmarkStart w:id="514" w:name="Tc_4vqKj2Vj3U2tp6atSJyLSQ_7_16"/>
      <w:bookmarkStart w:id="515" w:name="Tc_1ULWTFpTAEOCU6zRWoC1Ng_7_10"/>
      <w:bookmarkStart w:id="516" w:name="Tc_KGwFSbN4i0WQ3NxIRWqANA_7_7"/>
      <w:bookmarkStart w:id="517" w:name="Tc_aFqnjZAWXUmEsiFvo3qhUw_7_5"/>
      <w:bookmarkStart w:id="518" w:name="Tc_rhIAnqS-akWH0VPq6qGIgQ_7_2"/>
      <w:bookmarkStart w:id="519" w:name="Tc_CXpJZePraEy_ko7-83CCkA_7_0"/>
      <w:bookmarkStart w:id="520" w:name="Tc_DwaG3d7FREm1Q8N34_brfw_6_16"/>
      <w:bookmarkStart w:id="521" w:name="Tc_Ib2KySFg1UWeotd4YFSnRw_6_10"/>
      <w:bookmarkStart w:id="522" w:name="Tc_-wn3GFTCL0KNhYp0oMLrZA_6_7"/>
      <w:bookmarkStart w:id="523" w:name="Tc_b9RB_0fvvUiFzMEbsVXqPw_6_0"/>
      <w:bookmarkStart w:id="524" w:name="Tc_I3mXuPlU-kC7CBbwRjbQ-w_5_13"/>
      <w:bookmarkStart w:id="525" w:name="Tc_0DshtR9xQEiKwNI30PQYRw_5_10"/>
      <w:bookmarkStart w:id="526" w:name="Tc_Hzuxz-SMD0WI8qym7tJ05Q_5_7"/>
      <w:bookmarkStart w:id="527" w:name="Tc_pHdJsw4-pEyY6LT8nZiv2w_5_5"/>
      <w:bookmarkStart w:id="528" w:name="Tc_r99Qg9xLTkqhbG7bVkk5CQ_5_2"/>
      <w:bookmarkStart w:id="529" w:name="Tc_XMuZOV4tKkW50mDmFgB4Jg_5_0"/>
      <w:bookmarkStart w:id="530" w:name="Tc_5FH2T4CR60aJUe43wO-9MQ_4_0"/>
      <w:bookmarkStart w:id="531" w:name="Tc_vRje9BWLSUO4UveBWpjv6Q_3_18"/>
      <w:bookmarkStart w:id="532" w:name="Tc_GUEP5GlEzEWM5_A9c8jNew_3_15"/>
      <w:bookmarkStart w:id="533" w:name="Tc_VE_iFei5RUePJuy_44MGLA_3_12"/>
      <w:bookmarkStart w:id="534" w:name="Tc_W7K5oAonL0Gro4KEBTAeFw_3_9"/>
      <w:bookmarkStart w:id="535" w:name="Tc_Qakj-RFG7U2ON5fi0WyNtg_3_4"/>
      <w:bookmarkStart w:id="536" w:name="Tc_SmWCthufsUCEUrhd3zx5gw_3_0"/>
      <w:bookmarkStart w:id="537" w:name="Tc_isoG-ZcbDk6XTdLqCdnCDw_2_18"/>
      <w:bookmarkStart w:id="538" w:name="Tc_LbTl6Y2ISkilaZlUHrEOWg_2_15"/>
      <w:bookmarkStart w:id="539" w:name="Tc_2vnwkODwDUaLRpuFZFk2pA_2_12"/>
      <w:bookmarkStart w:id="540" w:name="Tc_kHZyOnVPZEC_UUO_EmW5IA_2_9"/>
      <w:bookmarkStart w:id="541" w:name="Tc_G6v1AQ1dZkyWxx--78eKZA_2_7"/>
      <w:bookmarkStart w:id="542" w:name="Tc_S8WFWodKAEWKVFI_qKsKTA_2_4"/>
      <w:bookmarkStart w:id="543" w:name="Tc_AIlyh6UCpkGDitplbEROeQ_2_2"/>
      <w:bookmarkStart w:id="544" w:name="Tc_eGN_dwXgN0G2_mTlghPx3w_1_7"/>
      <w:bookmarkStart w:id="545" w:name="Tc_vDk5pMbL8Uq8yTFKmdhvyQ_1_2"/>
      <w:bookmarkStart w:id="546" w:name="_923383fe_4a0e_47e8_ab3a_e41136b6f544"/>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tbl>
      <w:tblPr>
        <w:tblW w:w="10205" w:type="dxa"/>
        <w:jc w:val="left"/>
        <w:tblInd w:w="0" w:type="dxa"/>
        <w:tblLayout w:type="fixed"/>
        <w:tblCellMar>
          <w:top w:w="0" w:type="dxa"/>
          <w:left w:w="0" w:type="dxa"/>
          <w:bottom w:w="0" w:type="dxa"/>
          <w:right w:w="0" w:type="dxa"/>
        </w:tblCellMar>
      </w:tblPr>
      <w:tblGrid>
        <w:gridCol w:w="2936"/>
        <w:gridCol w:w="346"/>
        <w:gridCol w:w="706"/>
        <w:gridCol w:w="346"/>
        <w:gridCol w:w="166"/>
        <w:gridCol w:w="496"/>
        <w:gridCol w:w="346"/>
        <w:gridCol w:w="721"/>
        <w:gridCol w:w="346"/>
        <w:gridCol w:w="166"/>
        <w:gridCol w:w="436"/>
        <w:gridCol w:w="346"/>
        <w:gridCol w:w="166"/>
        <w:gridCol w:w="465"/>
        <w:gridCol w:w="346"/>
        <w:gridCol w:w="186"/>
        <w:gridCol w:w="610"/>
        <w:gridCol w:w="346"/>
        <w:gridCol w:w="166"/>
        <w:gridCol w:w="563"/>
      </w:tblGrid>
      <w:tr>
        <w:trPr/>
        <w:tc>
          <w:tcPr>
            <w:tcW w:w="2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48310" cy="175260"/>
                      <wp:effectExtent l="0" t="0" r="0" b="0"/>
                      <wp:wrapNone/>
                      <wp:docPr id="26" name="Frame2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05410" cy="175260"/>
                      <wp:effectExtent l="0" t="0" r="0" b="0"/>
                      <wp:wrapNone/>
                      <wp:docPr id="28" name="Frame2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14960" cy="175260"/>
                      <wp:effectExtent l="0" t="0" r="0" b="0"/>
                      <wp:wrapNone/>
                      <wp:docPr id="29" name="Frame29"/>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57835" cy="175260"/>
                      <wp:effectExtent l="0" t="0" r="0" b="0"/>
                      <wp:wrapNone/>
                      <wp:docPr id="31" name="Frame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05410" cy="175260"/>
                      <wp:effectExtent l="0" t="0" r="0" b="0"/>
                      <wp:wrapNone/>
                      <wp:docPr id="33" name="Frame3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76860" cy="175260"/>
                      <wp:effectExtent l="0" t="0" r="0" b="0"/>
                      <wp:wrapNone/>
                      <wp:docPr id="34" name="Frame3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05410" cy="175260"/>
                      <wp:effectExtent l="0" t="0" r="0" b="0"/>
                      <wp:wrapNone/>
                      <wp:docPr id="36" name="Frame3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95275" cy="175260"/>
                      <wp:effectExtent l="0" t="0" r="0" b="0"/>
                      <wp:wrapNone/>
                      <wp:docPr id="37" name="Frame37"/>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8110" cy="175260"/>
                      <wp:effectExtent l="0" t="0" r="0" b="0"/>
                      <wp:wrapNone/>
                      <wp:docPr id="39" name="Frame39"/>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87350" cy="175260"/>
                      <wp:effectExtent l="0" t="0" r="0" b="0"/>
                      <wp:wrapNone/>
                      <wp:docPr id="40" name="Frame40"/>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05410" cy="175260"/>
                      <wp:effectExtent l="0" t="0" r="0" b="0"/>
                      <wp:wrapNone/>
                      <wp:docPr id="42" name="Frame4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57505" cy="175260"/>
                      <wp:effectExtent l="0" t="0" r="0" b="0"/>
                      <wp:wrapNone/>
                      <wp:docPr id="43" name="Frame4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Common Shares</w:t>
            </w:r>
          </w:p>
        </w:tc>
        <w:tc>
          <w:tcPr>
            <w:tcW w:w="346" w:type="dxa"/>
            <w:tcBorders/>
            <w:vAlign w:val="center"/>
          </w:tcPr>
          <w:p>
            <w:pPr>
              <w:pStyle w:val="TableContents"/>
              <w:bidi w:val="0"/>
              <w:spacing w:before="0" w:after="0"/>
              <w:ind w:left="0" w:right="0" w:hanging="0"/>
              <w:jc w:val="left"/>
              <w:rPr/>
            </w:pPr>
            <w:r>
              <w:rPr/>
              <w:t>​</w:t>
            </w:r>
          </w:p>
        </w:tc>
        <w:tc>
          <w:tcPr>
            <w:tcW w:w="16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Pre-funded warrants</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r>
      <w:tr>
        <w:trPr/>
        <w:tc>
          <w:tcPr>
            <w:tcW w:w="29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w:t>
              <w:br/>
              <w:t>of shares</w:t>
            </w:r>
          </w:p>
        </w:tc>
        <w:tc>
          <w:tcPr>
            <w:tcW w:w="346" w:type="dxa"/>
            <w:tcBorders/>
            <w:vAlign w:val="center"/>
          </w:tcPr>
          <w:p>
            <w:pPr>
              <w:pStyle w:val="TableContents"/>
              <w:bidi w:val="0"/>
              <w:spacing w:before="0" w:after="0"/>
              <w:ind w:left="0" w:right="0" w:hanging="0"/>
              <w:jc w:val="center"/>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Number</w:t>
              <w:br/>
              <w:t>of warrants</w:t>
            </w:r>
          </w:p>
        </w:tc>
        <w:tc>
          <w:tcPr>
            <w:tcW w:w="346" w:type="dxa"/>
            <w:tcBorders/>
            <w:vAlign w:val="center"/>
          </w:tcPr>
          <w:p>
            <w:pPr>
              <w:pStyle w:val="TableContents"/>
              <w:bidi w:val="0"/>
              <w:spacing w:before="0" w:after="0"/>
              <w:ind w:left="0" w:right="0" w:hanging="0"/>
              <w:jc w:val="center"/>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w:t>
              <w:br/>
              <w:t>paid-in</w:t>
              <w:br/>
              <w:t>capital</w:t>
            </w:r>
          </w:p>
        </w:tc>
        <w:tc>
          <w:tcPr>
            <w:tcW w:w="346" w:type="dxa"/>
            <w:tcBorders/>
            <w:vAlign w:val="center"/>
          </w:tcPr>
          <w:p>
            <w:pPr>
              <w:pStyle w:val="TableContents"/>
              <w:bidi w:val="0"/>
              <w:spacing w:before="0" w:after="0"/>
              <w:ind w:left="0" w:right="0" w:hanging="0"/>
              <w:jc w:val="center"/>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w:t>
              <w:br/>
              <w:t>deficit</w:t>
            </w:r>
          </w:p>
        </w:tc>
        <w:tc>
          <w:tcPr>
            <w:tcW w:w="346" w:type="dxa"/>
            <w:tcBorders/>
            <w:vAlign w:val="center"/>
          </w:tcPr>
          <w:p>
            <w:pPr>
              <w:pStyle w:val="TableContents"/>
              <w:bidi w:val="0"/>
              <w:spacing w:before="0" w:after="0"/>
              <w:ind w:left="0" w:right="0" w:hanging="0"/>
              <w:jc w:val="center"/>
              <w:rPr/>
            </w:pPr>
            <w:r>
              <w:rPr/>
              <w:t>  ​ ​ ​</w:t>
            </w:r>
          </w:p>
        </w:tc>
        <w:tc>
          <w:tcPr>
            <w:tcW w:w="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53,464,273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288,188</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12,910,590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53,076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40,919</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(388,306)</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(6,123)</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Transactions during the three-month period ended June 30, 2025</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(12,966)</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(12,966)</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Exercise of stock options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29,988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1,308</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1,308</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June 30, 2025</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53,494,261</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288,263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12,910,590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53,076</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42,188</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(401,272)</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(17,745)</w:t>
            </w:r>
          </w:p>
        </w:tc>
      </w:tr>
      <w:tr>
        <w:trPr/>
        <w:tc>
          <w:tcPr>
            <w:tcW w:w="2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March 31, 2026</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117,794,417</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373,702</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16,412,925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55,649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63,367</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(456,669)</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36,049</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Transactions during the three-month period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(28,614)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(28,614)</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24,921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Exercise of Series A common stock warrants, net of issuance costs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6,678,642</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11,230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(1,813)</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9,417</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Share-based compensation </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1,338</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1,338</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June 30, 2026</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124,497,980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384,985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16,412,925</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55,649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62,867</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(485,283)</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18,218</w:t>
            </w:r>
          </w:p>
        </w:tc>
      </w:tr>
      <w:tr>
        <w:trPr/>
        <w:tc>
          <w:tcPr>
            <w:tcW w:w="29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0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3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86" w:type="dxa"/>
            <w:tcBorders/>
            <w:shd w:fill="CCEEFF" w:val="clear"/>
            <w:vAlign w:val="center"/>
          </w:tcPr>
          <w:p>
            <w:pPr>
              <w:pStyle w:val="TableContents"/>
              <w:bidi w:val="0"/>
              <w:spacing w:before="0" w:after="0"/>
              <w:ind w:left="0" w:right="0" w:hanging="0"/>
              <w:jc w:val="center"/>
              <w:rPr/>
            </w:pPr>
            <w:r>
              <w:rPr/>
              <w:t>​</w:t>
            </w:r>
          </w:p>
        </w:tc>
        <w:tc>
          <w:tcPr>
            <w:tcW w:w="61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63" w:type="dxa"/>
            <w:tcBorders/>
            <w:shd w:fill="CCEEFF" w:val="clear"/>
            <w:vAlign w:val="center"/>
          </w:tcPr>
          <w:p>
            <w:pPr>
              <w:pStyle w:val="TableContents"/>
              <w:bidi w:val="0"/>
              <w:spacing w:before="0" w:after="0"/>
              <w:ind w:left="0" w:right="0" w:hanging="0"/>
              <w:jc w:val="center"/>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December 31, 2024</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53,353,984</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288,048</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12,910,590</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53,076</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39,568</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(367,545)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13,147</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Transactions during the six-month period ended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(33,727)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(33,727)</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29,988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2,659</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2,659</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Employee stock purchase plan purchases</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110,289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140</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June 30, 2025</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53,494,261</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288,263</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12,910,590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53,076</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42,188</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(401,272)</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(17,745)</w:t>
            </w:r>
          </w:p>
        </w:tc>
      </w:tr>
      <w:tr>
        <w:trPr/>
        <w:tc>
          <w:tcPr>
            <w:tcW w:w="29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December 31, 2025</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106,236,344</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352,619</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16,412,925</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55,649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64,104</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(430,603)</w:t>
            </w:r>
          </w:p>
        </w:tc>
        <w:tc>
          <w:tcPr>
            <w:tcW w:w="346" w:type="dxa"/>
            <w:tcBorders/>
            <w:vAlign w:val="center"/>
          </w:tcPr>
          <w:p>
            <w:pPr>
              <w:pStyle w:val="TableContents"/>
              <w:bidi w:val="0"/>
              <w:spacing w:before="0" w:after="0"/>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41,769</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Transactions during the six-month period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pPr>
            <w:r>
              <w:rPr/>
              <w:t>​</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(54,680)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(54,680)</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24,921</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Exercise of Series A common stock warrants, net of issuance costs </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12,345,308</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20,759</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(3,352)</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17,407</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2,620</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2,620</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common shares, vesting of restricted stock units</w:t>
            </w:r>
          </w:p>
        </w:tc>
        <w:tc>
          <w:tcPr>
            <w:tcW w:w="3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237,677</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480</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(480)</w:t>
            </w:r>
          </w:p>
        </w:tc>
        <w:tc>
          <w:tcPr>
            <w:tcW w:w="346" w:type="dxa"/>
            <w:tcBorders/>
            <w:vAlign w:val="center"/>
          </w:tcPr>
          <w:p>
            <w:pPr>
              <w:pStyle w:val="TableContents"/>
              <w:bidi w:val="0"/>
              <w:spacing w:before="0" w:after="0"/>
              <w:ind w:left="0" w:right="0" w:hanging="0"/>
              <w:jc w:val="left"/>
              <w:rPr/>
            </w:pPr>
            <w:r>
              <w:rPr/>
              <w:t>​</w:t>
            </w:r>
          </w:p>
        </w:tc>
        <w:tc>
          <w:tcPr>
            <w:tcW w:w="186" w:type="dxa"/>
            <w:tcBorders/>
            <w:vAlign w:val="center"/>
          </w:tcPr>
          <w:p>
            <w:pPr>
              <w:pStyle w:val="TableContents"/>
              <w:bidi w:val="0"/>
              <w:spacing w:before="0" w:after="0"/>
              <w:ind w:left="0" w:right="0" w:hanging="0"/>
              <w:jc w:val="left"/>
              <w:rPr/>
            </w:pPr>
            <w:r>
              <w:rPr/>
              <w:t>​</w:t>
            </w:r>
          </w:p>
        </w:tc>
        <w:tc>
          <w:tcPr>
            <w:tcW w:w="6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common shares, net of issuance costs </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5,526,590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10,890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6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10,890</w:t>
            </w:r>
          </w:p>
        </w:tc>
      </w:tr>
      <w:tr>
        <w:trPr/>
        <w:tc>
          <w:tcPr>
            <w:tcW w:w="293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Employee stock purchase plan purchases</w:t>
            </w:r>
          </w:p>
        </w:tc>
        <w:tc>
          <w:tcPr>
            <w:tcW w:w="3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127,140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w:t>
            </w:r>
          </w:p>
        </w:tc>
      </w:tr>
      <w:tr>
        <w:trPr/>
        <w:tc>
          <w:tcPr>
            <w:tcW w:w="2936" w:type="dxa"/>
            <w:tcBorders/>
            <w:shd w:fill="CCEEFF" w:val="cle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Balance as of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124,497,980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384,985</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16,412,925</w:t>
            </w:r>
          </w:p>
        </w:tc>
        <w:tc>
          <w:tcPr>
            <w:tcW w:w="346" w:type="dxa"/>
            <w:tcBorders/>
            <w:shd w:fill="CCEEFF" w:val="clear"/>
            <w:vAlign w:val="center"/>
          </w:tcPr>
          <w:p>
            <w:pPr>
              <w:pStyle w:val="TableContents"/>
              <w:bidi w:val="0"/>
              <w:spacing w:before="0" w:after="0"/>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55,649</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62,867</w:t>
            </w:r>
          </w:p>
        </w:tc>
        <w:tc>
          <w:tcPr>
            <w:tcW w:w="346"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(485,283)</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42" w:hanging="0"/>
              <w:jc w:val="right"/>
              <w:rPr>
                <w:rFonts w:ascii="Times New Roman;Times;serif" w:hAnsi="Times New Roman;Times;serif"/>
                <w:sz w:val="12"/>
              </w:rPr>
            </w:pPr>
            <w:r>
              <w:rPr>
                <w:rFonts w:ascii="Times New Roman;Times;serif" w:hAnsi="Times New Roman;Times;serif"/>
                <w:sz w:val="12"/>
              </w:rPr>
              <w:t>18,218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7" w:name="_eb394271_ebcd_4fda_8725_e9d1d8dab1dd"/>
      <w:bookmarkEnd w:id="547"/>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sz w:val="20"/>
        </w:rPr>
      </w:pPr>
      <w:bookmarkStart w:id="548" w:name="ConsolidatedStatementsofCashFlows"/>
      <w:bookmarkEnd w:id="548"/>
      <w:r>
        <w:rPr>
          <w:rFonts w:ascii="Times New Roman;Times;serif" w:hAnsi="Times New Roman;Times;serif"/>
          <w:b/>
          <w:sz w:val="20"/>
        </w:rPr>
        <w:t>Condensed Consolidated Statements of Cash Flows</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549" w:name="Tc_0Fk4VkL8CUKBmfld2wyuaw_47_5"/>
      <w:bookmarkStart w:id="550" w:name="Tc_sRKah0HzQkqmY3yqxi8PeQ_47_2"/>
      <w:bookmarkStart w:id="551" w:name="Tc_0zIoc29US0KU3UiTeWWMrw_47_0"/>
      <w:bookmarkStart w:id="552" w:name="Tc_Heyqhc-sHUKLVyBEWNqsNg_45_0"/>
      <w:bookmarkStart w:id="553" w:name="Tc_MFFBogQp20G5Zd-jJQgOgA_43_0"/>
      <w:bookmarkStart w:id="554" w:name="Tc_qRaopMVPFEKpa4K5qfoXHQ_41_0"/>
      <w:bookmarkStart w:id="555" w:name="Tc_zXD7RLhvokmKrKFRY_dwdw_39_6"/>
      <w:bookmarkStart w:id="556" w:name="Tc_eTuOsK9_xk2M7HgWuU-pig_39_0"/>
      <w:bookmarkStart w:id="557" w:name="Tc_wC0IyqYAeEe3CVjk8xhPIQ_38_0"/>
      <w:bookmarkStart w:id="558" w:name="Tc_n43UnGHEaUy9wteet-cv9A_37_6"/>
      <w:bookmarkStart w:id="559" w:name="Tc_r453weQ1e0WoQZHbwLz7mw_37_0"/>
      <w:bookmarkStart w:id="560" w:name="Tc_Or8fIMRRAkCzlN-ROawm9w_36_6"/>
      <w:bookmarkStart w:id="561" w:name="Tc_iMv81bpGYkGFc59nWhjOOw_36_0"/>
      <w:bookmarkStart w:id="562" w:name="Tc_R9RAqOQ6nU-kRugdr9flow_35_6"/>
      <w:bookmarkStart w:id="563" w:name="Tc_RYL5_yg6QUeUcS48wo_DnA_35_0"/>
      <w:bookmarkStart w:id="564" w:name="Tc_IPJhLmoaXEGMW_1jseOoRA_34_0"/>
      <w:bookmarkStart w:id="565" w:name="Tc_ASGfaWNJ90apRh3z4TcUEQ_33_0"/>
      <w:bookmarkStart w:id="566" w:name="Tc_1fx9mRYSKEyU1gDXA4IQ7w_31_0"/>
      <w:bookmarkStart w:id="567" w:name="Tc_In4d-714q0u11j75A4K5Sw_29_0"/>
      <w:bookmarkStart w:id="568" w:name="Tc_niiznEMMXU61LEh1YUwIEw_28_0"/>
      <w:bookmarkStart w:id="569" w:name="Tc_yAPmivA3g0apkr4vOWyGOA_27_0"/>
      <w:bookmarkStart w:id="570" w:name="Tc_gx5AkIDnsESFKxL717GyeA_26_0"/>
      <w:bookmarkStart w:id="571" w:name="Tc_5nsiN9diDU2BC129ErHbPA_24_0"/>
      <w:bookmarkStart w:id="572" w:name="Tc_mg8B4w1rAEu491jinhifog_22_6"/>
      <w:bookmarkStart w:id="573" w:name="Tc_jkcSU405dU2WO5IgQtzuHw_22_0"/>
      <w:bookmarkStart w:id="574" w:name="Tc_5aheKtM7qkeOHDQo626eLQ_21_0"/>
      <w:bookmarkStart w:id="575" w:name="Tc_VxyC69ewBUSLegH7gZWDgw_20_0"/>
      <w:bookmarkStart w:id="576" w:name="Tc_7Ro0Xh2gekiNjeYHz1Y1Sg_19_0"/>
      <w:bookmarkStart w:id="577" w:name="Tc_eXUfezYHAEiJeRkD-vfBhA_18_6"/>
      <w:bookmarkStart w:id="578" w:name="Tc_3OmogtuU_0ulIddwHGHf0g_18_0"/>
      <w:bookmarkStart w:id="579" w:name="Tc_tz4ht-yx3UG3cOIQ0Cyp5A_17_0"/>
      <w:bookmarkStart w:id="580" w:name="Tc_1DI5W0lbj0W0_q3QYqa7aA_16_0"/>
      <w:bookmarkStart w:id="581" w:name="Tc_Kx2lU22aQE-CsBr7SPNaoQ_15_0"/>
      <w:bookmarkStart w:id="582" w:name="Tc_dSc4o3klykm8cmKZpdSnNA_14_6"/>
      <w:bookmarkStart w:id="583" w:name="Tc_DvhbLRA0o0anwGv2hwr0Bw_14_0"/>
      <w:bookmarkStart w:id="584" w:name="Tc_XsYXv5iA1kGZ3EOLvdr0iQ_13_6"/>
      <w:bookmarkStart w:id="585" w:name="Tc_bxZ0hMsgMEavAHM_Luxzuw_13_0"/>
      <w:bookmarkStart w:id="586" w:name="Tc_95mjUeGmIE2u8XwLo4p-yg_12_0"/>
      <w:bookmarkStart w:id="587" w:name="Tc_TOlt_IY73Ee75KWiG5W9qw_11_0"/>
      <w:bookmarkStart w:id="588" w:name="Tc_vlpPTSOxrEyNwFQQTX60ow_10_6"/>
      <w:bookmarkStart w:id="589" w:name="Tc_HLtsWVYAh02D5XpsqGofvw_10_0"/>
      <w:bookmarkStart w:id="590" w:name="Tc_PrseV9NikUCkR3Og9Ad37A_9_0"/>
      <w:bookmarkStart w:id="591" w:name="Tc_0Pjb_UPE402Y8-OZdwJesw_8_3"/>
      <w:bookmarkStart w:id="592" w:name="Tc_N7NTRAQQPUmJlJGMqXvaLw_8_0"/>
      <w:bookmarkStart w:id="593" w:name="Tc_g8TcIEJY10-QCfr9KyOVeA_7_0"/>
      <w:bookmarkStart w:id="594" w:name="Tc_YNPmwvatZk2cW_rk7h9KJA_6_0"/>
      <w:bookmarkStart w:id="595" w:name="Tc_GhSg16RhV0esSof2S3Du-Q_5_0"/>
      <w:bookmarkStart w:id="596" w:name="Tc_BXlPDrOvLEyxOu4H_ZvJUQ_4_5"/>
      <w:bookmarkStart w:id="597" w:name="Tc_uTYg2Qz1wkSVmRGl3tYliA_4_2"/>
      <w:bookmarkStart w:id="598" w:name="Tc_hlzLoPSt9kyjk0dJztzwhw_4_0"/>
      <w:bookmarkStart w:id="599" w:name="Tc_OGXetAEou0amdRRpEbSfOw_3_0"/>
      <w:bookmarkStart w:id="600" w:name="Tc_lj67nAwrj0G8Hic9QlcHYA_2_5"/>
      <w:bookmarkStart w:id="601" w:name="Tc_ZNaOGZaolk2jfn8tDSuJtQ_2_2"/>
      <w:bookmarkStart w:id="602" w:name="Tc_-P2QOcEN-0-fHNP8OES3Dw_1_2"/>
      <w:bookmarkStart w:id="603" w:name="_03ee283a_0d6f_4e55_b7a1_85243262c586"/>
      <w:bookmarkStart w:id="604" w:name="Tc_0Fk4VkL8CUKBmfld2wyuaw_47_5"/>
      <w:bookmarkStart w:id="605" w:name="Tc_sRKah0HzQkqmY3yqxi8PeQ_47_2"/>
      <w:bookmarkStart w:id="606" w:name="Tc_0zIoc29US0KU3UiTeWWMrw_47_0"/>
      <w:bookmarkStart w:id="607" w:name="Tc_Heyqhc-sHUKLVyBEWNqsNg_45_0"/>
      <w:bookmarkStart w:id="608" w:name="Tc_MFFBogQp20G5Zd-jJQgOgA_43_0"/>
      <w:bookmarkStart w:id="609" w:name="Tc_qRaopMVPFEKpa4K5qfoXHQ_41_0"/>
      <w:bookmarkStart w:id="610" w:name="Tc_zXD7RLhvokmKrKFRY_dwdw_39_6"/>
      <w:bookmarkStart w:id="611" w:name="Tc_eTuOsK9_xk2M7HgWuU-pig_39_0"/>
      <w:bookmarkStart w:id="612" w:name="Tc_wC0IyqYAeEe3CVjk8xhPIQ_38_0"/>
      <w:bookmarkStart w:id="613" w:name="Tc_n43UnGHEaUy9wteet-cv9A_37_6"/>
      <w:bookmarkStart w:id="614" w:name="Tc_r453weQ1e0WoQZHbwLz7mw_37_0"/>
      <w:bookmarkStart w:id="615" w:name="Tc_Or8fIMRRAkCzlN-ROawm9w_36_6"/>
      <w:bookmarkStart w:id="616" w:name="Tc_iMv81bpGYkGFc59nWhjOOw_36_0"/>
      <w:bookmarkStart w:id="617" w:name="Tc_R9RAqOQ6nU-kRugdr9flow_35_6"/>
      <w:bookmarkStart w:id="618" w:name="Tc_RYL5_yg6QUeUcS48wo_DnA_35_0"/>
      <w:bookmarkStart w:id="619" w:name="Tc_IPJhLmoaXEGMW_1jseOoRA_34_0"/>
      <w:bookmarkStart w:id="620" w:name="Tc_ASGfaWNJ90apRh3z4TcUEQ_33_0"/>
      <w:bookmarkStart w:id="621" w:name="Tc_1fx9mRYSKEyU1gDXA4IQ7w_31_0"/>
      <w:bookmarkStart w:id="622" w:name="Tc_In4d-714q0u11j75A4K5Sw_29_0"/>
      <w:bookmarkStart w:id="623" w:name="Tc_niiznEMMXU61LEh1YUwIEw_28_0"/>
      <w:bookmarkStart w:id="624" w:name="Tc_yAPmivA3g0apkr4vOWyGOA_27_0"/>
      <w:bookmarkStart w:id="625" w:name="Tc_gx5AkIDnsESFKxL717GyeA_26_0"/>
      <w:bookmarkStart w:id="626" w:name="Tc_5nsiN9diDU2BC129ErHbPA_24_0"/>
      <w:bookmarkStart w:id="627" w:name="Tc_mg8B4w1rAEu491jinhifog_22_6"/>
      <w:bookmarkStart w:id="628" w:name="Tc_jkcSU405dU2WO5IgQtzuHw_22_0"/>
      <w:bookmarkStart w:id="629" w:name="Tc_5aheKtM7qkeOHDQo626eLQ_21_0"/>
      <w:bookmarkStart w:id="630" w:name="Tc_VxyC69ewBUSLegH7gZWDgw_20_0"/>
      <w:bookmarkStart w:id="631" w:name="Tc_7Ro0Xh2gekiNjeYHz1Y1Sg_19_0"/>
      <w:bookmarkStart w:id="632" w:name="Tc_eXUfezYHAEiJeRkD-vfBhA_18_6"/>
      <w:bookmarkStart w:id="633" w:name="Tc_3OmogtuU_0ulIddwHGHf0g_18_0"/>
      <w:bookmarkStart w:id="634" w:name="Tc_tz4ht-yx3UG3cOIQ0Cyp5A_17_0"/>
      <w:bookmarkStart w:id="635" w:name="Tc_1DI5W0lbj0W0_q3QYqa7aA_16_0"/>
      <w:bookmarkStart w:id="636" w:name="Tc_Kx2lU22aQE-CsBr7SPNaoQ_15_0"/>
      <w:bookmarkStart w:id="637" w:name="Tc_dSc4o3klykm8cmKZpdSnNA_14_6"/>
      <w:bookmarkStart w:id="638" w:name="Tc_DvhbLRA0o0anwGv2hwr0Bw_14_0"/>
      <w:bookmarkStart w:id="639" w:name="Tc_XsYXv5iA1kGZ3EOLvdr0iQ_13_6"/>
      <w:bookmarkStart w:id="640" w:name="Tc_bxZ0hMsgMEavAHM_Luxzuw_13_0"/>
      <w:bookmarkStart w:id="641" w:name="Tc_95mjUeGmIE2u8XwLo4p-yg_12_0"/>
      <w:bookmarkStart w:id="642" w:name="Tc_TOlt_IY73Ee75KWiG5W9qw_11_0"/>
      <w:bookmarkStart w:id="643" w:name="Tc_vlpPTSOxrEyNwFQQTX60ow_10_6"/>
      <w:bookmarkStart w:id="644" w:name="Tc_HLtsWVYAh02D5XpsqGofvw_10_0"/>
      <w:bookmarkStart w:id="645" w:name="Tc_PrseV9NikUCkR3Og9Ad37A_9_0"/>
      <w:bookmarkStart w:id="646" w:name="Tc_0Pjb_UPE402Y8-OZdwJesw_8_3"/>
      <w:bookmarkStart w:id="647" w:name="Tc_N7NTRAQQPUmJlJGMqXvaLw_8_0"/>
      <w:bookmarkStart w:id="648" w:name="Tc_g8TcIEJY10-QCfr9KyOVeA_7_0"/>
      <w:bookmarkStart w:id="649" w:name="Tc_YNPmwvatZk2cW_rk7h9KJA_6_0"/>
      <w:bookmarkStart w:id="650" w:name="Tc_GhSg16RhV0esSof2S3Du-Q_5_0"/>
      <w:bookmarkStart w:id="651" w:name="Tc_BXlPDrOvLEyxOu4H_ZvJUQ_4_5"/>
      <w:bookmarkStart w:id="652" w:name="Tc_uTYg2Qz1wkSVmRGl3tYliA_4_2"/>
      <w:bookmarkStart w:id="653" w:name="Tc_hlzLoPSt9kyjk0dJztzwhw_4_0"/>
      <w:bookmarkStart w:id="654" w:name="Tc_OGXetAEou0amdRRpEbSfOw_3_0"/>
      <w:bookmarkStart w:id="655" w:name="Tc_lj67nAwrj0G8Hic9QlcHYA_2_5"/>
      <w:bookmarkStart w:id="656" w:name="Tc_ZNaOGZaolk2jfn8tDSuJtQ_2_2"/>
      <w:bookmarkStart w:id="657" w:name="Tc_-P2QOcEN-0-fHNP8OES3Dw_1_2"/>
      <w:bookmarkStart w:id="658" w:name="_03ee283a_0d6f_4e55_b7a1_85243262c586"/>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tbl>
      <w:tblPr>
        <w:tblW w:w="7435" w:type="dxa"/>
        <w:jc w:val="left"/>
        <w:tblInd w:w="0" w:type="dxa"/>
        <w:tblLayout w:type="fixed"/>
        <w:tblCellMar>
          <w:top w:w="0" w:type="dxa"/>
          <w:left w:w="0" w:type="dxa"/>
          <w:bottom w:w="0" w:type="dxa"/>
          <w:right w:w="0" w:type="dxa"/>
        </w:tblCellMar>
      </w:tblPr>
      <w:tblGrid>
        <w:gridCol w:w="5101"/>
        <w:gridCol w:w="109"/>
        <w:gridCol w:w="196"/>
        <w:gridCol w:w="721"/>
        <w:gridCol w:w="346"/>
        <w:gridCol w:w="196"/>
        <w:gridCol w:w="766"/>
      </w:tblGrid>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57835" cy="175260"/>
                      <wp:effectExtent l="0" t="0" r="0" b="0"/>
                      <wp:wrapNone/>
                      <wp:docPr id="46" name="Frame4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86410" cy="175260"/>
                      <wp:effectExtent l="0" t="0" r="0" b="0"/>
                      <wp:wrapNone/>
                      <wp:docPr id="49" name="Frame4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(54,680)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(33,727)</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of property and equipment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investment discount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interest expense related to senior secured convertible note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1,678</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interest expense related to royalty financing obligation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2,659</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License receivable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receivables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tax credits receivable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1,092</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(26,518)</w:t>
            </w:r>
          </w:p>
        </w:tc>
      </w:tr>
      <w:tr>
        <w:trPr/>
        <w:tc>
          <w:tcPr>
            <w:tcW w:w="51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investing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short-term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(79,967)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(922)</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short-term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44,466</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43,527</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options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Royalty Financing Arrangement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shares, net of issuance costs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exercise of series A warrants, net of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employee stock purchase plan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property and equipment financing</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17,185</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25,314</w:t>
            </w:r>
          </w:p>
        </w:tc>
      </w:tr>
      <w:tr>
        <w:trPr/>
        <w:tc>
          <w:tcPr>
            <w:tcW w:w="51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r>
      <w:tr>
        <w:trPr/>
        <w:tc>
          <w:tcPr>
            <w:tcW w:w="510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169,728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54" w:hanging="0"/>
              <w:jc w:val="right"/>
              <w:rPr>
                <w:rFonts w:ascii="Times New Roman;Times;serif" w:hAnsi="Times New Roman;Times;serif"/>
                <w:sz w:val="16"/>
              </w:rPr>
            </w:pPr>
            <w:r>
              <w:rPr>
                <w:rFonts w:ascii="Times New Roman;Times;serif" w:hAnsi="Times New Roman;Times;serif"/>
                <w:sz w:val="16"/>
              </w:rPr>
              <w:t>42,499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659" w:name="a1Organizationandnatureofoperations_3301"/>
      <w:bookmarkEnd w:id="659"/>
      <w:r>
        <w:rPr>
          <w:rFonts w:ascii="Times New Roman;Times;serif" w:hAnsi="Times New Roman;Times;serif"/>
          <w:b/>
          <w:sz w:val="20"/>
        </w:rPr>
        <w:t>1. Organization and Nature of Operations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Milestone Pharmaceuticals Inc., or “Milestone,” or the “Company,” is a biopharmaceutical company incorporated under the </w:t>
      </w:r>
      <w:r>
        <w:rPr>
          <w:rFonts w:ascii="Times New Roman;Times;serif" w:hAnsi="Times New Roman;Times;serif"/>
          <w:i/>
          <w:sz w:val="20"/>
        </w:rPr>
        <w:t>Business Corporations Act</w:t>
      </w:r>
      <w:r>
        <w:rPr>
          <w:rFonts w:ascii="Times New Roman;Times;serif" w:hAnsi="Times New Roman;Times;serif"/>
          <w:sz w:val="20"/>
        </w:rPr>
        <w:t xml:space="preserve"> (Québec). Milestone’s headquarters is currently located in Montréal (Québec), Canada. The Company’s common shares began trading on The Nasdaq Global Select Market on May 9, 2019, and trade under the symbol “MIST”. Milestone is focused on the development and commercialization of innovative cardiovascular medicines. Milestone’s lead product candidate, etripamil, is a novel, potent rapid-onset calcium channel blocker that the Company designed and is developing as a rapid-onset nasal spray to be administered by patients. On December 12, 2025, CARDAMYST™ (etripamil) was approved by the U.S. Food and Drug Administration, or “FDA,” to treat paroxysmal supraventricular tachycardia, or “PSVT.” The Company launched CARDAMYST through U.S. retail pharmacies in February 2026. The Company is also developing etripamil for the treatment of atrial fibrillation with rapid ventricular rate, or “AFib-RVR,” and other cardiovascular indications.</w:t>
      </w:r>
    </w:p>
    <w:p>
      <w:pPr>
        <w:pStyle w:val="TextBody"/>
        <w:bidi w:val="0"/>
        <w:spacing w:before="0" w:after="0"/>
        <w:ind w:left="0" w:right="0" w:hanging="0"/>
        <w:jc w:val="left"/>
        <w:rPr/>
      </w:pPr>
      <w:r>
        <w:rPr/>
        <w:t>​</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Basis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Milestone Pharmaceuticals USA, Inc. All intercompany transactions and balances have been eliminated.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Basis of Presentation and Use of Accounting Estimates and 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accounting principles generally accepted in the United States of America, or “U.S. GAAP,” pursuant to the rules and regulations of the Securities and Exchange Commission (SEC) for interim financial information, and on a basis consistent with those accounting principles followed by the Company and disclosed in Note 2, “Summary of Significant Accounting Policies,” of its most recent annual consolidated financial statements. Certain information, in particular the accompanying notes normally included in the annual financial statements prepared in accordance with U.S. GAAP, has been omitted or condensed. Accordingly, these unaudited interim condensed consolidated financial statements do not include all the information required for full annual financial statements, and therefore, should be read in conjunction with the annual consolidated financial statements and the notes thereto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the Company's management, the accompanying unaudited interim condensed consolidated financial statements contain all adjustments, consisting of only normal recurring adjustments, necessary for a fair statement of its condensed consolidated balance sheet as of June 30, 2026, and its condensed consolidated statements of loss and shareholders’ equity for the three and six months ended June 30, 2026 and 2025, and its condensed consolidated statements of cash flows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condensed consolidated balance sheet as of December 31, 2025, was derived from the audited annual consolidated financial statements, but does not contain all the footnote disclosures required by U.S. GAAP. In the first quarter of 2026, amounts previously presented as “Accounts payable and accrued liabilities” on the Condensed Consolidated Balance Sheets were disaggregated and presented separately as “Accounts payable” and “Accrued liabilities.” Comparative balance sheet amounts have been disaggregated to conform with the current period presentation. Additionally, commencing in the second quarter of 2026, amounts previously presented as “Commercial” and “General and administrative” expenses in the Condensed Consolidated Statement of Loss are aggregated and presented as “Selling, general and administrative.”  Comparative amounts have been aggregated to conform with the current period presentation.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are presented in U.S. dollars, which is the Company’s functional currency.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preparation of unaudited interim condensed consolidated financial statements in conformity with U.S. GAAP requires the Company to make estimates and judgments that affect certain reported amounts of assets and liabilities and disclosure of contingent assets and liabilities at the date of the consolidated financial statements and the reported amounts of revenue and expenses during the period. The Company bases its estimates and assumptions on current facts, historical experience and various other factors that it believes are reasonable under the circumstances, to determine the carrying values of assets and liabilities that are not readily apparent from other sources. Significant estimates and judgments include, but are not limited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the percentage of work completed of the total work over the life of the individual trial in accordance with agreements established with clinical research organizations, or “CROs,” contract manufacturing organizations, or “CMOs,” and clinical trial sites which in turn impact the research and development, or “R&amp;D,”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 of the grant date fair value of share options granted to employees, consultants, and directors, and the resulting share-based compensation expense, using the Black-Scholes option pricing model.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 of the transaction price when recognizing revenue. Net revenue from sales of CARDAMYST is recorded at net selling price (transaction price), which includes reserves for variable consideration.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the timing and amount of future royalty payments to be generated from product sales over the expected repayment term, which are used to determine the effective interest rate and resulting interest expense and carrying amount of the royalty financing obligation.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Estimates and assumptions about future events and their effects cannot be determined with certainty and therefore require the exercise of judgment. As of the date of issuance of these condensed consolidated financial statements, the Company is not aware of any specific event or circumstance that would require the Company to update its estimates, assumptions and judgments.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 Significant Risks and Uncertainties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subject to challenges and risks specific to its business and its ability to execute on its strategy, as well as risks and uncertainties common to companies in the pharmaceutical industry, including, without limitation, risks and uncertainties associated with: commercializing CARDAMYST; procuring inventory given the Company’s reliance on a concentrated supplier base, delays or problems in the supply of its study drug or failure to comply with manufacturing regulations; identifying, acquiring or in-licensing product candidates; pharmaceutical product development and the inherent uncertainty of clinical success; and the challenges of protecting and enhancing its intellectual property rights; and complying with applicable regulatory requirements.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the Company may be impacted by general economic, political, and market conditions, including deteriorating market conditions due to investor concerns regarding inflation, armed conflicts, and overall fluctuations in the financial markets in the U.S. and abroad.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 Recent Accounting Pronouncements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Financial Accounting Standards Board, or “FASB,” issued Accounting Standards Update, or “ASU” 2024-03 “</w:t>
      </w:r>
      <w:r>
        <w:rPr>
          <w:rFonts w:ascii="Times New Roman;Times;serif" w:hAnsi="Times New Roman;Times;serif"/>
          <w:i/>
          <w:sz w:val="20"/>
        </w:rPr>
        <w:t>Income Statement: Reporting Comprehensive Income— Expense Disaggregation Disclosures</w:t>
      </w:r>
      <w:r>
        <w:rPr>
          <w:rFonts w:ascii="Times New Roman;Times;serif" w:hAnsi="Times New Roman;Times;serif"/>
          <w:sz w:val="20"/>
        </w:rPr>
        <w:t xml:space="preserve">,” which requires more detailed information about specified categories of expenses (purchases of inventory, employee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financial statement disclosures.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2024-04, “</w:t>
      </w:r>
      <w:r>
        <w:rPr>
          <w:rFonts w:ascii="Times New Roman;Times;serif" w:hAnsi="Times New Roman;Times;serif"/>
          <w:i/>
          <w:sz w:val="20"/>
        </w:rPr>
        <w:t>Debt—Debt with Conversion and Other Options (Subtopic 470-20): Induced Conversions of Convertible Debt Instruments,”</w:t>
      </w:r>
      <w:r>
        <w:rPr>
          <w:rFonts w:ascii="Times New Roman;Times;serif" w:hAnsi="Times New Roman;Times;serif"/>
          <w:sz w:val="20"/>
        </w:rPr>
        <w:t xml:space="preserve"> which clarifies the requirements for determining whether certain settlements of convertible debt instruments should be accounted for as induced conversions or as debt extinguishments. This ASU is effective for fiscal years beginning after December 15, 2025, including interim periods within those fiscal years. The amendments may be applied on either a prospective or retrospective basis. The Company adopted this standard and determined that it did not have a material impact with respect to the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July 2025, the FASB issued ASU 2025-05, “</w:t>
      </w:r>
      <w:r>
        <w:rPr>
          <w:rFonts w:ascii="Times New Roman;Times;serif" w:hAnsi="Times New Roman;Times;serif"/>
          <w:i/>
          <w:sz w:val="20"/>
        </w:rPr>
        <w:t>Financial Instruments—Credit Losses (Topic 326): Measurement of Credit Losses for Accounts Receivable and Contract Assets,”</w:t>
      </w:r>
      <w:r>
        <w:rPr>
          <w:rFonts w:ascii="Times New Roman;Times;serif" w:hAnsi="Times New Roman;Times;serif"/>
          <w:sz w:val="20"/>
        </w:rPr>
        <w:t xml:space="preserve"> which provides a practical expedient for estimating expected credit losses on current accounts receivable and current contract assets arising from transactions accounted for under ASC 606. This ASU is effective for fiscal years beginning after December 15, 2025, including interim periods within those fiscal years. The amendments are applied prospectively. The Company adopted this standard and determined that it did not have a material impact with respect to the condensed consolidated financial statements.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 Sources of Liquidity and Funding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incurred operating losses and experienced negative operating cash flows since its inception and expects to continue to incur additional costs in connection with the initial launch and continued commercialization of CARDAMYST. To date the Company has, and intends to continue, financing commercialization and working capital needs from existing cash, proceeds from the commercialization of CARDAMYST, royalty revenue, the exercise of outstanding common stock options and warrants to purchase common stock, and existing and possible future licensing and commercial partnership agreements. As of June 30, 2026, the Company had cash, cash equivalents and short-term investments of $170.6 million and an accumulated deficit of $485.3 million. The Company believes that its cash, cash equivalents, and short-term investments as of June 30, 2026, will be sufficient to fund its planned operations for at least the next 12 months from the date of issuance of these unaudited interim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historically financed its operations primarily through the sale of equity securities, convertible notes, short-term investments, and from cash received pursuant to its license agreement. Although the Company is now generating product revenues from the sale of CARDAMYST, the Company is in the initial stages of launch, and as such, expects operating losses and negative cash flows from operations to continue for the foreseeable future.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xml:space="preserve"> </w:t>
      </w:r>
      <w:r>
        <w:rPr>
          <w:rFonts w:ascii="Times New Roman;Times;serif" w:hAnsi="Times New Roman;Times;serif"/>
          <w:b/>
          <w:sz w:val="20"/>
        </w:rPr>
        <w:t>Revenue Recognition</w:t>
      </w:r>
      <w:r>
        <w:rPr>
          <w:rFonts w:ascii="Times New Roman;Times;serif" w:hAnsi="Times New Roman;Time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Product Revenue, net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revenue in accordance with FASB Accounting Standards Codification (“ASC”) Topic 606, </w:t>
      </w:r>
      <w:r>
        <w:rPr>
          <w:rFonts w:ascii="Times New Roman;Times;serif" w:hAnsi="Times New Roman;Times;serif"/>
          <w:i/>
          <w:sz w:val="20"/>
        </w:rPr>
        <w:t>Revenue from Contracts with Customers (“ASC 606”)</w:t>
      </w:r>
      <w:r>
        <w:rPr>
          <w:rFonts w:ascii="Times New Roman;Times;serif" w:hAnsi="Times New Roman;Times;serif"/>
          <w:sz w:val="20"/>
        </w:rPr>
        <w:t xml:space="preserve">. Revenue is recognized at a point in time when the customer obtains control of promised goods or services in an amount that reflects the consideration to which the Company expects to be entitled in exchange for those goods or services. To determine revenue recognition for arrangements that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product revenues for the three and six months ended June 30, 2026, relate to sales of CARDAMYST in the United States. The Company recognizes revenue on product sales when control of the promised goods is transferred to its customers in an amount that reflects the consideration expected to be received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When determining whether the customer has obtained control of the goods, the Company considers any future performance obligations.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is recorded net of variable consideration, which includes prompt pay discounts, distribution fees, returns, chargebacks, rebates, co-payment assistance, and patient assistance programs.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Prompt Pay</w:t>
      </w:r>
      <w:r>
        <w:rPr>
          <w:rFonts w:ascii="Times New Roman;Times;serif" w:hAnsi="Times New Roman;Times;serif"/>
          <w:sz w:val="20"/>
        </w:rPr>
        <w:t>: Customers receive a prompt pay discount for payments made within a contractually agreed number of days before the due date. The discounts are accounted for as a reduction of the transaction price and recorded as a contra-receivable.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Distribution fees: </w:t>
      </w:r>
      <w:r>
        <w:rPr>
          <w:rFonts w:ascii="Times New Roman;Times;serif" w:hAnsi="Times New Roman;Times;serif"/>
          <w:sz w:val="20"/>
        </w:rPr>
        <w:t xml:space="preserve">The Company compensates its customers for distribution of its products and the use of data. The Company has determined that such services received to date are not distinct from its sale of products and may not reasonably represent fair value for these services. Therefore, estimates of these payments are recorded as a reduction of revenue based on contractual terms.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Returns</w:t>
      </w:r>
      <w:r>
        <w:rPr>
          <w:rFonts w:ascii="Times New Roman;Times;serif" w:hAnsi="Times New Roman;Times;serif"/>
          <w:sz w:val="20"/>
        </w:rPr>
        <w:t>: The Company records allowances for product returns as a reduction of revenue at the time product sales are recorded. Product returns are estimated based on forecasted sales and historical and industry data. Returns are permitted in accordance with the return of goods policy defined within each customer agreement. A returns reserve is recorded as an accrued liability.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The Company estimates obligations resulting from contractual commitments with the government and other entities to sell products to qualified healthcare providers at prices 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Co-payment assistance and patient assistance programs</w:t>
      </w:r>
      <w:r>
        <w:rPr>
          <w:rFonts w:ascii="Times New Roman;Times;serif" w:hAnsi="Times New Roman;Times;serif"/>
          <w:sz w:val="20"/>
        </w:rPr>
        <w:t xml:space="preserve">: Patients who have commercial insurance and meet certain eligibility requirements may receive co-payment assistance. Based upon the terms of the program and co-payment assistance utilization reports received, the Company estimates the co-payment assistance amounts, which are recorded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same period in which the related revenue is recognized, resulting in a reduction of product revenue and establishment of a current liability.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The Company’s rebates include amounts paid to managed care organizations, Medicaid, Medicare, and other rebate programs. Reserves for rebates are recorded in the same period the related product revenue is recognized, resulting in a reduction of product revenues and a current liability that is included in accrued liabilities on the consolidated balance sheet. The Company’s estimate for rebates is based on statutory or contractual discount rates, expected utilization or an estimated number of patients on treatment, as applicable.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License Revenue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recorded no license revenue for either of the three and six months ended June 30, 2026 and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prior periods, the Company recognized license revenue upon achievement of milestones under its License and Collaboration Agreement, dated May 15, 2021 (the “Ji Xing License Agreement”), with Corxel Pharmaceuticals (formerly known as Ji Xing Pharmaceuticals Limited, “Ji Xing”). On March 23, 2026, Corxel announced that it had entered into an Asset Purchase Agreement with Everest Medicines (“Everest”), pursuant to which Everest acquired the rights to develop, manufacture and commercialize CARDAMYST™ (etripamil) nasal spray in Greater China, including mainland China, Hong Kong, Macau and Taiwan.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milestones were achieved under the Ji Xing License Agreement during either of the three and six months ended June 30, 2026 and 2025. For additional information regarding the license agreement, see Note 3, “Revenue,” to the Company’s audited consolidated financial statements included in the Company’s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 Cost of Product Sales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product sales includes the costs of producing inventory related to CARDAMYST, including manufacturing, freight, overhead, and any inventory valuation adjustments, and is recognized in the period in which the related product revenue is earned.</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Prior to FDA approval of CARDAMYST on December 12, 2025, all manufacturing costs were expensed as research and development costs. As a result, inventory on hand at the time of approval had a zero-cost basis.</w:t>
      </w:r>
    </w:p>
    <w:p>
      <w:pPr>
        <w:pStyle w:val="TextBody"/>
        <w:bidi w:val="0"/>
        <w:spacing w:before="280" w:after="0"/>
        <w:ind w:left="0" w:right="0" w:hanging="0"/>
        <w:jc w:val="left"/>
        <w:rPr>
          <w:rFonts w:ascii="Times New Roman;Times;serif" w:hAnsi="Times New Roman;Times;serif"/>
          <w:sz w:val="20"/>
        </w:rPr>
      </w:pPr>
      <w:r>
        <w:rPr>
          <w:rFonts w:ascii="Times New Roman;Times;serif" w:hAnsi="Times New Roman;Times;serif"/>
          <w:sz w:val="20"/>
        </w:rPr>
        <w:t>For the three and six months ended June 30, 2026, the Company recognized a de minimis amount of cost of product sales, consisting primarily of post-approval manufacturing activities, including final packaging costs. Accordingly, cost of product sales for the period may not be indicative of the full cost of units sold, and gross margin may not be representative of future periods. The Company recorded no cost of product sales for the three and six months ended June 30,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 Royalty Financing Obligation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royalty financing obligation is required to be repaid based on royalties from net sales of CARDAMYST in the United States under the Royalty Purchase Agreement with RTW – see Note 11, “Royalty Financing Obligation,” for further details on the Royalty Purchase Agreement. Interest expense is accrued using the effective interest rate method over the estimated period of royalty payments. This requires the Company to estimate the total amount of future royalty payments to be generated from product sales in the United States over the estimated repayment term of the obligation. The Company imputes interest on the carrying value of the royalty financing obligation and records interest expense using an imputed effective interest rate. The Company reassesses the expected royalty payments each reporting period and accounts for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through adjustments to the effective interest rate on a prospective basis. The assumptions used in determining the estimated repayment term of the debt require that the Company make estimates which could impact the carrying value of the obligation. A significant increase or decrease in forecasted net sales could materially impact the liability balance, interest expense, and the time period for repayment.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 Concentration Risks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 of credit risk consist primarily of cash and cash equivalents and investment securities classified as held-to-maturity. The Company maintains deposits at major financial institutions and such amounts may exceed those amounts insured by the Federal Deposit Insurance Corporation, or the “FDIC.” The Company has not experienced any losses on its deposits since inception, and the Company believes that minimal credit risk exists with respect to these financial institutions. Additionally, the Company has adopted an investment policy that includes guidelines relative to credit quality, diversification of maturities and liquidity.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Supplier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relies on a single source manufacturer for starting materials and active pharmaceutical ingredient, or “API,” packaging components, and packaged pharmaceutical product ready for commercial sale.</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j) 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Inventory is stated at the lower of cost or net realizable value, with cost determined on a first-in, first-out, or “FIFO,” basis. Inventory costs include raw materials, work-in-process, finished goods, and applicable manufacturing overhead. Raw materials include starting materials used to manufacture the API. Work-in-process includes API, intermediate compounding steps, and bulk drug product. Finished goods include packaging components and the packaged pharmaceutical product ready for commercial 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Prior to the FDA’s approval of CARDAMYST on December 12, 2025, costs associated with manufacturing pre-approval commercial batches and clinical materials were expensed as research and development expenses in accordance with the Company’s accounting policy and SAB Topic 5A, as the product had not yet received regulatory approval and therefore did not meet the criteria for capitalization. Following FDA approval, the Company began capitalizing inventory related to CARDAMYST manufactured after the approval date. Inventory produced prior to approval and previously expensed as research and development remains recorded at a zero-cost basis and is excluded from the inventory balance.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the Company’s inventory is subject to expiration, the Company evaluates its carrying value each reporting period and records allowances for any estimated excess, obsolete, short-dated, or otherwise unmarketable inventory. In accordance with regulatory requirements and current Good Manufacturing Practices, or “cGMP,” the Company’s inventory is also subject to strict quality control and monitoring throughout the manufacturing process. If certain batches or units do not meet quality specifications, the Company would write down the related inventory to its estimated net realizable value and record the expense as a cost of production in the Consolidated Statement of Loss. Inventory valuation adjustments require judgment and consideration of various factors, including forecasted demand, remaining shelf life, and quality assessments, among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k)</w:t>
      </w:r>
      <w:r>
        <w:rPr>
          <w:rFonts w:ascii="Times New Roman;Times;serif" w:hAnsi="Times New Roman;Times;serif"/>
          <w:sz w:val="20"/>
        </w:rPr>
        <w:t xml:space="preserve"> </w:t>
      </w:r>
      <w:r>
        <w:rPr>
          <w:rFonts w:ascii="Times New Roman;Times;serif" w:hAnsi="Times New Roman;Times;serif"/>
          <w:b/>
          <w:sz w:val="20"/>
        </w:rPr>
        <w:t>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provision for income taxes is computed using the liability method. Under this method, deferred tax assets and liabilities are determined based on differences between financial reporting and tax bases of assets and liabilities.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tax assets and liabilities are measured using enacted tax rates and laws that will be in effect when the differences are expected to reverse. A valuation allowance is recorded to reduce the carrying amount of deferred income tax assets until when it is more likely than not that these assets will be realized. Tax benefits related to tax positions not deemed to meet the “more likely than not” threshold are not permitted to be recognized in the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interim reporting, the Company estimates its annual effective tax rate, adjusted for discrete items, and applies that rate to its year-to-date pre-tax income (loss) to determine its income tax provision.</w:t>
      </w:r>
    </w:p>
    <w:p>
      <w:pPr>
        <w:pStyle w:val="TextBody"/>
        <w:bidi w:val="0"/>
        <w:spacing w:before="0" w:after="0"/>
        <w:ind w:left="0" w:right="0" w:hanging="0"/>
        <w:jc w:val="left"/>
        <w:rPr/>
      </w:pPr>
      <w:r>
        <w:rPr/>
        <w:t>​</w:t>
      </w:r>
    </w:p>
    <w:p>
      <w:pPr>
        <w:pStyle w:val="TextBody"/>
        <w:pBdr/>
        <w:bidi w:val="0"/>
        <w:spacing w:before="120" w:after="120"/>
        <w:ind w:left="0" w:right="0" w:hanging="360"/>
        <w:jc w:val="both"/>
        <w:rPr>
          <w:rFonts w:ascii="Times New Roman;Times;serif" w:hAnsi="Times New Roman;Times;serif"/>
          <w:b/>
          <w:sz w:val="20"/>
        </w:rPr>
      </w:pPr>
      <w:r>
        <w:rPr>
          <w:rFonts w:ascii="Times New Roman;Times;serif" w:hAnsi="Times New Roman;Times;serif"/>
          <w:b/>
          <w:sz w:val="20"/>
        </w:rPr>
        <w:t>3. 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recorded product revenues from the U.S. sales of CARDAMYST of $0.6 million and $0.8 million for the three and six months ended June 30, 2026, respectively, and no revenue for either of the three and six months ended June 30, 2025.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recorded no license revenue for either of the three and six months ended June 30, 2026 and 2025. </w:t>
      </w:r>
    </w:p>
    <w:p>
      <w:pPr>
        <w:pStyle w:val="TextBody"/>
        <w:pBdr/>
        <w:bidi w:val="0"/>
        <w:spacing w:before="0" w:after="120"/>
        <w:ind w:left="0" w:right="0" w:hanging="360"/>
        <w:jc w:val="both"/>
        <w:rPr>
          <w:rFonts w:ascii="Times New Roman;Times;serif" w:hAnsi="Times New Roman;Times;serif"/>
          <w:b/>
          <w:sz w:val="20"/>
        </w:rPr>
      </w:pPr>
      <w:r>
        <w:rPr>
          <w:rFonts w:ascii="Times New Roman;Times;serif" w:hAnsi="Times New Roman;Times;serif"/>
          <w:b/>
          <w:sz w:val="20"/>
        </w:rPr>
        <w:t>4. Short-term Investments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June 30, 2026, short-term investments of $0.9 million were comprised of term deposits, earning interest of 2.61% and maturing on March 9, 2027. These short-term investments were in scope of ASC 320, </w:t>
      </w:r>
      <w:r>
        <w:rPr>
          <w:rFonts w:ascii="Times New Roman;Times;serif" w:hAnsi="Times New Roman;Times;serif"/>
          <w:i/>
          <w:sz w:val="20"/>
        </w:rPr>
        <w:t>Investments-Debt Securities</w:t>
      </w:r>
      <w:r>
        <w:rPr>
          <w:rFonts w:ascii="Times New Roman;Times;serif" w:hAnsi="Times New Roman;Times;serif"/>
          <w:sz w:val="20"/>
        </w:rPr>
        <w:t>. The short-term investments maturity is greater than 90 days but less than one year, and they were classified as held to maturity, recorded as current assets and were accounted for at amortized cost. Interest income earned on short-term investments is reported in interest income. The Company had short-term investments of $32.9 million as of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$0.9 million in short-term investments were pledged as collateral for a letter of credit.</w:t>
      </w:r>
    </w:p>
    <w:p>
      <w:pPr>
        <w:pStyle w:val="TextBody"/>
        <w:bidi w:val="0"/>
        <w:spacing w:before="0" w:after="0"/>
        <w:ind w:left="0" w:right="0" w:hanging="0"/>
        <w:jc w:val="both"/>
        <w:rPr/>
      </w:pPr>
      <w:r>
        <w:rPr/>
        <w:t>​</w:t>
      </w:r>
    </w:p>
    <w:p>
      <w:pPr>
        <w:pStyle w:val="TextBody"/>
        <w:pBdr/>
        <w:bidi w:val="0"/>
        <w:spacing w:before="120" w:after="120"/>
        <w:ind w:left="0" w:right="0" w:hanging="360"/>
        <w:jc w:val="both"/>
        <w:rPr>
          <w:rFonts w:ascii="Times New Roman;Times;serif" w:hAnsi="Times New Roman;Times;serif"/>
          <w:b/>
          <w:sz w:val="20"/>
        </w:rPr>
      </w:pPr>
      <w:bookmarkStart w:id="660" w:name="Tc_tzagcx87f0qU5rFI2GvJBw_5_0"/>
      <w:bookmarkStart w:id="661" w:name="Tc_4VepBJSphEe6KYhny90NnA_4_0"/>
      <w:bookmarkStart w:id="662" w:name="Tc_zcRMeFhnWkOY2YUhwzjW5A_3_0"/>
      <w:bookmarkStart w:id="663" w:name="Tc_kRBWxaCwbUOXEU7LhAAvag_2_6"/>
      <w:bookmarkStart w:id="664" w:name="Tc_PyoSXstSd0iMHLLXTvhqGA_2_5"/>
      <w:bookmarkStart w:id="665" w:name="Tc_L6wSxEzbykW93CsYfpdZ9Q_2_3"/>
      <w:bookmarkStart w:id="666" w:name="Tc_kB1B8P4NqkC97rtrkDBEvA_2_2"/>
      <w:bookmarkStart w:id="667" w:name="Tc_pWqMQuhoUUCksozxefKOug_2_0"/>
      <w:bookmarkStart w:id="668" w:name="Tc_cUqEWFNby0quVM8I32dZ1A_1_5"/>
      <w:bookmarkStart w:id="669" w:name="Tc_7Qq6jlGC30ugn3b8008uGA_1_2"/>
      <w:bookmarkEnd w:id="660"/>
      <w:bookmarkEnd w:id="661"/>
      <w:bookmarkEnd w:id="662"/>
      <w:bookmarkEnd w:id="663"/>
      <w:bookmarkEnd w:id="664"/>
      <w:bookmarkEnd w:id="665"/>
      <w:bookmarkEnd w:id="666"/>
      <w:bookmarkEnd w:id="667"/>
      <w:bookmarkEnd w:id="668"/>
      <w:bookmarkEnd w:id="669"/>
      <w:r>
        <w:rPr>
          <w:rFonts w:ascii="Times New Roman;Times;serif" w:hAnsi="Times New Roman;Times;serif"/>
          <w:b/>
          <w:sz w:val="20"/>
        </w:rPr>
        <w:t>5. 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Company’s inventory consisted entirely of CARDAMYST related inventory. The Company’s inventories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1501"/>
        <w:gridCol w:w="346"/>
        <w:gridCol w:w="311"/>
        <w:gridCol w:w="845"/>
        <w:gridCol w:w="346"/>
        <w:gridCol w:w="451"/>
        <w:gridCol w:w="1140"/>
      </w:tblGrid>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97485" cy="175260"/>
                      <wp:effectExtent l="0" t="0" r="0" b="0"/>
                      <wp:wrapNone/>
                      <wp:docPr id="51" name="Frame51"/>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36575" cy="175260"/>
                      <wp:effectExtent l="0" t="0" r="0" b="0"/>
                      <wp:wrapNone/>
                      <wp:docPr id="52" name="Frame52"/>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86385" cy="175260"/>
                      <wp:effectExtent l="0" t="0" r="0" b="0"/>
                      <wp:wrapNone/>
                      <wp:docPr id="54" name="Frame5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23900" cy="175260"/>
                      <wp:effectExtent l="0" t="0" r="0" b="0"/>
                      <wp:wrapNone/>
                      <wp:docPr id="55" name="Frame55"/>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pPr>
            <w:r>
              <w:rPr/>
              <w:t>—</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Work-in-process </w:t>
            </w:r>
          </w:p>
        </w:tc>
        <w:tc>
          <w:tcPr>
            <w:tcW w:w="346"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Finished goods </w:t>
            </w:r>
          </w:p>
        </w:tc>
        <w:tc>
          <w:tcPr>
            <w:tcW w:w="346" w:type="dxa"/>
            <w:tcBorders/>
            <w:shd w:fill="CCEEFF" w:val="clear"/>
            <w:vAlign w:val="center"/>
          </w:tcPr>
          <w:p>
            <w:pPr>
              <w:pStyle w:val="TableContents"/>
              <w:bidi w:val="0"/>
              <w:spacing w:before="0" w:after="0"/>
              <w:ind w:left="0" w:right="0" w:hanging="0"/>
              <w:jc w:val="left"/>
              <w:rPr/>
            </w:pPr>
            <w:r>
              <w:rPr/>
              <w:t>​</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46" w:type="dxa"/>
            <w:tcBorders/>
            <w:vAlign w:val="center"/>
          </w:tcPr>
          <w:p>
            <w:pPr>
              <w:pStyle w:val="TableContents"/>
              <w:bidi w:val="0"/>
              <w:spacing w:before="0" w:after="0"/>
              <w:ind w:left="0" w:right="0" w:hanging="0"/>
              <w:jc w:val="left"/>
              <w:rPr/>
            </w:pPr>
            <w:r>
              <w:rPr/>
              <w:t>​</w:t>
            </w:r>
          </w:p>
        </w:tc>
        <w:tc>
          <w:tcPr>
            <w:tcW w:w="3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4,722</w:t>
            </w:r>
          </w:p>
        </w:tc>
        <w:tc>
          <w:tcPr>
            <w:tcW w:w="346"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0" w:type="dxa"/>
            <w:tcBorders>
              <w:bottom w:val="double" w:sz="6" w:space="0" w:color="000000"/>
            </w:tcBorders>
            <w:tcMar>
              <w:bottom w:w="28" w:type="dxa"/>
            </w:tcMar>
            <w:vAlign w:val="center"/>
          </w:tcPr>
          <w:p>
            <w:pPr>
              <w:pStyle w:val="TableContents"/>
              <w:bidi w:val="0"/>
              <w:spacing w:before="0" w:after="0"/>
              <w:ind w:left="0" w:right="66" w:hanging="0"/>
              <w:jc w:val="right"/>
              <w:rPr>
                <w:rFonts w:ascii="Times New Roman;Times;serif" w:hAnsi="Times New Roman;Times;serif"/>
                <w:sz w:val="20"/>
              </w:rPr>
            </w:pPr>
            <w:r>
              <w:rPr>
                <w:rFonts w:ascii="Times New Roman;Times;serif" w:hAnsi="Times New Roman;Times;serif"/>
                <w:sz w:val="20"/>
              </w:rPr>
              <w:t>648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 Debt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27, 2023, the Company entered into a note purchase agreement, or the “Note Purchase Agreement,” with </w:t>
      </w:r>
      <w:r>
        <w:rPr>
          <w:rFonts w:ascii="Times New Roman" w:hAnsi="Times New Roman"/>
          <w:sz w:val="20"/>
        </w:rPr>
        <w:t>RTW Investments LP and certain of its affiliates, or collectively, “RTW.”</w:t>
      </w:r>
      <w:r>
        <w:rPr>
          <w:rFonts w:ascii="Times New Roman;Times;serif" w:hAnsi="Times New Roman;Times;serif"/>
          <w:sz w:val="20"/>
        </w:rPr>
        <w:t xml:space="preserve"> On March 29, 2023, the Company closed the transactions contemplated by the Note Purchase Agreement, and issued and sold $50.0 million principal amount of 6.0% Convertible Senior Notes due 2029, or the “2029 Convertible Notes,” to the holders. On June 29, 2026, the Company amended the Note Purchase agreement to extend the Company’s option to pay cash interest or payment-in-kind interest, at its election from March 31, 2026 to March 31, 2027.  The Company considered the amendment to be a modification of its debt with a nominal impact.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670" w:name="Tc_GHQ57x4Z60-vG18CD91cDA_6_11"/>
      <w:bookmarkStart w:id="671" w:name="Tc_g-V6M7y1qE2bAmtNbnj0-w_6_8"/>
      <w:bookmarkStart w:id="672" w:name="Tc_WpkvoP1T3UmvMVSoqdSmCw_6_5"/>
      <w:bookmarkStart w:id="673" w:name="Tc_B7kQX-Lp1U-pKPjUGs6jnQ_6_2"/>
      <w:bookmarkStart w:id="674" w:name="Tc_Zga7X6HrwkCnzTLjwgbVAw_6_0"/>
      <w:bookmarkStart w:id="675" w:name="Tc_hOS-rF1S4ke0W8H83_8dPA_5_0"/>
      <w:bookmarkStart w:id="676" w:name="Tc_cAsMCEbJu0OgmqVZQGfNFQ_4_0"/>
      <w:bookmarkStart w:id="677" w:name="Tc_BzVefRH_I0qdXO9NbSXLKQ_3_11"/>
      <w:bookmarkStart w:id="678" w:name="Tc_FomRmcZqbU6spfESYTo2IA_3_8"/>
      <w:bookmarkStart w:id="679" w:name="Tc_BE1IadtOCkapu4pnUfC-Jg_3_5"/>
      <w:bookmarkStart w:id="680" w:name="Tc_-YZn2kbGIk6_JDIhm6HE5Q_3_2"/>
      <w:bookmarkStart w:id="681" w:name="Tc_jgvdTddA7EupydbndF0l1A_3_0"/>
      <w:bookmarkStart w:id="682" w:name="Tc_cTi53l6oikqHiTArD5kxIw_2_11"/>
      <w:bookmarkStart w:id="683" w:name="Tc_wudpP5gh80uOj05PpOXeXw_2_8"/>
      <w:bookmarkStart w:id="684" w:name="Tc_GXyoRqSZukqCIRWjpRa5Sg_2_5"/>
      <w:bookmarkStart w:id="685" w:name="Tc_1qRLhh67jUOoyZklctZBlg_2_2"/>
      <w:bookmarkStart w:id="686" w:name="Tc_57RN_msHjUeqjQEAMWP7CQ_1_8"/>
      <w:bookmarkStart w:id="687" w:name="Tc_h0M5x9xr6kSkay8jUrAlGw_1_2"/>
      <w:bookmarkStart w:id="688" w:name="Tc_-V7vDow-BkSseEfejmLUfA_7_5"/>
      <w:bookmarkStart w:id="689" w:name="Tc_HOS83rO1UUOkpsVajh_R6g_7_2"/>
      <w:bookmarkStart w:id="690" w:name="Tc_NqOyMsgqb0OIRXqOqfOeCw_7_0"/>
      <w:bookmarkStart w:id="691" w:name="Tc_wiBezhFgykeyQr33ePVknA_6_0"/>
      <w:bookmarkStart w:id="692" w:name="Tc_B8DTAkx1PES0k8N_TpISmg_5_0"/>
      <w:bookmarkStart w:id="693" w:name="Tc_Ue8v6gnm8UaECuY2zBqJjg_4_0"/>
      <w:bookmarkStart w:id="694" w:name="Tc_-RJs8pEL-kuv17QLJB_YDg_3_5"/>
      <w:bookmarkStart w:id="695" w:name="Tc_RPIE4X79E0SnBXhsBaX6cA_3_2"/>
      <w:bookmarkStart w:id="696" w:name="Tc_FBJDjW9TFkaYnLXRLnduUg_3_0"/>
      <w:bookmarkStart w:id="697" w:name="Tc_REHuYNGYFUSuCL7PB3SwRA_2_5"/>
      <w:bookmarkStart w:id="698" w:name="Tc_qSYF8r-Q6kW0XdqIN94JuQ_2_2"/>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ascii="Times New Roman;Times;serif" w:hAnsi="Times New Roman;Times;serif"/>
          <w:sz w:val="20"/>
        </w:rPr>
        <w:t>In accounting for the issuance of the 2029 Convertible Notes, the Company determined there were no embedded features, which require bifurcation between debt and equity components. As a result, the 2029 Convertible Notes are accounted for as a liability. As of June 30, 2026, the estimated fair value of the 2029 Convertible Notes was approximately $62.1 million based on level 2 inputs, including volatility and credit spread. For more details on the agreement with RTW, see Note 11, “Debt,” to the Company’s audited consolidated financial statements, included in the Company’s Annual Report on Form 10-K for the year ended December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net carrying amount of the 2029 Convertible Notes are as follows:</w:t>
      </w:r>
    </w:p>
    <w:p>
      <w:pPr>
        <w:pStyle w:val="TextBody"/>
        <w:bidi w:val="0"/>
        <w:spacing w:before="0" w:after="0"/>
        <w:ind w:left="0" w:right="0" w:hanging="0"/>
        <w:jc w:val="left"/>
        <w:rPr/>
      </w:pPr>
      <w:r>
        <w:rPr/>
        <w:t>​</w:t>
      </w:r>
    </w:p>
    <w:tbl>
      <w:tblPr>
        <w:tblW w:w="5633" w:type="dxa"/>
        <w:jc w:val="left"/>
        <w:tblInd w:w="0" w:type="dxa"/>
        <w:tblLayout w:type="fixed"/>
        <w:tblCellMar>
          <w:top w:w="0" w:type="dxa"/>
          <w:left w:w="0" w:type="dxa"/>
          <w:bottom w:w="0" w:type="dxa"/>
          <w:right w:w="0" w:type="dxa"/>
        </w:tblCellMar>
      </w:tblPr>
      <w:tblGrid>
        <w:gridCol w:w="2431"/>
        <w:gridCol w:w="346"/>
        <w:gridCol w:w="284"/>
        <w:gridCol w:w="872"/>
        <w:gridCol w:w="109"/>
        <w:gridCol w:w="345"/>
        <w:gridCol w:w="1246"/>
      </w:tblGrid>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0340" cy="175260"/>
                      <wp:effectExtent l="0" t="0" r="0" b="0"/>
                      <wp:wrapNone/>
                      <wp:docPr id="57" name="Frame5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53720" cy="175260"/>
                      <wp:effectExtent l="0" t="0" r="0" b="0"/>
                      <wp:wrapNone/>
                      <wp:docPr id="58" name="Frame58"/>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075" cy="175260"/>
                      <wp:effectExtent l="0" t="0" r="0" b="0"/>
                      <wp:wrapNone/>
                      <wp:docPr id="60" name="Frame60"/>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791210" cy="175260"/>
                      <wp:effectExtent l="0" t="0" r="0" b="0"/>
                      <wp:wrapNone/>
                      <wp:docPr id="61" name="Frame6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6" w:type="dxa"/>
            <w:gridSpan w:val="5"/>
            <w:tcBorders/>
            <w:vAlign w:val="center"/>
          </w:tcPr>
          <w:p>
            <w:pPr>
              <w:pStyle w:val="TableContents"/>
              <w:bidi w:val="0"/>
              <w:spacing w:before="0" w:after="0"/>
              <w:ind w:left="0" w:right="0" w:hanging="0"/>
              <w:jc w:val="center"/>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09"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Original principal </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Paid in kind (PIK) interest </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10,708</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8,927</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Unamortized debt discount </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Unamortized debt issuance costs</w:t>
            </w:r>
          </w:p>
        </w:tc>
        <w:tc>
          <w:tcPr>
            <w:tcW w:w="346" w:type="dxa"/>
            <w:tcBorders/>
            <w:vAlign w:val="center"/>
          </w:tcPr>
          <w:p>
            <w:pPr>
              <w:pStyle w:val="TableContents"/>
              <w:bidi w:val="0"/>
              <w:spacing w:before="0" w:after="0"/>
              <w:ind w:left="0" w:right="0" w:hanging="0"/>
              <w:jc w:val="left"/>
              <w:rPr/>
            </w:pPr>
            <w:r>
              <w:rPr/>
              <w:t> </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w:t>
            </w:r>
          </w:p>
        </w:tc>
        <w:tc>
          <w:tcPr>
            <w:tcW w:w="109"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59,207</w:t>
            </w:r>
          </w:p>
        </w:tc>
        <w:tc>
          <w:tcPr>
            <w:tcW w:w="109"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57,191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total amount of interest cost recognized relating to the 2029 Convertible Notes:</w:t>
      </w:r>
    </w:p>
    <w:p>
      <w:pPr>
        <w:pStyle w:val="TextBody"/>
        <w:bidi w:val="0"/>
        <w:spacing w:before="0" w:after="0"/>
        <w:ind w:left="0" w:right="0" w:hanging="0"/>
        <w:jc w:val="both"/>
        <w:rPr/>
      </w:pPr>
      <w:r>
        <w:rPr/>
        <w:t>​</w:t>
      </w:r>
    </w:p>
    <w:tbl>
      <w:tblPr>
        <w:tblW w:w="7833" w:type="dxa"/>
        <w:jc w:val="left"/>
        <w:tblInd w:w="0" w:type="dxa"/>
        <w:tblLayout w:type="fixed"/>
        <w:tblCellMar>
          <w:top w:w="0" w:type="dxa"/>
          <w:left w:w="0" w:type="dxa"/>
          <w:bottom w:w="0" w:type="dxa"/>
          <w:right w:w="0" w:type="dxa"/>
        </w:tblCellMar>
      </w:tblPr>
      <w:tblGrid>
        <w:gridCol w:w="2686"/>
        <w:gridCol w:w="109"/>
        <w:gridCol w:w="285"/>
        <w:gridCol w:w="743"/>
        <w:gridCol w:w="503"/>
        <w:gridCol w:w="285"/>
        <w:gridCol w:w="612"/>
        <w:gridCol w:w="346"/>
        <w:gridCol w:w="230"/>
        <w:gridCol w:w="672"/>
        <w:gridCol w:w="407"/>
        <w:gridCol w:w="230"/>
        <w:gridCol w:w="725"/>
      </w:tblGrid>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0975" cy="175260"/>
                      <wp:effectExtent l="0" t="0" r="0" b="0"/>
                      <wp:wrapNone/>
                      <wp:docPr id="62" name="Frame6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1805" cy="175260"/>
                      <wp:effectExtent l="0" t="0" r="0" b="0"/>
                      <wp:wrapNone/>
                      <wp:docPr id="63" name="Frame63"/>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19405" cy="175260"/>
                      <wp:effectExtent l="0" t="0" r="0" b="0"/>
                      <wp:wrapNone/>
                      <wp:docPr id="64" name="Frame64"/>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0975" cy="175260"/>
                      <wp:effectExtent l="0" t="0" r="0" b="0"/>
                      <wp:wrapNone/>
                      <wp:docPr id="65" name="Frame6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8620" cy="175260"/>
                      <wp:effectExtent l="0" t="0" r="0" b="0"/>
                      <wp:wrapNone/>
                      <wp:docPr id="66" name="Frame66"/>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6050" cy="175260"/>
                      <wp:effectExtent l="0" t="0" r="0" b="0"/>
                      <wp:wrapNone/>
                      <wp:docPr id="68" name="Frame6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6720" cy="175260"/>
                      <wp:effectExtent l="0" t="0" r="0" b="0"/>
                      <wp:wrapNone/>
                      <wp:docPr id="69" name="Frame69"/>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58445" cy="175260"/>
                      <wp:effectExtent l="0" t="0" r="0" b="0"/>
                      <wp:wrapNone/>
                      <wp:docPr id="70" name="Frame70"/>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6050" cy="175260"/>
                      <wp:effectExtent l="0" t="0" r="0" b="0"/>
                      <wp:wrapNone/>
                      <wp:docPr id="71" name="Frame7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60375" cy="175260"/>
                      <wp:effectExtent l="0" t="0" r="0" b="0"/>
                      <wp:wrapNone/>
                      <wp:docPr id="72" name="Frame72"/>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503"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07" w:type="dxa"/>
            <w:tcBorders/>
            <w:vAlign w:val="center"/>
          </w:tcPr>
          <w:p>
            <w:pPr>
              <w:pStyle w:val="TableContents"/>
              <w:bidi w:val="0"/>
              <w:spacing w:before="0" w:after="0"/>
              <w:ind w:left="0" w:right="0" w:hanging="0"/>
              <w:jc w:val="left"/>
              <w:rPr/>
            </w:pPr>
            <w:r>
              <w:rPr/>
              <w:t>  ​ ​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Contractual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897</w:t>
            </w:r>
          </w:p>
        </w:tc>
        <w:tc>
          <w:tcPr>
            <w:tcW w:w="503"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407"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discount</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503"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07"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Amortization of debt issuance costs </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503" w:type="dxa"/>
            <w:tcBorders/>
            <w:shd w:fill="CCEEFF" w:val="clear"/>
            <w:vAlign w:val="center"/>
          </w:tcPr>
          <w:p>
            <w:pPr>
              <w:pStyle w:val="TableContents"/>
              <w:bidi w:val="0"/>
              <w:spacing w:before="0" w:after="0"/>
              <w:ind w:left="0" w:right="0" w:hanging="0"/>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407"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109"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w:t>
            </w:r>
          </w:p>
        </w:tc>
        <w:tc>
          <w:tcPr>
            <w:tcW w:w="503" w:type="dxa"/>
            <w:tcBorders/>
            <w:vAlign w:val="center"/>
          </w:tcPr>
          <w:p>
            <w:pPr>
              <w:pStyle w:val="TableContents"/>
              <w:bidi w:val="0"/>
              <w:spacing w:before="0" w:after="0"/>
              <w:ind w:left="0" w:right="0" w:hanging="0"/>
              <w:jc w:val="left"/>
              <w:rPr/>
            </w:pPr>
            <w:r>
              <w:rPr/>
              <w:t> </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w:t>
            </w:r>
          </w:p>
        </w:tc>
        <w:tc>
          <w:tcPr>
            <w:tcW w:w="407"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1,886</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bidi w:val="0"/>
        <w:spacing w:before="0" w:after="120"/>
        <w:ind w:left="0" w:right="0" w:hanging="360"/>
        <w:jc w:val="both"/>
        <w:rPr>
          <w:rFonts w:ascii="Times New Roman;Times;serif" w:hAnsi="Times New Roman;Times;serif"/>
          <w:b/>
          <w:sz w:val="20"/>
        </w:rPr>
      </w:pPr>
      <w:bookmarkStart w:id="699" w:name="Tc_4B_lTzGlEUeIoBHClqXtpw_11_5"/>
      <w:bookmarkStart w:id="700" w:name="Tc_H5TSi34H9kSEEfzGJhHhcA_11_2"/>
      <w:bookmarkStart w:id="701" w:name="Tc_8EJRGlzhZk2yW9BggM65Ew_11_0"/>
      <w:bookmarkStart w:id="702" w:name="Tc_oLQBiiAvk06QB8xWdEXkbg_10_6"/>
      <w:bookmarkStart w:id="703" w:name="Tc_r4ZFjHnYXUyCRUrC1cgFOg_10_0"/>
      <w:bookmarkStart w:id="704" w:name="Tc_UlCtBOqH2EeqRvmRkLci5g_9_0"/>
      <w:bookmarkStart w:id="705" w:name="Tc_D2Pm19wUEkyhV6kEHJV8DQ_8_0"/>
      <w:bookmarkStart w:id="706" w:name="Tc_bGdwBYuopUiVECCCVT85Rw_7_0"/>
      <w:bookmarkStart w:id="707" w:name="Tc_0w_5sg18-kKNUQ7KjJUGVw_6_3"/>
      <w:bookmarkStart w:id="708" w:name="Tc_gmyMLyIdYUiZKSoDnooCHw_6_0"/>
      <w:bookmarkStart w:id="709" w:name="Tc_nJZMS2nWUUGESKSJhcIFyg_5_0"/>
      <w:bookmarkStart w:id="710" w:name="Tc_6EYMpFJht0eD_BD3gF2fPQ_4_0"/>
      <w:bookmarkStart w:id="711" w:name="Tc_VJJ_IjvoBUS5v4wk8EjHPQ_3_0"/>
      <w:bookmarkStart w:id="712" w:name="Tc_Whi1ihbU6Ei8L1CSFhapDw_1_5"/>
      <w:bookmarkStart w:id="713" w:name="Tc_iEzakyc6XkuR18jfb7vlBw_1_2"/>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Pr>
          <w:rFonts w:ascii="Times New Roman;Times;serif" w:hAnsi="Times New Roman;Times;serif"/>
          <w:b/>
          <w:sz w:val="20"/>
        </w:rPr>
        <w:t>7.  Accrued Liabilities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Accrued liabilities are comprised of the following:  </w:t>
      </w:r>
    </w:p>
    <w:p>
      <w:pPr>
        <w:pStyle w:val="TextBody"/>
        <w:bidi w:val="0"/>
        <w:spacing w:before="0" w:after="0"/>
        <w:ind w:left="0" w:right="0" w:hanging="0"/>
        <w:jc w:val="both"/>
        <w:rPr/>
      </w:pPr>
      <w:r>
        <w:rPr/>
        <w:t>​</w:t>
      </w:r>
    </w:p>
    <w:tbl>
      <w:tblPr>
        <w:tblW w:w="7228" w:type="dxa"/>
        <w:jc w:val="left"/>
        <w:tblInd w:w="0" w:type="dxa"/>
        <w:tblLayout w:type="fixed"/>
        <w:tblCellMar>
          <w:top w:w="0" w:type="dxa"/>
          <w:left w:w="0" w:type="dxa"/>
          <w:bottom w:w="0" w:type="dxa"/>
          <w:right w:w="0" w:type="dxa"/>
        </w:tblCellMar>
      </w:tblPr>
      <w:tblGrid>
        <w:gridCol w:w="3991"/>
        <w:gridCol w:w="346"/>
        <w:gridCol w:w="284"/>
        <w:gridCol w:w="871"/>
        <w:gridCol w:w="146"/>
        <w:gridCol w:w="383"/>
        <w:gridCol w:w="1207"/>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534285" cy="175260"/>
                      <wp:effectExtent l="0" t="0" r="0" b="0"/>
                      <wp:wrapNone/>
                      <wp:docPr id="73" name="Frame7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0340" cy="175260"/>
                      <wp:effectExtent l="0" t="0" r="0" b="0"/>
                      <wp:wrapNone/>
                      <wp:docPr id="75" name="Frame7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53085" cy="175260"/>
                      <wp:effectExtent l="0" t="0" r="0" b="0"/>
                      <wp:wrapNone/>
                      <wp:docPr id="76" name="Frame7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2710" cy="175260"/>
                      <wp:effectExtent l="0" t="0" r="0" b="0"/>
                      <wp:wrapNone/>
                      <wp:docPr id="77" name="Frame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3205" cy="175260"/>
                      <wp:effectExtent l="0" t="0" r="0" b="0"/>
                      <wp:wrapNone/>
                      <wp:docPr id="78" name="Frame78"/>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66445" cy="175260"/>
                      <wp:effectExtent l="0" t="0" r="0" b="0"/>
                      <wp:wrapNone/>
                      <wp:docPr id="79" name="Frame79"/>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146"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8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38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 and benefits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2,128</w:t>
            </w:r>
          </w:p>
        </w:tc>
        <w:tc>
          <w:tcPr>
            <w:tcW w:w="1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2,458</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research and development liabilities</w:t>
            </w:r>
          </w:p>
        </w:tc>
        <w:tc>
          <w:tcPr>
            <w:tcW w:w="3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809</w:t>
            </w:r>
          </w:p>
        </w:tc>
        <w:tc>
          <w:tcPr>
            <w:tcW w:w="1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selling and marketing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5,617</w:t>
            </w:r>
          </w:p>
        </w:tc>
        <w:tc>
          <w:tcPr>
            <w:tcW w:w="1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underwriting fees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Accrued legal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1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medical liabilities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w:t>
            </w:r>
          </w:p>
        </w:tc>
        <w:tc>
          <w:tcPr>
            <w:tcW w:w="146"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1,203</w:t>
            </w:r>
          </w:p>
        </w:tc>
        <w:tc>
          <w:tcPr>
            <w:tcW w:w="146"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Revenue-related reserves for discounts and allowances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1,501</w:t>
            </w:r>
          </w:p>
        </w:tc>
        <w:tc>
          <w:tcPr>
            <w:tcW w:w="146"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11,983</w:t>
            </w:r>
          </w:p>
        </w:tc>
        <w:tc>
          <w:tcPr>
            <w:tcW w:w="146"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7,644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8.  Shareholders’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Share Capital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authorized and issued common shares, voting and participating, without par value, of which unlimited shares were authorized, and 124,497,980 shares were issued and outstanding as of June 30,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were 2,774,440 common shares available for issuance under the Employee Stock Purchase Plan, or the “ESPP,” of which 2,145,794 are available for future purchases.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11, 2025, the Company entered into an underwriting agreement, or the “Underwriting Agreement,” related to an underwritten public offering, or the “2025 Offering,” of (i) 31,500,000 of the Company’s common shares, without par value,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to purchase 3,502,335 common shares, or the “2025 Pre-Funded Warrants” and, together with the Series A Common Warrants and the Series B Common Warrants, the “Warrants,”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Shares and accompanying common warrants less the $0.001 per share exercise price for each such Pre-Funded Warrant. All the Securities sold in the 2025 Offering were sold by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net proceeds to the Company from the 2025 Offering were $48.6 million after deducting underwriting commissions and other offering expenses payable by the Company, in the amount of $3.9 million.</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July 29, 2020, the Company entered into an Open Market Sale Agreement</w:t>
      </w:r>
      <w:r>
        <w:rPr>
          <w:rFonts w:ascii="Times New Roman;Times;serif" w:hAnsi="Times New Roman;Times;serif"/>
          <w:sz w:val="15"/>
        </w:rPr>
        <w:t>SM</w:t>
      </w:r>
      <w:r>
        <w:rPr>
          <w:rFonts w:ascii="Times New Roman;Times;serif" w:hAnsi="Times New Roman;Times;serif"/>
          <w:sz w:val="20"/>
        </w:rPr>
        <w:t>, or the “Original Sale Agreement,” with respect to an at-the-market offering program, or the “ATM Program,” under which the Company could issue and sell its common shares having an aggregate offering price of up to $50.0 million. On March 18, 2025, the Company entered into an Amended and Restated Open Market Sale Agreement</w:t>
      </w:r>
      <w:r>
        <w:rPr>
          <w:rFonts w:ascii="Times New Roman;Times;serif" w:hAnsi="Times New Roman;Times;serif"/>
          <w:sz w:val="15"/>
        </w:rPr>
        <w:t>SM</w:t>
      </w:r>
      <w:r>
        <w:rPr>
          <w:rFonts w:ascii="Times New Roman;Times;serif" w:hAnsi="Times New Roman;Times;serif"/>
          <w:sz w:val="20"/>
        </w:rPr>
        <w:t xml:space="preserve">, or the “Amended Agreement.” Under the Amended Agreement, the Company may issue and sell its common shares, no par value per share, for an aggregate offering price of up to $77.8 million (which includes the approximately $2.8 million of sales previously made pursuant to the Original Sale Agreement through the date the Amended Agreement was entered into), or the “ATM Shares.” As disclosed in Note 21, “Subsequent Events,” to the Company’s audited consolidated financial statements, included in the Company’s Annual Report on Form 10-K for the year ended December 31, 2025, the Company issued 5,526,590 shares under the amended agreement resulting in net proceeds of $10.9 million, after deducting sales agent commissions payable by the Company of $0.3 million during the six-month period ended June 30, 2026. On March 6, 2026, the Company terminated the Amended Agreement and no further sales will be made under this agreement. </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May 13, 2026, the Company entered into a Controlled Equity Offering</w:t>
      </w:r>
      <w:r>
        <w:rPr>
          <w:rFonts w:ascii="Times New Roman;Times;serif" w:hAnsi="Times New Roman;Times;serif"/>
          <w:sz w:val="15"/>
        </w:rPr>
        <w:t xml:space="preserve">SM </w:t>
      </w:r>
      <w:r>
        <w:rPr>
          <w:rFonts w:ascii="Times New Roman;Times;serif" w:hAnsi="Times New Roman;Times;serif"/>
          <w:sz w:val="20"/>
        </w:rPr>
        <w:t xml:space="preserve">Sales Agreement, or the "Sales Agreement," with Cantor Fitzgerald &amp; Co., as sales agent, or the "Sales Agent," pursuant to which the Company may, from time to time, sell common shares, without par value per share, through the Sales Agent. The Company will pay the Sales Agent a commission for its services as Sales Agent of 3.0% of the aggregate gross proceeds from each sale of the common shares sold through the Sales Agent pursuant to the Sales Agreement. No shares were issued under the Sales Agreement for the six-month period ended June 30,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the accounting classification of warrants that are issued, as either liability or equity, by first assessing whether the warrants meet liability classification in accordance with ASC 480-10, </w:t>
      </w:r>
      <w:r>
        <w:rPr>
          <w:rFonts w:ascii="Times New Roman;Times;serif" w:hAnsi="Times New Roman;Times;serif"/>
          <w:i/>
          <w:sz w:val="20"/>
        </w:rPr>
        <w:t>Accounting for Certain Financial Instruments with Characteristics of both Liabilities and Equity</w:t>
      </w:r>
      <w:r>
        <w:rPr>
          <w:rFonts w:ascii="Times New Roman;Times;serif" w:hAnsi="Times New Roman;Times;serif"/>
          <w:sz w:val="20"/>
        </w:rPr>
        <w:t xml:space="preserve">, and then in accordance with ASC 815-40,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Accounting for Derivative Financial Instruments Indexed to, and Potentially Settled in, a Company’s Own Stock.</w:t>
      </w:r>
      <w:r>
        <w:rPr>
          <w:rFonts w:ascii="Times New Roman;Times;serif" w:hAnsi="Times New Roman;Times;serif"/>
          <w:sz w:val="20"/>
        </w:rPr>
        <w:t xml:space="preserve"> Under ASC 480, warrants are considered liability classified if the warrants are mandatorily redeemable, obligate the issuer to settle the warrants or the underlying shares by paying cash or other assets, or must or may require settlement by issuing a variable number of shares.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The Company's outstanding common stock warrants are classified as equity and recorded in additional paid-in capital, or “APIC,” based on an allocation of the proceeds from the 2025 Offering, which was based on the relative fair value of the Series A and B Common Warrants at the issuance date and is not subject to change after the issuance date. The fair value used for the relative fair value allocation was calculated using the Black-Scholes Model for the Series A Warrants and the Monte-Carlo simulation method for the Series B Warrants.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three-month period ended June 30, 2026, 6,678,642 Series A Common Warrants were exercised for net proceeds of $9.4 million, after deducting underwriting commissions paid by the Company of $0.6 million. During the six-month period ended June 30, 2026, 12,345,308 Series A Common Warrants were exercised for net proceeds of $17.4 million, after deducting underwriting commissions paid by the Company of $1.1 million. As of June 30, 2026, 15,705,662 Series A Common Warrants and 34,335,669 Series B Common Warrants remained outstanding.</w:t>
      </w:r>
    </w:p>
    <w:p>
      <w:pPr>
        <w:pStyle w:val="TextBody"/>
        <w:bidi w:val="0"/>
        <w:spacing w:before="0" w:after="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 xml:space="preserve">Under the Company’s 2019 Equity Incentive Plan, or the “2019 Plan,” and the Company’s Stock Option Plan, or the “2011 Plan,” unless otherwise decided by the Company’s board of directors, options vest and are exercisable as follows: 25% </w:t>
      </w:r>
      <w:r>
        <w:rPr>
          <w:rFonts w:ascii="Times New Roman;Times;serif" w:hAnsi="Times New Roman;Times;serif"/>
          <w:b w:val="false"/>
          <w:i w:val="false"/>
          <w:caps w:val="false"/>
          <w:smallCaps w:val="false"/>
          <w:sz w:val="20"/>
        </w:rPr>
        <w:t>vest</w:t>
      </w:r>
      <w:r>
        <w:rPr>
          <w:rFonts w:ascii="Times New Roman;Times;serif" w:hAnsi="Times New Roman;Times;serif"/>
          <w:sz w:val="20"/>
        </w:rPr>
        <w:t xml:space="preserve"> and are exercisable on the one year anniversary of the grant date and </w:t>
      </w:r>
      <w:r>
        <w:rPr>
          <w:rFonts w:ascii="Times New Roman;Times;serif" w:hAnsi="Times New Roman;Times;serif"/>
          <w:b w:val="false"/>
          <w:i w:val="false"/>
          <w:caps w:val="false"/>
          <w:smallCaps w:val="false"/>
          <w:sz w:val="20"/>
        </w:rPr>
        <w:t>one thirty-sixth</w:t>
      </w:r>
      <w:r>
        <w:rPr>
          <w:rFonts w:ascii="Times New Roman;Times;serif" w:hAnsi="Times New Roman;Times;serif"/>
          <w:sz w:val="20"/>
        </w:rPr>
        <w:t xml:space="preserve"> (1/36</w:t>
      </w:r>
      <w:r>
        <w:rPr>
          <w:rFonts w:ascii="Times New Roman;Times;serif" w:hAnsi="Times New Roman;Times;serif"/>
          <w:sz w:val="15"/>
        </w:rPr>
        <w:t>th</w:t>
      </w:r>
      <w:r>
        <w:rPr>
          <w:rFonts w:ascii="Times New Roman;Times;serif" w:hAnsi="Times New Roman;Times;serif"/>
          <w:sz w:val="20"/>
        </w:rPr>
        <w:t xml:space="preserve">) of the </w:t>
      </w:r>
      <w:r>
        <w:rPr>
          <w:rFonts w:ascii="Times New Roman;Times;serif" w:hAnsi="Times New Roman;Times;serif"/>
          <w:b w:val="false"/>
          <w:i w:val="false"/>
          <w:caps w:val="false"/>
          <w:smallCaps w:val="false"/>
          <w:sz w:val="20"/>
        </w:rPr>
        <w:t>remaining</w:t>
      </w:r>
      <w:r>
        <w:rPr>
          <w:rFonts w:ascii="Times New Roman;Times;serif" w:hAnsi="Times New Roman;Times;serif"/>
          <w:sz w:val="20"/>
        </w:rPr>
        <w:t xml:space="preserve"> options vest and are exercisable each month thereafter, such that options are vested in full on four-year </w:t>
      </w:r>
      <w:r>
        <w:rPr>
          <w:rFonts w:ascii="Times New Roman;Times;serif" w:hAnsi="Times New Roman;Times;serif"/>
          <w:b w:val="false"/>
          <w:i w:val="false"/>
          <w:caps w:val="false"/>
          <w:smallCaps w:val="false"/>
          <w:sz w:val="20"/>
        </w:rPr>
        <w:t>anniversary</w:t>
      </w:r>
      <w:r>
        <w:rPr>
          <w:rFonts w:ascii="Times New Roman;Times;serif" w:hAnsi="Times New Roman;Times;serif"/>
          <w:sz w:val="20"/>
        </w:rPr>
        <w:t xml:space="preserve"> of the grant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10, 2026, at the Company’s 2026 Annual Meeting of Shareholders, the Company’s shareholders approved an amendment to the 2019 Plan to, among other things, increase the number of ordinary shares authorized for issuance by 6,800,000 shares. Under the 2019 Plan, 183,349 options have been forfeited or expired under the 2011 Plan since the adoption of the 2019 Plan and have become available for issuance under the 2019 Plan. Further, since the adoption of the plan, 561,000 of previously issued options were cancelled and were made available for future grants. As of June 30, 2026, there were 22,514,455 common shares available for issuance under the 2019 Plan, of which 7,607,210 common shares were available for future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10, 2021, the Company established a 2021 Inducement Plan, or the “Inducement Plan.” This 2021 Inducement Plan is intended to help the Company provide an inducement for certain individuals to enter employment with the Company, incentives for such persons to exert maximum efforts for the success of the Company and a means by which employees may benefit from increases in value of the common shares. On March 17, 2026, the Company’s board of directors approved an increase to the 2021 Inducement Plan pool of 800,000 shares. As of June 30, 2026, there were 1,800,000 shares available for issuance under the 2021 Inducement Plan, of which 548,000 shares were available for future grants.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714" w:name="Tc_zzSPW1u4U0yypF8wrXq5Bw_17_8"/>
      <w:bookmarkStart w:id="715" w:name="Tc_JCc1fxZUL0yJxvLpq_wp5g_17_5"/>
      <w:bookmarkStart w:id="716" w:name="Tc_f2bg2s1_i0eSNrYMw_-hrg_17_2"/>
      <w:bookmarkStart w:id="717" w:name="Tc_y-MTaBXWqUimecQ9rh48zw_17_0"/>
      <w:bookmarkStart w:id="718" w:name="Tc_VGxtgCuQ6ke-VEnDDHmPVA_16_13"/>
      <w:bookmarkStart w:id="719" w:name="Tc_hlCf6d5UkUC9btVQw1_yrw_16_0"/>
      <w:bookmarkStart w:id="720" w:name="Tc_Y7jSPfR2SUKQh2c3vI-j4w_15_8"/>
      <w:bookmarkStart w:id="721" w:name="Tc_a705avXwWUuGxmhEgOXAPg_15_5"/>
      <w:bookmarkStart w:id="722" w:name="Tc_eLUCV8KXh0unMh8stE_JyA_15_2"/>
      <w:bookmarkStart w:id="723" w:name="Tc_iVyr3AsG1kOckcDnM5mbww_15_0"/>
      <w:bookmarkStart w:id="724" w:name="Tc_ZJ1mmOgeA06FuTqDEbc2_A_14_13"/>
      <w:bookmarkStart w:id="725" w:name="Tc_RN5XkSzoAEKOgS0U0IbpBw_14_0"/>
      <w:bookmarkStart w:id="726" w:name="Tc_z1AUMtVvgUaLkxIbBYT6aA_13_9"/>
      <w:bookmarkStart w:id="727" w:name="Tc_SKmFqzVZa0uJR3SsmOuQ0Q_13_6"/>
      <w:bookmarkStart w:id="728" w:name="Tc_DzMB7v2NHUu2NhoKgXSNiA_13_0"/>
      <w:bookmarkStart w:id="729" w:name="Tc_LxbdDpX_nUyBePoVP2w-PA_12_9"/>
      <w:bookmarkStart w:id="730" w:name="Tc_l8DXeTRga0i4ViwgmrygyQ_12_3"/>
      <w:bookmarkStart w:id="731" w:name="Tc_bxk2SL2iwkan_MU7r4BGOg_12_0"/>
      <w:bookmarkStart w:id="732" w:name="Tc_yBvxDSbWOkGyuY95eewuzw_11_6"/>
      <w:bookmarkStart w:id="733" w:name="Tc_CqTUQ0EvGUOeO3UzD8ArqA_11_3"/>
      <w:bookmarkStart w:id="734" w:name="Tc_zW5wW7yR0ESGT48FdATDxQ_11_0"/>
      <w:bookmarkStart w:id="735" w:name="Tc_BtVENicK8kSL7ec_qvSfjQ_10_9"/>
      <w:bookmarkStart w:id="736" w:name="Tc_F_EvmAM9rkqNj25cdrx72w_10_3"/>
      <w:bookmarkStart w:id="737" w:name="Tc_Y-9olupbEUi6KOPz6B6rLA_10_0"/>
      <w:bookmarkStart w:id="738" w:name="Tc_E3n4RpMc30qcS87yCo9-NA_9_9"/>
      <w:bookmarkStart w:id="739" w:name="Tc_G0EeqMTUF0mFUTdBkY_5fA_9_6"/>
      <w:bookmarkStart w:id="740" w:name="Tc_7c5NWtPFykG2mJYh-PhdBg_9_0"/>
      <w:bookmarkStart w:id="741" w:name="Tc_wqC5xN9k0062XR04raI8-A_8_9"/>
      <w:bookmarkStart w:id="742" w:name="Tc_0qQ2kXW-HkmwLpLlFiLvJA_8_3"/>
      <w:bookmarkStart w:id="743" w:name="Tc_p3abGhfII0eVRVa91V9hNQ_8_0"/>
      <w:bookmarkStart w:id="744" w:name="Tc_mbjvJPbmN0O3jfKH143l9g_7_9"/>
      <w:bookmarkStart w:id="745" w:name="Tc_EFL1ycP8C0WIIxM2K7bkCw_7_6"/>
      <w:bookmarkStart w:id="746" w:name="Tc_wMQ1k5zgwkaH5iZdIYIkVw_7_0"/>
      <w:bookmarkStart w:id="747" w:name="Tc_1I3nBUaca0qbaQU9doWJWA_6_13"/>
      <w:bookmarkStart w:id="748" w:name="Tc_FzXlrrPPZkmwdWdE0qw-PQ_6_6"/>
      <w:bookmarkStart w:id="749" w:name="Tc_QJtub2Eh3UCOdprI86FvTQ_6_3"/>
      <w:bookmarkStart w:id="750" w:name="Tc_5Cvav-Js7Uu2nmNorLbPRA_6_0"/>
      <w:bookmarkStart w:id="751" w:name="Tc_Gd8XrHEfoUygT9rf0hBKSg_5_13"/>
      <w:bookmarkStart w:id="752" w:name="Tc_mA7qgJgrT02hBclLM9wPoA_5_11"/>
      <w:bookmarkStart w:id="753" w:name="Tc_TlD9X__pBUewrTjxDIkwLQ_5_8"/>
      <w:bookmarkStart w:id="754" w:name="Tc_33KHXQFaXUW9F7gOeTTStA_5_5"/>
      <w:bookmarkStart w:id="755" w:name="Tc_NABPG2f5TEm5eNQXLfv-8w_5_2"/>
      <w:bookmarkStart w:id="756" w:name="Tc_RSO4Cyl26U66lDnNo84bTA_4_13"/>
      <w:bookmarkStart w:id="757" w:name="Tc_kzaAOp_Okk61SgePyLCJCQ_4_2"/>
      <w:bookmarkStart w:id="758" w:name="Tc_gHQNCOoTMk2PwDh77IpQ1A_3_13"/>
      <w:bookmarkStart w:id="759" w:name="Tc_Vb8L763rQkq4HTzKVvp0ew_3_2"/>
      <w:bookmarkStart w:id="760" w:name="Tc_ZRpRh__nQE6HVDpaIEc6QQ_2_13"/>
      <w:bookmarkStart w:id="761" w:name="Tc_JaRUxzE2H0O3OZs_x0nFSQ_1_2"/>
      <w:bookmarkStart w:id="762" w:name="_58095692_40c2_4518_8cbc_a28a383ad069"/>
      <w:bookmarkStart w:id="763" w:name="Tc_hGZ_023ebE-chocQD1R83A_15_8"/>
      <w:bookmarkStart w:id="764" w:name="Tc_vvAVOzjEnkyNeHKCVXlcyw_15_5"/>
      <w:bookmarkStart w:id="765" w:name="Tc_UnfRj2iVkUu_n6IKOKnQ2g_15_2"/>
      <w:bookmarkStart w:id="766" w:name="Tc_SRhxHga-DU64c36OX-uLfg_15_0"/>
      <w:bookmarkStart w:id="767" w:name="Tc_08F4xPm09EmK2R2M-x-sEw_14_13"/>
      <w:bookmarkStart w:id="768" w:name="Tc_RiIzAW2RiEm5AmPRV2AwSw_14_0"/>
      <w:bookmarkStart w:id="769" w:name="Tc_sXsddLdJi0CqUeX725Fbtw_13_8"/>
      <w:bookmarkStart w:id="770" w:name="Tc_FNsFw9a1IUqVvXx-QnNqwQ_13_5"/>
      <w:bookmarkStart w:id="771" w:name="Tc_beBD4i33e0W8QnQP_PP06A_13_2"/>
      <w:bookmarkStart w:id="772" w:name="Tc_KOWSoq9hmEePZGhFTKk6ZQ_13_0"/>
      <w:bookmarkStart w:id="773" w:name="Tc_XBa8aH89w0e18kPBpnZgOw_12_13"/>
      <w:bookmarkStart w:id="774" w:name="Tc_3EWKXprC-0qqXcgf2OGpIQ_12_0"/>
      <w:bookmarkStart w:id="775" w:name="Tc_Xw9uzsyhOUWwnj_p3Df1Jg_11_6"/>
      <w:bookmarkStart w:id="776" w:name="Tc_BoLed-K2Bkyo3pzmYNOLYg_11_3"/>
      <w:bookmarkStart w:id="777" w:name="Tc_J9uUmoQOn0yR4XqDx1Xvog_11_0"/>
      <w:bookmarkStart w:id="778" w:name="Tc_vOLF60yvZU-m65mCMUhx2Q_10_9"/>
      <w:bookmarkStart w:id="779" w:name="Tc_2OMppbvp40uSnLUcvBYNjA_10_3"/>
      <w:bookmarkStart w:id="780" w:name="Tc_njm2N1GS8EycR0gNn_deTQ_10_0"/>
      <w:bookmarkStart w:id="781" w:name="Tc_v9TZy2V4lU-yEer1edtWWQ_9_9"/>
      <w:bookmarkStart w:id="782" w:name="Tc_fFusg-gVeke7wMg6zxi66w_9_6"/>
      <w:bookmarkStart w:id="783" w:name="Tc_dhoi0xMxGk-Y7KNRo6FJJg_9_0"/>
      <w:bookmarkStart w:id="784" w:name="Tc_FH4wh9OAekySiuch8XZofA_8_9"/>
      <w:bookmarkStart w:id="785" w:name="Tc_RAc2THQcJEK-vzEMLIUToA_8_3"/>
      <w:bookmarkStart w:id="786" w:name="Tc_76no6r6_f0uunP8nbWrRjw_8_0"/>
      <w:bookmarkStart w:id="787" w:name="Tc_sMsXvh7iBUWH8rfk7iYjhQ_7_9"/>
      <w:bookmarkStart w:id="788" w:name="Tc_pexFfG9iKUmmBO9xxRSjtA_7_6"/>
      <w:bookmarkStart w:id="789" w:name="Tc_2Lv1EYGIYUqn69mZl_47tg_7_0"/>
      <w:bookmarkStart w:id="790" w:name="Tc_M4MynFmC7kecrAGf5pelbw_6_13"/>
      <w:bookmarkStart w:id="791" w:name="Tc_QQTveb5kjEqQPlPgXK5FEw_6_6"/>
      <w:bookmarkStart w:id="792" w:name="Tc_tfgL6WAVgUGQhJ8Ddn_VFg_6_3"/>
      <w:bookmarkStart w:id="793" w:name="Tc_woPRha911k-vKPCxhnGO-Q_6_0"/>
      <w:bookmarkStart w:id="794" w:name="Tc_tlipvoYpykq0Xa_3dNGLhA_5_13"/>
      <w:bookmarkStart w:id="795" w:name="Tc_551tqD9CME2HL-DaTInWMQ_5_11"/>
      <w:bookmarkStart w:id="796" w:name="Tc_QZKlUh8roE-nxlrvNJaT0A_5_8"/>
      <w:bookmarkStart w:id="797" w:name="Tc_0ZaWh20uLk2Moh82fxqobg_5_5"/>
      <w:bookmarkStart w:id="798" w:name="Tc_5CmyKUwtCkWD168yGsG29g_5_2"/>
      <w:bookmarkStart w:id="799" w:name="Tc_VWFACeZ7WkW8byv5_jpOBg_4_13"/>
      <w:bookmarkStart w:id="800" w:name="Tc_LLiLCumXd021ZIFVZCP7YA_4_2"/>
      <w:bookmarkStart w:id="801" w:name="Tc_25c-HBLkXkOZQAkryekhVQ_3_13"/>
      <w:bookmarkStart w:id="802" w:name="Tc_1TwXhEcimEiK9Fur8RNGDQ_3_2"/>
      <w:bookmarkStart w:id="803" w:name="Tc_zgi2-1OLSEyPWG-E0gX16A_2_13"/>
      <w:bookmarkStart w:id="804" w:name="Tc_ll_lxlncvkm-DdIOHt94lg_1_2"/>
      <w:bookmarkStart w:id="805" w:name="_2705b612_0a3a_4943_8693_34b168b01924"/>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sz w:val="20"/>
        </w:rPr>
        <w:t>The total outstanding and exercisable options from the 2011 Plan, 2019 Plan, and Inducement Plan as of and for the six-month periods ending June 30 were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80"/>
        <w:gridCol w:w="346"/>
        <w:gridCol w:w="196"/>
        <w:gridCol w:w="916"/>
        <w:gridCol w:w="109"/>
        <w:gridCol w:w="237"/>
        <w:gridCol w:w="1002"/>
        <w:gridCol w:w="346"/>
        <w:gridCol w:w="196"/>
        <w:gridCol w:w="826"/>
        <w:gridCol w:w="346"/>
        <w:gridCol w:w="916"/>
        <w:gridCol w:w="346"/>
        <w:gridCol w:w="248"/>
        <w:gridCol w:w="595"/>
      </w:tblGrid>
      <w:tr>
        <w:trPr/>
        <w:tc>
          <w:tcPr>
            <w:tcW w:w="3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73300" cy="175260"/>
                      <wp:effectExtent l="0" t="0" r="0" b="0"/>
                      <wp:wrapNone/>
                      <wp:docPr id="80" name="Frame80"/>
                      <a:graphic xmlns:a="http://schemas.openxmlformats.org/drawingml/2006/main">
                        <a:graphicData uri="http://schemas.microsoft.com/office/word/2010/wordprocessingShape">
                          <wps:wsp>
                            <wps:cNvSpPr txBox="1"/>
                            <wps:spPr>
                              <a:xfrm>
                                <a:off x="0" y="0"/>
                                <a:ext cx="2273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81660" cy="175260"/>
                      <wp:effectExtent l="0" t="0" r="0" b="0"/>
                      <wp:wrapNone/>
                      <wp:docPr id="83" name="Frame8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50495" cy="175260"/>
                      <wp:effectExtent l="0" t="0" r="0" b="0"/>
                      <wp:wrapNone/>
                      <wp:docPr id="85" name="Frame85"/>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36270" cy="175260"/>
                      <wp:effectExtent l="0" t="0" r="0" b="0"/>
                      <wp:wrapNone/>
                      <wp:docPr id="86" name="Frame86"/>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24510" cy="175260"/>
                      <wp:effectExtent l="0" t="0" r="0" b="0"/>
                      <wp:wrapNone/>
                      <wp:docPr id="89" name="Frame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81660" cy="175260"/>
                      <wp:effectExtent l="0" t="0" r="0" b="0"/>
                      <wp:wrapNone/>
                      <wp:docPr id="91" name="Frame9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57480" cy="175260"/>
                      <wp:effectExtent l="0" t="0" r="0" b="0"/>
                      <wp:wrapNone/>
                      <wp:docPr id="93" name="Frame9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77825" cy="175260"/>
                      <wp:effectExtent l="0" t="0" r="0" b="0"/>
                      <wp:wrapNone/>
                      <wp:docPr id="94" name="Frame94"/>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279" w:type="dxa"/>
            <w:gridSpan w:val="13"/>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58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10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5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828"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5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82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35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2019 Plan</w:t>
            </w:r>
          </w:p>
        </w:tc>
        <w:tc>
          <w:tcPr>
            <w:tcW w:w="109" w:type="dxa"/>
            <w:tcBorders/>
            <w:vAlign w:val="center"/>
          </w:tcPr>
          <w:p>
            <w:pPr>
              <w:pStyle w:val="TableContents"/>
              <w:bidi w:val="0"/>
              <w:spacing w:before="0" w:after="1"/>
              <w:ind w:left="0" w:right="0" w:hanging="0"/>
              <w:jc w:val="center"/>
              <w:rPr/>
            </w:pPr>
            <w:r>
              <w:rPr/>
              <w:t>​</w:t>
            </w:r>
          </w:p>
        </w:tc>
        <w:tc>
          <w:tcPr>
            <w:tcW w:w="12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Inducement Plan</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2011 Plan</w:t>
            </w:r>
          </w:p>
        </w:tc>
        <w:tc>
          <w:tcPr>
            <w:tcW w:w="346" w:type="dxa"/>
            <w:tcBorders/>
            <w:vAlign w:val="center"/>
          </w:tcPr>
          <w:p>
            <w:pPr>
              <w:pStyle w:val="TableContents"/>
              <w:bidi w:val="0"/>
              <w:spacing w:before="0" w:after="1"/>
              <w:ind w:left="0" w:right="0" w:hanging="0"/>
              <w:jc w:val="left"/>
              <w:rPr/>
            </w:pPr>
            <w:r>
              <w:rPr/>
              <w:t>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1"/>
              <w:ind w:left="0" w:right="0" w:hanging="0"/>
              <w:jc w:val="left"/>
              <w:rPr/>
            </w:pPr>
            <w:r>
              <w:rPr/>
              <w:t>  ​ ​</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3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- 2011 Plan</w:t>
            </w:r>
          </w:p>
        </w:tc>
        <w:tc>
          <w:tcPr>
            <w:tcW w:w="346" w:type="dxa"/>
            <w:tcBorders/>
            <w:shd w:fill="CCEEFF" w:val="clear"/>
            <w:vAlign w:val="center"/>
          </w:tcPr>
          <w:p>
            <w:pPr>
              <w:pStyle w:val="TableContents"/>
              <w:bidi w:val="0"/>
              <w:spacing w:before="0" w:after="1"/>
              <w:ind w:left="0" w:right="0" w:hanging="0"/>
              <w:jc w:val="center"/>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right"/>
              <w:rPr/>
            </w:pPr>
            <w:r>
              <w:rPr/>
              <w:t>​</w:t>
            </w:r>
          </w:p>
        </w:tc>
        <w:tc>
          <w:tcPr>
            <w:tcW w:w="100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1,294,691</w:t>
            </w:r>
          </w:p>
        </w:tc>
        <w:tc>
          <w:tcPr>
            <w:tcW w:w="346" w:type="dxa"/>
            <w:tcBorders/>
            <w:shd w:fill="CCEEFF" w:val="clear"/>
            <w:vAlign w:val="center"/>
          </w:tcPr>
          <w:p>
            <w:pPr>
              <w:pStyle w:val="TableContents"/>
              <w:bidi w:val="0"/>
              <w:spacing w:before="0" w:after="1"/>
              <w:ind w:left="0" w:right="0" w:hanging="0"/>
              <w:jc w:val="center"/>
              <w:rPr/>
            </w:pPr>
            <w:r>
              <w:rPr/>
              <w:t>  ​ ​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1,294,691</w:t>
            </w:r>
          </w:p>
        </w:tc>
        <w:tc>
          <w:tcPr>
            <w:tcW w:w="346" w:type="dxa"/>
            <w:tcBorders/>
            <w:shd w:fill="CCEEFF" w:val="clear"/>
            <w:vAlign w:val="center"/>
          </w:tcPr>
          <w:p>
            <w:pPr>
              <w:pStyle w:val="TableContents"/>
              <w:bidi w:val="0"/>
              <w:spacing w:before="0" w:after="1"/>
              <w:ind w:left="0" w:right="0" w:hanging="0"/>
              <w:jc w:val="center"/>
              <w:rPr/>
            </w:pPr>
            <w:r>
              <w:rPr/>
              <w:t>  ​ ​ ​</w:t>
            </w:r>
          </w:p>
        </w:tc>
        <w:tc>
          <w:tcPr>
            <w:tcW w:w="24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w:t>
            </w:r>
          </w:p>
        </w:tc>
      </w:tr>
      <w:tr>
        <w:trPr/>
        <w:tc>
          <w:tcPr>
            <w:tcW w:w="3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- 2019 Plan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8,591,306</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right"/>
              <w:rPr/>
            </w:pPr>
            <w:r>
              <w:rPr/>
              <w:t>​</w:t>
            </w:r>
          </w:p>
        </w:tc>
        <w:tc>
          <w:tcPr>
            <w:tcW w:w="10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8,591,306</w:t>
            </w:r>
          </w:p>
        </w:tc>
        <w:tc>
          <w:tcPr>
            <w:tcW w:w="34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w:t>
            </w:r>
          </w:p>
        </w:tc>
      </w:tr>
      <w:tr>
        <w:trPr/>
        <w:tc>
          <w:tcPr>
            <w:tcW w:w="3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Inducement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righ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710,000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710,000</w:t>
            </w:r>
          </w:p>
        </w:tc>
        <w:tc>
          <w:tcPr>
            <w:tcW w:w="346" w:type="dxa"/>
            <w:tcBorders/>
            <w:shd w:fill="CCEEFF" w:val="clear"/>
            <w:vAlign w:val="center"/>
          </w:tcPr>
          <w:p>
            <w:pPr>
              <w:pStyle w:val="TableContents"/>
              <w:bidi w:val="0"/>
              <w:spacing w:before="0" w:after="1"/>
              <w:ind w:left="0" w:right="0" w:hanging="0"/>
              <w:jc w:val="righ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w:t>
            </w:r>
          </w:p>
        </w:tc>
      </w:tr>
      <w:tr>
        <w:trPr/>
        <w:tc>
          <w:tcPr>
            <w:tcW w:w="3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Granted - 2019 Plan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2,807,000</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w:t>
            </w:r>
          </w:p>
        </w:tc>
        <w:tc>
          <w:tcPr>
            <w:tcW w:w="10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2,807,000</w:t>
            </w:r>
          </w:p>
        </w:tc>
        <w:tc>
          <w:tcPr>
            <w:tcW w:w="34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r>
      <w:tr>
        <w:trPr/>
        <w:tc>
          <w:tcPr>
            <w:tcW w:w="3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Granted - Inducement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righ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542,000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542,000</w:t>
            </w:r>
          </w:p>
        </w:tc>
        <w:tc>
          <w:tcPr>
            <w:tcW w:w="346" w:type="dxa"/>
            <w:tcBorders/>
            <w:shd w:fill="CCEEFF" w:val="clear"/>
            <w:vAlign w:val="center"/>
          </w:tcPr>
          <w:p>
            <w:pPr>
              <w:pStyle w:val="TableContents"/>
              <w:bidi w:val="0"/>
              <w:spacing w:before="0" w:after="1"/>
              <w:ind w:left="0" w:right="0" w:hanging="0"/>
              <w:jc w:val="righ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9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r>
      <w:tr>
        <w:trPr/>
        <w:tc>
          <w:tcPr>
            <w:tcW w:w="3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Exercised - 2011 Plan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(24,921)</w:t>
            </w:r>
          </w:p>
        </w:tc>
        <w:tc>
          <w:tcPr>
            <w:tcW w:w="346" w:type="dxa"/>
            <w:tcBorders/>
            <w:vAlign w:val="center"/>
          </w:tcPr>
          <w:p>
            <w:pPr>
              <w:pStyle w:val="TableContents"/>
              <w:bidi w:val="0"/>
              <w:spacing w:before="0" w:after="1"/>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(24,921)</w:t>
            </w:r>
          </w:p>
        </w:tc>
        <w:tc>
          <w:tcPr>
            <w:tcW w:w="346" w:type="dxa"/>
            <w:tcBorders/>
            <w:vAlign w:val="center"/>
          </w:tcPr>
          <w:p>
            <w:pPr>
              <w:pStyle w:val="TableContents"/>
              <w:bidi w:val="0"/>
              <w:spacing w:before="0" w:after="1"/>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r>
      <w:tr>
        <w:trPr/>
        <w:tc>
          <w:tcPr>
            <w:tcW w:w="3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end of period</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11,398,306</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1,252,000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1,269,770</w:t>
            </w:r>
          </w:p>
        </w:tc>
        <w:tc>
          <w:tcPr>
            <w:tcW w:w="346" w:type="dxa"/>
            <w:tcBorders/>
            <w:shd w:fill="CCEEFF" w:val="cle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13,920,076</w:t>
            </w:r>
          </w:p>
        </w:tc>
        <w:tc>
          <w:tcPr>
            <w:tcW w:w="346" w:type="dxa"/>
            <w:tcBorders/>
            <w:shd w:fill="CCEEFF" w:val="clear"/>
            <w:vAlign w:val="center"/>
          </w:tcPr>
          <w:p>
            <w:pPr>
              <w:pStyle w:val="TableContents"/>
              <w:bidi w:val="0"/>
              <w:spacing w:before="0" w:after="1"/>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w:t>
            </w:r>
          </w:p>
        </w:tc>
      </w:tr>
      <w:tr>
        <w:trPr/>
        <w:tc>
          <w:tcPr>
            <w:tcW w:w="3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end of period - Weighted average exercise price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pPr>
            <w:r>
              <w:rPr/>
              <w:t>​</w:t>
            </w:r>
          </w:p>
        </w:tc>
      </w:tr>
      <w:tr>
        <w:trPr/>
        <w:tc>
          <w:tcPr>
            <w:tcW w:w="35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Exercisable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6,978,257</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493,206</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1,269,770</w:t>
            </w:r>
          </w:p>
        </w:tc>
        <w:tc>
          <w:tcPr>
            <w:tcW w:w="346" w:type="dxa"/>
            <w:tcBorders/>
            <w:shd w:fill="CCEEFF" w:val="cle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8,741,233</w:t>
            </w:r>
          </w:p>
        </w:tc>
        <w:tc>
          <w:tcPr>
            <w:tcW w:w="346" w:type="dxa"/>
            <w:tcBorders/>
            <w:shd w:fill="CCEEFF" w:val="clear"/>
            <w:vAlign w:val="center"/>
          </w:tcPr>
          <w:p>
            <w:pPr>
              <w:pStyle w:val="TableContents"/>
              <w:bidi w:val="0"/>
              <w:spacing w:before="0" w:after="1"/>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4.40</w:t>
            </w:r>
          </w:p>
        </w:tc>
      </w:tr>
      <w:tr>
        <w:trPr/>
        <w:tc>
          <w:tcPr>
            <w:tcW w:w="35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Exercisable at end of period - Weighted average exercise price</w:t>
            </w:r>
          </w:p>
        </w:tc>
        <w:tc>
          <w:tcPr>
            <w:tcW w:w="346" w:type="dxa"/>
            <w:tcBorders/>
            <w:vAlign w:val="center"/>
          </w:tcPr>
          <w:p>
            <w:pPr>
              <w:pStyle w:val="TableContents"/>
              <w:bidi w:val="0"/>
              <w:spacing w:before="0" w:after="1"/>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5"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02"/>
        <w:gridCol w:w="346"/>
        <w:gridCol w:w="196"/>
        <w:gridCol w:w="826"/>
        <w:gridCol w:w="109"/>
        <w:gridCol w:w="279"/>
        <w:gridCol w:w="986"/>
        <w:gridCol w:w="109"/>
        <w:gridCol w:w="196"/>
        <w:gridCol w:w="826"/>
        <w:gridCol w:w="286"/>
        <w:gridCol w:w="916"/>
        <w:gridCol w:w="286"/>
        <w:gridCol w:w="248"/>
        <w:gridCol w:w="594"/>
      </w:tblGrid>
      <w:tr>
        <w:trPr/>
        <w:tc>
          <w:tcPr>
            <w:tcW w:w="4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541270" cy="175260"/>
                      <wp:effectExtent l="0" t="0" r="0" b="0"/>
                      <wp:wrapNone/>
                      <wp:docPr id="95" name="Frame95"/>
                      <a:graphic xmlns:a="http://schemas.openxmlformats.org/drawingml/2006/main">
                        <a:graphicData uri="http://schemas.microsoft.com/office/word/2010/wordprocessingShape">
                          <wps:wsp>
                            <wps:cNvSpPr txBox="1"/>
                            <wps:spPr>
                              <a:xfrm>
                                <a:off x="0" y="0"/>
                                <a:ext cx="2541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4460" cy="175260"/>
                      <wp:effectExtent l="0" t="0" r="0" b="0"/>
                      <wp:wrapNone/>
                      <wp:docPr id="97"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24510" cy="175260"/>
                      <wp:effectExtent l="0" t="0" r="0" b="0"/>
                      <wp:wrapNone/>
                      <wp:docPr id="98" name="Frame9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7165" cy="175260"/>
                      <wp:effectExtent l="0" t="0" r="0" b="0"/>
                      <wp:wrapNone/>
                      <wp:docPr id="100" name="Frame100"/>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26110" cy="175260"/>
                      <wp:effectExtent l="0" t="0" r="0" b="0"/>
                      <wp:wrapNone/>
                      <wp:docPr id="101" name="Frame101"/>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2"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24510" cy="175260"/>
                      <wp:effectExtent l="0" t="0" r="0" b="0"/>
                      <wp:wrapNone/>
                      <wp:docPr id="104" name="Frame10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1610" cy="175260"/>
                      <wp:effectExtent l="0" t="0" r="0" b="0"/>
                      <wp:wrapNone/>
                      <wp:docPr id="105" name="Frame10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81660" cy="175260"/>
                      <wp:effectExtent l="0" t="0" r="0" b="0"/>
                      <wp:wrapNone/>
                      <wp:docPr id="106" name="Frame10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1610" cy="175260"/>
                      <wp:effectExtent l="0" t="0" r="0" b="0"/>
                      <wp:wrapNone/>
                      <wp:docPr id="107" name="Frame10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7480" cy="175260"/>
                      <wp:effectExtent l="0" t="0" r="0" b="0"/>
                      <wp:wrapNone/>
                      <wp:docPr id="108" name="Frame10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77190" cy="175260"/>
                      <wp:effectExtent l="0" t="0" r="0" b="0"/>
                      <wp:wrapNone/>
                      <wp:docPr id="109" name="Frame109"/>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857" w:type="dxa"/>
            <w:gridSpan w:val="13"/>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0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79" w:type="dxa"/>
            <w:tcBorders/>
            <w:vAlign w:val="center"/>
          </w:tcPr>
          <w:p>
            <w:pPr>
              <w:pStyle w:val="TableContents"/>
              <w:bidi w:val="0"/>
              <w:spacing w:before="0" w:after="1"/>
              <w:ind w:left="0" w:right="0" w:hanging="0"/>
              <w:jc w:val="center"/>
              <w:rPr/>
            </w:pPr>
            <w:r>
              <w:rPr/>
              <w:t>​</w:t>
            </w:r>
          </w:p>
        </w:tc>
        <w:tc>
          <w:tcPr>
            <w:tcW w:w="98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0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27" w:type="dxa"/>
            <w:gridSpan w:val="8"/>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0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527"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28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8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400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2019 Plan</w:t>
            </w:r>
          </w:p>
        </w:tc>
        <w:tc>
          <w:tcPr>
            <w:tcW w:w="109" w:type="dxa"/>
            <w:tcBorders/>
            <w:vAlign w:val="center"/>
          </w:tcPr>
          <w:p>
            <w:pPr>
              <w:pStyle w:val="TableContents"/>
              <w:bidi w:val="0"/>
              <w:spacing w:before="0" w:after="1"/>
              <w:ind w:left="0" w:right="0" w:hanging="0"/>
              <w:jc w:val="center"/>
              <w:rPr/>
            </w:pPr>
            <w:r>
              <w:rPr/>
              <w:t>​</w:t>
            </w:r>
          </w:p>
        </w:tc>
        <w:tc>
          <w:tcPr>
            <w:tcW w:w="12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Inducement Plan</w:t>
            </w:r>
          </w:p>
        </w:tc>
        <w:tc>
          <w:tcPr>
            <w:tcW w:w="109"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2011 Plan</w:t>
            </w:r>
          </w:p>
        </w:tc>
        <w:tc>
          <w:tcPr>
            <w:tcW w:w="286" w:type="dxa"/>
            <w:tcBorders/>
            <w:vAlign w:val="center"/>
          </w:tcPr>
          <w:p>
            <w:pPr>
              <w:pStyle w:val="TableContents"/>
              <w:bidi w:val="0"/>
              <w:spacing w:before="0" w:after="1"/>
              <w:ind w:left="0" w:right="0" w:hanging="0"/>
              <w:jc w:val="left"/>
              <w:rPr/>
            </w:pPr>
            <w:r>
              <w:rPr/>
              <w:t>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286" w:type="dxa"/>
            <w:tcBorders/>
            <w:vAlign w:val="center"/>
          </w:tcPr>
          <w:p>
            <w:pPr>
              <w:pStyle w:val="TableContents"/>
              <w:bidi w:val="0"/>
              <w:spacing w:before="0" w:after="1"/>
              <w:ind w:left="0" w:right="0" w:hanging="0"/>
              <w:jc w:val="left"/>
              <w:rPr/>
            </w:pPr>
            <w:r>
              <w:rPr/>
              <w:t>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- 2011 Plan</w:t>
            </w:r>
          </w:p>
        </w:tc>
        <w:tc>
          <w:tcPr>
            <w:tcW w:w="346" w:type="dxa"/>
            <w:tcBorders/>
            <w:shd w:fill="CCEEFF" w:val="clear"/>
            <w:vAlign w:val="center"/>
          </w:tcPr>
          <w:p>
            <w:pPr>
              <w:pStyle w:val="TableContents"/>
              <w:bidi w:val="0"/>
              <w:spacing w:before="0" w:after="1"/>
              <w:ind w:left="0" w:right="0" w:hanging="0"/>
              <w:jc w:val="center"/>
              <w:rPr/>
            </w:pPr>
            <w:r>
              <w:rPr/>
              <w:t>  ​ ​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center"/>
              <w:rPr/>
            </w:pPr>
            <w:r>
              <w:rPr/>
              <w:t>​</w:t>
            </w:r>
          </w:p>
        </w:tc>
        <w:tc>
          <w:tcPr>
            <w:tcW w:w="98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1,632,485</w:t>
            </w:r>
          </w:p>
        </w:tc>
        <w:tc>
          <w:tcPr>
            <w:tcW w:w="286" w:type="dxa"/>
            <w:tcBorders/>
            <w:shd w:fill="CCEEFF" w:val="clear"/>
            <w:vAlign w:val="center"/>
          </w:tcPr>
          <w:p>
            <w:pPr>
              <w:pStyle w:val="TableContents"/>
              <w:bidi w:val="0"/>
              <w:spacing w:before="0" w:after="1"/>
              <w:ind w:left="0" w:right="0" w:hanging="0"/>
              <w:jc w:val="center"/>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1,632,485</w:t>
            </w:r>
          </w:p>
        </w:tc>
        <w:tc>
          <w:tcPr>
            <w:tcW w:w="286" w:type="dxa"/>
            <w:tcBorders/>
            <w:shd w:fill="CCEEFF" w:val="clear"/>
            <w:vAlign w:val="center"/>
          </w:tcPr>
          <w:p>
            <w:pPr>
              <w:pStyle w:val="TableContents"/>
              <w:bidi w:val="0"/>
              <w:spacing w:before="0" w:after="1"/>
              <w:ind w:left="0" w:right="0" w:hanging="0"/>
              <w:jc w:val="center"/>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- 2019 Plan</w:t>
            </w:r>
          </w:p>
        </w:tc>
        <w:tc>
          <w:tcPr>
            <w:tcW w:w="34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7,604,606</w:t>
            </w:r>
          </w:p>
        </w:tc>
        <w:tc>
          <w:tcPr>
            <w:tcW w:w="109"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7,604,606</w:t>
            </w:r>
          </w:p>
        </w:tc>
        <w:tc>
          <w:tcPr>
            <w:tcW w:w="286" w:type="dxa"/>
            <w:tcBorders/>
            <w:vAlign w:val="center"/>
          </w:tcPr>
          <w:p>
            <w:pPr>
              <w:pStyle w:val="TableContents"/>
              <w:bidi w:val="0"/>
              <w:spacing w:before="0" w:after="1"/>
              <w:ind w:left="0" w:right="0" w:hanging="0"/>
              <w:jc w:val="center"/>
              <w:rPr/>
            </w:pPr>
            <w:r>
              <w:rPr/>
              <w:t>​</w:t>
            </w:r>
          </w:p>
        </w:tc>
        <w:tc>
          <w:tcPr>
            <w:tcW w:w="248"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4.97</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beginning of period - Inducement Plan</w:t>
            </w:r>
          </w:p>
        </w:tc>
        <w:tc>
          <w:tcPr>
            <w:tcW w:w="34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496,000</w:t>
            </w:r>
          </w:p>
        </w:tc>
        <w:tc>
          <w:tcPr>
            <w:tcW w:w="109"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496,000</w:t>
            </w:r>
          </w:p>
        </w:tc>
        <w:tc>
          <w:tcPr>
            <w:tcW w:w="286" w:type="dxa"/>
            <w:tcBorders/>
            <w:shd w:fill="CCEEFF" w:val="clear"/>
            <w:vAlign w:val="center"/>
          </w:tcPr>
          <w:p>
            <w:pPr>
              <w:pStyle w:val="TableContents"/>
              <w:bidi w:val="0"/>
              <w:spacing w:before="0" w:after="1"/>
              <w:ind w:left="0" w:right="0" w:hanging="0"/>
              <w:jc w:val="center"/>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5.99</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Granted - 2019 Plan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1,511,400</w:t>
            </w:r>
          </w:p>
        </w:tc>
        <w:tc>
          <w:tcPr>
            <w:tcW w:w="109"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right"/>
              <w:rPr/>
            </w:pPr>
            <w:r>
              <w:rPr/>
              <w:t>​</w:t>
            </w:r>
          </w:p>
        </w:tc>
        <w:tc>
          <w:tcPr>
            <w:tcW w:w="9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1,511,400</w:t>
            </w:r>
          </w:p>
        </w:tc>
        <w:tc>
          <w:tcPr>
            <w:tcW w:w="28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Granted - Inducement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right"/>
              <w:rPr/>
            </w:pPr>
            <w:r>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244,000</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244,000</w:t>
            </w:r>
          </w:p>
        </w:tc>
        <w:tc>
          <w:tcPr>
            <w:tcW w:w="286" w:type="dxa"/>
            <w:tcBorders/>
            <w:shd w:fill="CCEEFF" w:val="clear"/>
            <w:vAlign w:val="center"/>
          </w:tcPr>
          <w:p>
            <w:pPr>
              <w:pStyle w:val="TableContents"/>
              <w:bidi w:val="0"/>
              <w:spacing w:before="0" w:after="1"/>
              <w:ind w:left="0" w:right="0" w:hanging="0"/>
              <w:jc w:val="righ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Exercised - 2011 Plan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79" w:type="dxa"/>
            <w:tcBorders/>
            <w:vAlign w:val="center"/>
          </w:tcPr>
          <w:p>
            <w:pPr>
              <w:pStyle w:val="TableContents"/>
              <w:bidi w:val="0"/>
              <w:spacing w:before="0" w:after="1"/>
              <w:ind w:left="0" w:right="0" w:hanging="0"/>
              <w:jc w:val="left"/>
              <w:rPr/>
            </w:pPr>
            <w:r>
              <w:rPr/>
              <w:t>​</w:t>
            </w:r>
          </w:p>
        </w:tc>
        <w:tc>
          <w:tcPr>
            <w:tcW w:w="98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(29,988)</w:t>
            </w:r>
          </w:p>
        </w:tc>
        <w:tc>
          <w:tcPr>
            <w:tcW w:w="28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(29,988)</w:t>
            </w:r>
          </w:p>
        </w:tc>
        <w:tc>
          <w:tcPr>
            <w:tcW w:w="28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Forfeited - Inducement Plan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9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righ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(74,917)</w:t>
            </w:r>
          </w:p>
        </w:tc>
        <w:tc>
          <w:tcPr>
            <w:tcW w:w="286" w:type="dxa"/>
            <w:tcBorders/>
            <w:shd w:fill="CCEEFF" w:val="clear"/>
            <w:vAlign w:val="center"/>
          </w:tcPr>
          <w:p>
            <w:pPr>
              <w:pStyle w:val="TableContents"/>
              <w:bidi w:val="0"/>
              <w:spacing w:before="0" w:after="1"/>
              <w:ind w:left="0" w:right="0" w:hanging="0"/>
              <w:jc w:val="righ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59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Forfeited - 2019 Plan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(101,516)</w:t>
            </w:r>
          </w:p>
        </w:tc>
        <w:tc>
          <w:tcPr>
            <w:tcW w:w="109" w:type="dxa"/>
            <w:tcBorders/>
            <w:vAlign w:val="center"/>
          </w:tcPr>
          <w:p>
            <w:pPr>
              <w:pStyle w:val="TableContents"/>
              <w:bidi w:val="0"/>
              <w:spacing w:before="0" w:after="1"/>
              <w:ind w:left="0" w:right="0" w:hanging="0"/>
              <w:jc w:val="righ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(101,516)</w:t>
            </w:r>
          </w:p>
        </w:tc>
        <w:tc>
          <w:tcPr>
            <w:tcW w:w="286" w:type="dxa"/>
            <w:tcBorders/>
            <w:vAlign w:val="center"/>
          </w:tcPr>
          <w:p>
            <w:pPr>
              <w:pStyle w:val="TableContents"/>
              <w:bidi w:val="0"/>
              <w:spacing w:before="0" w:after="1"/>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9,014,490</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665,083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1,602,497</w:t>
            </w:r>
          </w:p>
        </w:tc>
        <w:tc>
          <w:tcPr>
            <w:tcW w:w="28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11,282,070</w:t>
            </w:r>
          </w:p>
        </w:tc>
        <w:tc>
          <w:tcPr>
            <w:tcW w:w="286" w:type="dxa"/>
            <w:tcBorders/>
            <w:shd w:fill="CCEEFF" w:val="clear"/>
            <w:vAlign w:val="center"/>
          </w:tcPr>
          <w:p>
            <w:pPr>
              <w:pStyle w:val="TableContents"/>
              <w:bidi w:val="0"/>
              <w:spacing w:before="0" w:after="1"/>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Outstanding at end of period - Weighted average exercise price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109" w:type="dxa"/>
            <w:tcBorders/>
            <w:vAlign w:val="center"/>
          </w:tcPr>
          <w:p>
            <w:pPr>
              <w:pStyle w:val="TableContents"/>
              <w:bidi w:val="0"/>
              <w:spacing w:before="0" w:after="1"/>
              <w:ind w:left="0" w:right="0" w:hanging="0"/>
              <w:jc w:val="righ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w:t>
            </w:r>
          </w:p>
        </w:tc>
        <w:tc>
          <w:tcPr>
            <w:tcW w:w="2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pPr>
            <w:r>
              <w:rPr/>
              <w:t>​</w:t>
            </w:r>
          </w:p>
        </w:tc>
      </w:tr>
      <w:tr>
        <w:trPr/>
        <w:tc>
          <w:tcPr>
            <w:tcW w:w="40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Exercisable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6,162,757</w:t>
            </w:r>
          </w:p>
        </w:tc>
        <w:tc>
          <w:tcPr>
            <w:tcW w:w="109" w:type="dxa"/>
            <w:tcBorders/>
            <w:shd w:fill="CCEEFF" w:val="clear"/>
            <w:vAlign w:val="center"/>
          </w:tcPr>
          <w:p>
            <w:pPr>
              <w:pStyle w:val="TableContents"/>
              <w:bidi w:val="0"/>
              <w:spacing w:before="0" w:after="1"/>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381,291</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1,602,497</w:t>
            </w:r>
          </w:p>
        </w:tc>
        <w:tc>
          <w:tcPr>
            <w:tcW w:w="286" w:type="dxa"/>
            <w:tcBorders/>
            <w:shd w:fill="CCEEFF" w:val="clear"/>
            <w:vAlign w:val="center"/>
          </w:tcPr>
          <w:p>
            <w:pPr>
              <w:pStyle w:val="TableContents"/>
              <w:bidi w:val="0"/>
              <w:spacing w:before="0" w:after="1"/>
              <w:ind w:left="0" w:right="0" w:hanging="0"/>
              <w:jc w:val="righ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8,146,545</w:t>
            </w:r>
          </w:p>
        </w:tc>
        <w:tc>
          <w:tcPr>
            <w:tcW w:w="286" w:type="dxa"/>
            <w:tcBorders/>
            <w:shd w:fill="CCEEFF" w:val="clear"/>
            <w:vAlign w:val="center"/>
          </w:tcPr>
          <w:p>
            <w:pPr>
              <w:pStyle w:val="TableContents"/>
              <w:bidi w:val="0"/>
              <w:spacing w:before="0" w:after="1"/>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w:t>
            </w:r>
          </w:p>
        </w:tc>
      </w:tr>
      <w:tr>
        <w:trPr/>
        <w:tc>
          <w:tcPr>
            <w:tcW w:w="400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Exercisable at end of period - Weighted average exercise price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w:t>
            </w:r>
          </w:p>
        </w:tc>
        <w:tc>
          <w:tcPr>
            <w:tcW w:w="109" w:type="dxa"/>
            <w:tcBorders/>
            <w:vAlign w:val="center"/>
          </w:tcPr>
          <w:p>
            <w:pPr>
              <w:pStyle w:val="TableContents"/>
              <w:bidi w:val="0"/>
              <w:spacing w:before="0" w:after="1"/>
              <w:ind w:left="0" w:right="0" w:hanging="0"/>
              <w:jc w:val="righ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9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w:t>
            </w:r>
          </w:p>
        </w:tc>
        <w:tc>
          <w:tcPr>
            <w:tcW w:w="286" w:type="dxa"/>
            <w:tcBorders/>
            <w:vAlign w:val="center"/>
          </w:tcPr>
          <w:p>
            <w:pPr>
              <w:pStyle w:val="TableContents"/>
              <w:bidi w:val="0"/>
              <w:spacing w:before="0" w:after="1"/>
              <w:ind w:left="0" w:right="0" w:hanging="0"/>
              <w:jc w:val="right"/>
              <w:rPr/>
            </w:pPr>
            <w:r>
              <w:rPr/>
              <w:t>​</w:t>
            </w:r>
          </w:p>
        </w:tc>
        <w:tc>
          <w:tcPr>
            <w:tcW w:w="916"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right"/>
              <w:rPr/>
            </w:pPr>
            <w:r>
              <w:rPr/>
              <w:t>​</w:t>
            </w:r>
          </w:p>
        </w:tc>
        <w:tc>
          <w:tcPr>
            <w:tcW w:w="248" w:type="dxa"/>
            <w:tcBorders/>
            <w:vAlign w:val="center"/>
          </w:tcPr>
          <w:p>
            <w:pPr>
              <w:pStyle w:val="TableContents"/>
              <w:bidi w:val="0"/>
              <w:spacing w:before="0" w:after="1"/>
              <w:ind w:left="0" w:right="0" w:hanging="0"/>
              <w:jc w:val="left"/>
              <w:rPr/>
            </w:pPr>
            <w:r>
              <w:rPr/>
              <w:t>​</w:t>
            </w:r>
          </w:p>
        </w:tc>
        <w:tc>
          <w:tcPr>
            <w:tcW w:w="594"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weighted average remaining contractual life was 6.8 and 6.7 years for outstanding options as of June 30, 2026 and 2025, respectively. The weighted average remaining contractual life was 5.5 and 5.8 years for vested options, as of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was $7.0 million and $5.5 million of total unrecognized compensation cost related to non-vested share options as of June 30, 2026 and 2025, respectively. The share options are expected to be recognized over a remaining weighted average vesting period of 2.8 years and 1.9 years as of June 30, 2026 and 2025,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Options granted are valued using the Black-Scholes option pricing model. This model also requires assumptions, including expected option life, volatility, risk-free interest rate, and dividend yield, which greatly affect the calculated values. Amortization of the fair value of the options over vesting years has been expensed and credited to additional paid-in capital in shareholders’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pPr>
      <w:bookmarkStart w:id="806" w:name="Tc_jy1xI12FxUmoez3fyZvWbg_8_13"/>
      <w:bookmarkStart w:id="807" w:name="Tc_lHpbbJVfxEq04GRtehfWlQ_8_10"/>
      <w:bookmarkStart w:id="808" w:name="Tc_TqZx-5YtckWZnSlbJpAKFQ_8_6"/>
      <w:bookmarkStart w:id="809" w:name="Tc_gOeBsqJQRUOGuj29rMJaJA_8_3"/>
      <w:bookmarkStart w:id="810" w:name="Tc_NGuz0SzdKkyXusQ93pnYzQ_8_0"/>
      <w:bookmarkStart w:id="811" w:name="Tc_OuQHYe7g8kCH2_1Koo-75g_7_12"/>
      <w:bookmarkStart w:id="812" w:name="Tc_II9TCNNqAEeT7Cq8WXfbRQ_7_9"/>
      <w:bookmarkStart w:id="813" w:name="Tc_ao1nbStCKUWQrbhI6KicEw_7_5"/>
      <w:bookmarkStart w:id="814" w:name="Tc_u7DeHXfgSEC1KAcRkeCB5g_7_2"/>
      <w:bookmarkStart w:id="815" w:name="Tc_sg1Rw89tKkqppv31a6uKnw_7_0"/>
      <w:bookmarkStart w:id="816" w:name="Tc_dJosPeg-L0SPfaHfsWDwQA_6_13"/>
      <w:bookmarkStart w:id="817" w:name="Tc_8uuAkF3ytEaapeY3qfdGOg_6_10"/>
      <w:bookmarkStart w:id="818" w:name="Tc_-sP1MAiQaECXYtherZ135g_6_6"/>
      <w:bookmarkStart w:id="819" w:name="Tc_A-ifQdoUkEC3uXPNgQxnyA_6_3"/>
      <w:bookmarkStart w:id="820" w:name="Tc_a6Bi9d_iD0i7qqB8yQOteg_6_0"/>
      <w:bookmarkStart w:id="821" w:name="Tc_G7kJ0hstr0qK-dGC6P0U9g_5_13"/>
      <w:bookmarkStart w:id="822" w:name="Tc_XEWwpNflCEuZ1FTudhfkfA_5_10"/>
      <w:bookmarkStart w:id="823" w:name="Tc_wo0-LsEC7EGtRRZWzGy5mw_5_6"/>
      <w:bookmarkStart w:id="824" w:name="Tc__7c8Z4D3LkyKCl4bjxFZtA_5_3"/>
      <w:bookmarkStart w:id="825" w:name="Tc_5B3eTfrn_E2qdxchnBPHmw_5_0"/>
      <w:bookmarkStart w:id="826" w:name="Tc_Gu4wwsl0M0SrOTUFQmpYFg_4_11"/>
      <w:bookmarkStart w:id="827" w:name="Tc_rsEXByL_BECx2PWQ32lnNg_4_8"/>
      <w:bookmarkStart w:id="828" w:name="Tc_IxHE-bR-TEOAKyvazIqzlg_4_4"/>
      <w:bookmarkStart w:id="829" w:name="Tc_aZlVWeCMF0aU4CcX4IuGxg_4_1"/>
      <w:bookmarkStart w:id="830" w:name="Tc_8rBDYYVrEUe7a76NPcPuRg_4_0"/>
      <w:bookmarkStart w:id="831" w:name="Tc_xxQr8qxWJkqwvCkPPemzBQ_3_11"/>
      <w:bookmarkStart w:id="832" w:name="Tc_sEAA2wFlf0aK9YfaPfOFeQ_3_8"/>
      <w:bookmarkStart w:id="833" w:name="Tc_My3_oFCwr0CppOv1XE1_ig_3_4"/>
      <w:bookmarkStart w:id="834" w:name="Tc_lXuUdR_pukq5plCIB-DX8A_3_1"/>
      <w:bookmarkStart w:id="835" w:name="Tc_4TmEdmn0VEyABUWv6Y6vvA_3_0"/>
      <w:bookmarkStart w:id="836" w:name="Tc_G0PanV_7Q0inrBn4zIag8A_2_11"/>
      <w:bookmarkStart w:id="837" w:name="Tc_oEB_ckCAC0GTweITr5CY7A_2_8"/>
      <w:bookmarkStart w:id="838" w:name="Tc_tVbe9K-VAkGPxeUKBdAAKQ_2_4"/>
      <w:bookmarkStart w:id="839" w:name="Tc_sSYZr6-prE-BILl1DHc5NA_2_1"/>
      <w:bookmarkStart w:id="840" w:name="Tc_1_lTj2ayuUivvYzDXbsghA_1_8"/>
      <w:bookmarkStart w:id="841" w:name="Tc_rcLWMkNAskG-u501ypOoZw_1_1"/>
      <w:bookmarkStart w:id="842" w:name="Tc_y-9u0GMjJki7NY49obTRYg_14_9"/>
      <w:bookmarkStart w:id="843" w:name="Tc_LrP3vJM5z0GkGnUvpmXgiw_14_8"/>
      <w:bookmarkStart w:id="844" w:name="Tc_s3OWJqW310OC4loooGiLIw_14_5"/>
      <w:bookmarkStart w:id="845" w:name="Tc__FGdanWBd0CTa0nPSdQYVA_14_2"/>
      <w:bookmarkStart w:id="846" w:name="Tc_dL0ROPE5jEyOMS0qyOL-uA_14_0"/>
      <w:bookmarkStart w:id="847" w:name="Tc_HN_ZeHAfP0GNIKyp88gC4Q_13_13"/>
      <w:bookmarkStart w:id="848" w:name="Tc_2cfSzWwfpky_NofEeEPCGA_13_9"/>
      <w:bookmarkStart w:id="849" w:name="Tc_2x3ys2_UbkSwE_fy0R3xPg_13_0"/>
      <w:bookmarkStart w:id="850" w:name="Tc_DVJCQY8HCEOkl_fNS6f1rA_12_9"/>
      <w:bookmarkStart w:id="851" w:name="Tc_sGiBbbidXkqD_TC-P1wVSQ_12_6"/>
      <w:bookmarkStart w:id="852" w:name="Tc_fdBpgKCrmEi3yazyAQpjGQ_12_0"/>
      <w:bookmarkStart w:id="853" w:name="Tc_1kGU-kHXLUmQfzNOEZtk-w_11_9"/>
      <w:bookmarkStart w:id="854" w:name="Tc_3KP6AJUhmEWToKEOthwT2Q_11_3"/>
      <w:bookmarkStart w:id="855" w:name="Tc_Ur-_GFppn02C2wJm78WCXA_11_0"/>
      <w:bookmarkStart w:id="856" w:name="Tc_1N-jA-zqaUq3awzEik_ojA_10_9"/>
      <w:bookmarkStart w:id="857" w:name="Tc_fooDdYWkt06uesOoTJtCOQ_10_3"/>
      <w:bookmarkStart w:id="858" w:name="Tc_5R6n2FvqDUm6SSdQ6GQ9aQ_10_0"/>
      <w:bookmarkStart w:id="859" w:name="Tc_TxkHUmfe7EC_U8nfPWfyAw_9_9"/>
      <w:bookmarkStart w:id="860" w:name="Tc_aGA6iaqwkkaQ8C3Y_eB-vQ_9_6"/>
      <w:bookmarkStart w:id="861" w:name="Tc_DVpdmXyY60GbuDPXCZ75xQ_9_0"/>
      <w:bookmarkStart w:id="862" w:name="Tc_ArhdsWJOPUOvjpHHzHeapg_8_9"/>
      <w:bookmarkStart w:id="863" w:name="Tc_8QYWj4Dq5UOfxaUuogiCFA_8_3"/>
      <w:bookmarkStart w:id="864" w:name="Tc_kwwQ0mVirkq2St_it09wqA_8_0"/>
      <w:bookmarkStart w:id="865" w:name="Tc_8JHMGXYumUiyqhDv9q542A_7_9"/>
      <w:bookmarkStart w:id="866" w:name="Tc_1QLWpubBGU6xA6bRf5SOEA_7_6"/>
      <w:bookmarkStart w:id="867" w:name="Tc_V4eIgS1ES0SJtSt5rJWCbA_7_0"/>
      <w:bookmarkStart w:id="868" w:name="Tc_P53JrxdQu0iS1hu0XaP1hQ_6_9"/>
      <w:bookmarkStart w:id="869" w:name="Tc_U6R3OCn9jUiB6URX2VahOA_6_3"/>
      <w:bookmarkStart w:id="870" w:name="Tc_nmBh54taKUy6vzQtsJ5MMQ_6_0"/>
      <w:bookmarkStart w:id="871" w:name="Tc_nDXdhgzzHUytAewQMKzH8Q_5_13"/>
      <w:bookmarkStart w:id="872" w:name="Tc_8f1OuKhrGki2rZqiHLqxHA_5_9"/>
      <w:bookmarkStart w:id="873" w:name="Tc_wGmkBTmjYUuQimVnUyWkYw_5_6"/>
      <w:bookmarkStart w:id="874" w:name="Tc_6w_XQGLoaEyXYT59lDjTJQ_5_0"/>
      <w:bookmarkStart w:id="875" w:name="Tc_BuiE_mZ9SE-zCm97B-K3uA_4_13"/>
      <w:bookmarkStart w:id="876" w:name="Tc_xcLcOquu0Emo41p0e9ro3g_4_11"/>
      <w:bookmarkStart w:id="877" w:name="Tc_NVMAOp8bcEKDQRaR2g4gJg_4_8"/>
      <w:bookmarkStart w:id="878" w:name="Tc_UfE7cbGL0Uqz5k1BBXGzMg_4_5"/>
      <w:bookmarkStart w:id="879" w:name="Tc_CrB5FeaS70CD4IehGVj2Gw_4_2"/>
      <w:bookmarkStart w:id="880" w:name="Tc_26NTb_ywfUiYhUb8awZIWA_3_13"/>
      <w:bookmarkStart w:id="881" w:name="Tc_ngnLXf4yYUCuRvMdujkayg_3_2"/>
      <w:bookmarkStart w:id="882" w:name="Tc_s9iZRtTEqk6h_tX22uiP1g_2_13"/>
      <w:bookmarkStart w:id="883" w:name="Tc_pfm46sJPAUGUKkEcoWGjhA_2_2"/>
      <w:bookmarkStart w:id="884" w:name="Tc_AuTE0iZt00ayuokzlBC2Ug_1_2"/>
      <w:bookmarkStart w:id="885" w:name="_a0dfba14_16a0_4c77_a46b_6776d8fe5e9c"/>
      <w:bookmarkStart w:id="886" w:name="Tc_0WTD9p8VV0qsYaWYZYBwdA_12_9"/>
      <w:bookmarkStart w:id="887" w:name="Tc_YxIeJYbw7E-ks9-7DFDnfQ_12_8"/>
      <w:bookmarkStart w:id="888" w:name="Tc_dEipO4tEA0-wrlmH4bLkCg_12_5"/>
      <w:bookmarkStart w:id="889" w:name="Tc_UvyraeX7LkCAkmXy_pW3cg_12_2"/>
      <w:bookmarkStart w:id="890" w:name="Tc_yw7F4UUeyU2xo7_d2qYs5Q_12_0"/>
      <w:bookmarkStart w:id="891" w:name="Tc_ZaVrFT3y5ECVgrmC5Wq91Q_11_13"/>
      <w:bookmarkStart w:id="892" w:name="Tc_vFpNXMMOB0m01k-U5DYrkg_11_9"/>
      <w:bookmarkStart w:id="893" w:name="Tc_eCUw4hQ7O0iruS4gw56y6A_11_0"/>
      <w:bookmarkStart w:id="894" w:name="Tc_ASHcjPCWKkmbQGMHPhZj6w_10_9"/>
      <w:bookmarkStart w:id="895" w:name="Tc_qd3h9EaI_EO3G8AyLGa82g_10_3"/>
      <w:bookmarkStart w:id="896" w:name="Tc_TIkYWRdnPEmgxyxyL_tUiw_10_0"/>
      <w:bookmarkStart w:id="897" w:name="Tc_fj2lgb25FkyGobRwJUlqkA_9_9"/>
      <w:bookmarkStart w:id="898" w:name="Tc_RuYUA_0CvEWkKlK4Us3yDg_9_6"/>
      <w:bookmarkStart w:id="899" w:name="Tc_IZzrIPkyk0-hNB-y3bXIHw_9_0"/>
      <w:bookmarkStart w:id="900" w:name="Tc_vuNFtuUPDUy12TpHZCBxzA_8_9"/>
      <w:bookmarkStart w:id="901" w:name="Tc_bFSalvcvIk2D6-hCIvIDiQ_8_3"/>
      <w:bookmarkStart w:id="902" w:name="Tc_DONM1mjkNE2bCgupLmUR2g_8_0"/>
      <w:bookmarkStart w:id="903" w:name="Tc_8dsCZ0uMDkizCJ3aluJAmw_7_9"/>
      <w:bookmarkStart w:id="904" w:name="Tc_pVTu_hQNpkGapPuGezib3g_7_6"/>
      <w:bookmarkStart w:id="905" w:name="Tc_JKc4oHXHQkuEUuaVZVTP1g_7_0"/>
      <w:bookmarkStart w:id="906" w:name="Tc_CmKZOxUIgUSqLWnw4GEtRA_6_9"/>
      <w:bookmarkStart w:id="907" w:name="Tc_EXwA2WLWpEKitAZ92cLbtQ_6_3"/>
      <w:bookmarkStart w:id="908" w:name="Tc_BsrOQQ04X06ZEtBnoi5W3A_6_0"/>
      <w:bookmarkStart w:id="909" w:name="Tc_NeoBz-DSIEmX194yx_zzlw_5_13"/>
      <w:bookmarkStart w:id="910" w:name="Tc_TaasEcxpU0uItcp-3WCr2g_5_9"/>
      <w:bookmarkStart w:id="911" w:name="Tc_fe-S9ghNHE2bqKPhDcC5uw_5_6"/>
      <w:bookmarkStart w:id="912" w:name="Tc_amD-YRVtnEqI-TLBzpj0nQ_5_0"/>
      <w:bookmarkStart w:id="913" w:name="Tc_hEkKHFd810uiCRG16Zq5mg_4_13"/>
      <w:bookmarkStart w:id="914" w:name="Tc_QIum9unidUK27WqYKpIwVg_4_11"/>
      <w:bookmarkStart w:id="915" w:name="Tc_VZyL-RFT-EmkNBqaOQRHsQ_4_8"/>
      <w:bookmarkStart w:id="916" w:name="Tc_wItpkMpWDkmCKAzYmu1S0A_4_5"/>
      <w:bookmarkStart w:id="917" w:name="Tc_G3tIpAR8PU2GAKTdnBC2Tg_4_2"/>
      <w:bookmarkStart w:id="918" w:name="Tc_9cRSQmeyOUibSQXJ2Wnlfw_3_13"/>
      <w:bookmarkStart w:id="919" w:name="Tc_PMY9Zw_W1EaKmlz-qX1EOg_3_2"/>
      <w:bookmarkStart w:id="920" w:name="Tc_b7xn8Fl9x0SQHdci-U0aOA_2_13"/>
      <w:bookmarkStart w:id="921" w:name="Tc_-hUS4c2P60KNdmy_6-8G5Q_2_2"/>
      <w:bookmarkStart w:id="922" w:name="Tc_cafpBqDjzEWoh9O3J_w28Q_1_2"/>
      <w:bookmarkStart w:id="923" w:name="_25326ecf_2e66_4d30_9bf5_cd60f34ce37e"/>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non-vested options as of and for the three-month periods ending June 30 were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55"/>
        <w:gridCol w:w="109"/>
        <w:gridCol w:w="196"/>
        <w:gridCol w:w="927"/>
        <w:gridCol w:w="346"/>
        <w:gridCol w:w="265"/>
        <w:gridCol w:w="937"/>
        <w:gridCol w:w="346"/>
        <w:gridCol w:w="270"/>
        <w:gridCol w:w="476"/>
        <w:gridCol w:w="346"/>
        <w:gridCol w:w="927"/>
        <w:gridCol w:w="346"/>
        <w:gridCol w:w="252"/>
        <w:gridCol w:w="607"/>
      </w:tblGrid>
      <w:tr>
        <w:trPr/>
        <w:tc>
          <w:tcPr>
            <w:tcW w:w="38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88645" cy="175260"/>
                      <wp:effectExtent l="0" t="0" r="0" b="0"/>
                      <wp:wrapNone/>
                      <wp:docPr id="111" name="Frame111"/>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8275" cy="175260"/>
                      <wp:effectExtent l="0" t="0" r="0" b="0"/>
                      <wp:wrapNone/>
                      <wp:docPr id="113" name="Frame113"/>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94995" cy="175260"/>
                      <wp:effectExtent l="0" t="0" r="0" b="0"/>
                      <wp:wrapNone/>
                      <wp:docPr id="114" name="Frame11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1450" cy="175260"/>
                      <wp:effectExtent l="0" t="0" r="0" b="0"/>
                      <wp:wrapNone/>
                      <wp:docPr id="116" name="Frame11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02260" cy="175260"/>
                      <wp:effectExtent l="0" t="0" r="0" b="0"/>
                      <wp:wrapNone/>
                      <wp:docPr id="117" name="Frame11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88645" cy="175260"/>
                      <wp:effectExtent l="0" t="0" r="0" b="0"/>
                      <wp:wrapNone/>
                      <wp:docPr id="119" name="Frame119"/>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0020" cy="175260"/>
                      <wp:effectExtent l="0" t="0" r="0" b="0"/>
                      <wp:wrapNone/>
                      <wp:docPr id="121" name="Frame12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5445" cy="175260"/>
                      <wp:effectExtent l="0" t="0" r="0" b="0"/>
                      <wp:wrapNone/>
                      <wp:docPr id="122" name="Frame122"/>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41" w:type="dxa"/>
            <w:gridSpan w:val="1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8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63"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8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76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options</w:t>
            </w:r>
          </w:p>
        </w:tc>
        <w:tc>
          <w:tcPr>
            <w:tcW w:w="346" w:type="dxa"/>
            <w:tcBorders/>
            <w:vAlign w:val="center"/>
          </w:tcPr>
          <w:p>
            <w:pPr>
              <w:pStyle w:val="TableContents"/>
              <w:bidi w:val="0"/>
              <w:spacing w:before="0" w:after="0"/>
              <w:ind w:left="0" w:right="0" w:hanging="0"/>
              <w:jc w:val="center"/>
              <w:rPr/>
            </w:pPr>
            <w:r>
              <w:rPr/>
              <w:t>​</w:t>
            </w:r>
          </w:p>
        </w:tc>
        <w:tc>
          <w:tcPr>
            <w:tcW w:w="9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8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2019 Plan</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Inducement Plan</w:t>
            </w:r>
          </w:p>
        </w:tc>
        <w:tc>
          <w:tcPr>
            <w:tcW w:w="346" w:type="dxa"/>
            <w:tcBorders/>
            <w:vAlign w:val="center"/>
          </w:tcPr>
          <w:p>
            <w:pPr>
              <w:pStyle w:val="TableContents"/>
              <w:bidi w:val="0"/>
              <w:spacing w:before="0" w:after="0"/>
              <w:ind w:left="0" w:right="0" w:hanging="0"/>
              <w:jc w:val="center"/>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2011 Plan</w:t>
            </w:r>
          </w:p>
        </w:tc>
        <w:tc>
          <w:tcPr>
            <w:tcW w:w="346" w:type="dxa"/>
            <w:tcBorders/>
            <w:vAlign w:val="center"/>
          </w:tcPr>
          <w:p>
            <w:pPr>
              <w:pStyle w:val="TableContents"/>
              <w:bidi w:val="0"/>
              <w:spacing w:before="0" w:after="0"/>
              <w:ind w:left="0" w:right="0" w:hanging="0"/>
              <w:jc w:val="center"/>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0"/>
              <w:ind w:left="0" w:right="0" w:hanging="0"/>
              <w:jc w:val="center"/>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8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beginning of period - 2019 Plan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2,953,423</w:t>
            </w:r>
          </w:p>
        </w:tc>
        <w:tc>
          <w:tcPr>
            <w:tcW w:w="34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2,953,423</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r>
      <w:tr>
        <w:trPr/>
        <w:tc>
          <w:tcPr>
            <w:tcW w:w="38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Non-vested share options at beginning of period - Inducement Plan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301,917</w:t>
            </w:r>
          </w:p>
        </w:tc>
        <w:tc>
          <w:tcPr>
            <w:tcW w:w="346"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301,917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r>
      <w:tr>
        <w:trPr/>
        <w:tc>
          <w:tcPr>
            <w:tcW w:w="38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 - 2019 Plan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2,807,000</w:t>
            </w:r>
          </w:p>
        </w:tc>
        <w:tc>
          <w:tcPr>
            <w:tcW w:w="34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2,807,000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w:t>
            </w:r>
          </w:p>
        </w:tc>
      </w:tr>
      <w:tr>
        <w:trPr/>
        <w:tc>
          <w:tcPr>
            <w:tcW w:w="38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 - Inducement Plan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542,000</w:t>
            </w:r>
          </w:p>
        </w:tc>
        <w:tc>
          <w:tcPr>
            <w:tcW w:w="346" w:type="dxa"/>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542,000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38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outstanding - 2019 Plan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(1,340,374)</w:t>
            </w:r>
          </w:p>
        </w:tc>
        <w:tc>
          <w:tcPr>
            <w:tcW w:w="346" w:type="dxa"/>
            <w:tcBorders/>
            <w:shd w:fill="CCEEFF" w:val="clear"/>
            <w:vAlign w:val="center"/>
          </w:tcPr>
          <w:p>
            <w:pPr>
              <w:pStyle w:val="TableContents"/>
              <w:bidi w:val="0"/>
              <w:spacing w:before="0" w:after="0"/>
              <w:ind w:left="0" w:right="0" w:hanging="0"/>
              <w:jc w:val="righ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(1,340,374)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w:t>
            </w:r>
          </w:p>
        </w:tc>
      </w:tr>
      <w:tr>
        <w:trPr/>
        <w:tc>
          <w:tcPr>
            <w:tcW w:w="38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outstanding - Inducement Plan</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5" w:type="dxa"/>
            <w:tcBorders/>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(85,123)</w:t>
            </w:r>
          </w:p>
        </w:tc>
        <w:tc>
          <w:tcPr>
            <w:tcW w:w="346" w:type="dxa"/>
            <w:tcBorders/>
            <w:vAlign w:val="center"/>
          </w:tcPr>
          <w:p>
            <w:pPr>
              <w:pStyle w:val="TableContents"/>
              <w:bidi w:val="0"/>
              <w:spacing w:before="0" w:after="0"/>
              <w:ind w:left="0" w:right="0" w:hanging="0"/>
              <w:jc w:val="righ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(85,123)</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38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4,420,049</w:t>
            </w:r>
          </w:p>
        </w:tc>
        <w:tc>
          <w:tcPr>
            <w:tcW w:w="346" w:type="dxa"/>
            <w:tcBorders/>
            <w:shd w:fill="CCEEFF" w:val="clear"/>
            <w:vAlign w:val="center"/>
          </w:tcPr>
          <w:p>
            <w:pPr>
              <w:pStyle w:val="TableContents"/>
              <w:bidi w:val="0"/>
              <w:spacing w:before="0" w:after="0"/>
              <w:ind w:left="0" w:right="0" w:hanging="0"/>
              <w:jc w:val="righ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758,794</w:t>
            </w:r>
          </w:p>
        </w:tc>
        <w:tc>
          <w:tcPr>
            <w:tcW w:w="346" w:type="dxa"/>
            <w:tcBorders/>
            <w:shd w:fill="CCEEFF" w:val="clear"/>
            <w:vAlign w:val="center"/>
          </w:tcPr>
          <w:p>
            <w:pPr>
              <w:pStyle w:val="TableContents"/>
              <w:bidi w:val="0"/>
              <w:spacing w:before="0" w:after="0"/>
              <w:ind w:left="0" w:right="0" w:hanging="0"/>
              <w:jc w:val="righ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5,178,843</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r>
      <w:tr>
        <w:trPr/>
        <w:tc>
          <w:tcPr>
            <w:tcW w:w="385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end of period - Weighted average fair value</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w:t>
            </w:r>
          </w:p>
        </w:tc>
        <w:tc>
          <w:tcPr>
            <w:tcW w:w="346" w:type="dxa"/>
            <w:tcBorders/>
            <w:vAlign w:val="center"/>
          </w:tcPr>
          <w:p>
            <w:pPr>
              <w:pStyle w:val="TableContents"/>
              <w:bidi w:val="0"/>
              <w:spacing w:before="0" w:after="0"/>
              <w:ind w:left="0" w:right="0" w:hanging="0"/>
              <w:jc w:val="righ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w:t>
            </w:r>
          </w:p>
        </w:tc>
        <w:tc>
          <w:tcPr>
            <w:tcW w:w="346" w:type="dxa"/>
            <w:tcBorders/>
            <w:vAlign w:val="center"/>
          </w:tcPr>
          <w:p>
            <w:pPr>
              <w:pStyle w:val="TableContents"/>
              <w:bidi w:val="0"/>
              <w:spacing w:before="0" w:after="0"/>
              <w:ind w:left="0" w:right="0" w:hanging="0"/>
              <w:jc w:val="right"/>
              <w:rPr/>
            </w:pPr>
            <w:r>
              <w:rPr/>
              <w:t>​</w:t>
            </w:r>
          </w:p>
        </w:tc>
        <w:tc>
          <w:tcPr>
            <w:tcW w:w="2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657"/>
        <w:gridCol w:w="346"/>
        <w:gridCol w:w="196"/>
        <w:gridCol w:w="924"/>
        <w:gridCol w:w="346"/>
        <w:gridCol w:w="261"/>
        <w:gridCol w:w="923"/>
        <w:gridCol w:w="346"/>
        <w:gridCol w:w="264"/>
        <w:gridCol w:w="467"/>
        <w:gridCol w:w="346"/>
        <w:gridCol w:w="924"/>
        <w:gridCol w:w="346"/>
        <w:gridCol w:w="252"/>
        <w:gridCol w:w="607"/>
      </w:tblGrid>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86740" cy="175260"/>
                      <wp:effectExtent l="0" t="0" r="0" b="0"/>
                      <wp:wrapNone/>
                      <wp:docPr id="124" name="Frame124"/>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5735" cy="175260"/>
                      <wp:effectExtent l="0" t="0" r="0" b="0"/>
                      <wp:wrapNone/>
                      <wp:docPr id="126" name="Frame12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86105" cy="175260"/>
                      <wp:effectExtent l="0" t="0" r="0" b="0"/>
                      <wp:wrapNone/>
                      <wp:docPr id="127" name="Frame127"/>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7640" cy="175260"/>
                      <wp:effectExtent l="0" t="0" r="0" b="0"/>
                      <wp:wrapNone/>
                      <wp:docPr id="129" name="Frame129"/>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96545" cy="175260"/>
                      <wp:effectExtent l="0" t="0" r="0" b="0"/>
                      <wp:wrapNone/>
                      <wp:docPr id="130" name="Frame130"/>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86740" cy="175260"/>
                      <wp:effectExtent l="0" t="0" r="0" b="0"/>
                      <wp:wrapNone/>
                      <wp:docPr id="132" name="Frame132"/>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60020" cy="175260"/>
                      <wp:effectExtent l="0" t="0" r="0" b="0"/>
                      <wp:wrapNone/>
                      <wp:docPr id="134" name="Frame13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85445" cy="175260"/>
                      <wp:effectExtent l="0" t="0" r="0" b="0"/>
                      <wp:wrapNone/>
                      <wp:docPr id="135" name="Frame135"/>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5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02" w:type="dxa"/>
            <w:gridSpan w:val="13"/>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27"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6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2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options</w:t>
            </w:r>
          </w:p>
        </w:tc>
        <w:tc>
          <w:tcPr>
            <w:tcW w:w="346" w:type="dxa"/>
            <w:tcBorders/>
            <w:vAlign w:val="center"/>
          </w:tcPr>
          <w:p>
            <w:pPr>
              <w:pStyle w:val="TableContents"/>
              <w:bidi w:val="0"/>
              <w:spacing w:before="0" w:after="0"/>
              <w:ind w:left="0" w:right="0" w:hanging="0"/>
              <w:jc w:val="center"/>
              <w:rPr/>
            </w:pPr>
            <w:r>
              <w:rPr/>
              <w:t>​</w:t>
            </w:r>
          </w:p>
        </w:tc>
        <w:tc>
          <w:tcPr>
            <w:tcW w:w="9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6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2019 Plan</w:t>
            </w:r>
          </w:p>
        </w:tc>
        <w:tc>
          <w:tcPr>
            <w:tcW w:w="346" w:type="dxa"/>
            <w:tcBorders/>
            <w:vAlign w:val="center"/>
          </w:tcPr>
          <w:p>
            <w:pPr>
              <w:pStyle w:val="TableContents"/>
              <w:bidi w:val="0"/>
              <w:spacing w:before="0" w:after="0"/>
              <w:ind w:left="0" w:right="0" w:hanging="0"/>
              <w:jc w:val="center"/>
              <w:rPr/>
            </w:pPr>
            <w:r>
              <w:rPr/>
              <w:t>  ​ ​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Inducement Plan</w:t>
            </w:r>
          </w:p>
        </w:tc>
        <w:tc>
          <w:tcPr>
            <w:tcW w:w="346" w:type="dxa"/>
            <w:tcBorders/>
            <w:vAlign w:val="center"/>
          </w:tcPr>
          <w:p>
            <w:pPr>
              <w:pStyle w:val="TableContents"/>
              <w:bidi w:val="0"/>
              <w:spacing w:before="0" w:after="0"/>
              <w:ind w:left="0" w:right="0" w:hanging="0"/>
              <w:jc w:val="center"/>
              <w:rPr/>
            </w:pPr>
            <w:r>
              <w:rPr/>
              <w:t>  ​ ​ ​</w:t>
            </w:r>
          </w:p>
        </w:tc>
        <w:tc>
          <w:tcPr>
            <w:tcW w:w="7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2011 Plan</w:t>
            </w:r>
          </w:p>
        </w:tc>
        <w:tc>
          <w:tcPr>
            <w:tcW w:w="346" w:type="dxa"/>
            <w:tcBorders/>
            <w:vAlign w:val="center"/>
          </w:tcPr>
          <w:p>
            <w:pPr>
              <w:pStyle w:val="TableContents"/>
              <w:bidi w:val="0"/>
              <w:spacing w:before="0" w:after="0"/>
              <w:ind w:left="0" w:right="0" w:hanging="0"/>
              <w:jc w:val="center"/>
              <w:rPr/>
            </w:pPr>
            <w:r>
              <w:rPr/>
              <w:t>  ​ ​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346" w:type="dxa"/>
            <w:tcBorders/>
            <w:vAlign w:val="center"/>
          </w:tcPr>
          <w:p>
            <w:pPr>
              <w:pStyle w:val="TableContents"/>
              <w:bidi w:val="0"/>
              <w:spacing w:before="0" w:after="0"/>
              <w:ind w:left="0" w:right="0" w:hanging="0"/>
              <w:jc w:val="center"/>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beginning of period - 2019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2,754,054</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2,754,054</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Non-vested share options at beginning of period - Inducement Plan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176,709</w:t>
            </w:r>
          </w:p>
        </w:tc>
        <w:tc>
          <w:tcPr>
            <w:tcW w:w="346" w:type="dxa"/>
            <w:tcBorders/>
            <w:vAlign w:val="center"/>
          </w:tcPr>
          <w:p>
            <w:pPr>
              <w:pStyle w:val="TableContents"/>
              <w:bidi w:val="0"/>
              <w:spacing w:before="0" w:after="0"/>
              <w:ind w:left="0" w:right="0" w:hanging="0"/>
              <w:jc w:val="right"/>
              <w:rPr/>
            </w:pPr>
            <w:r>
              <w:rPr/>
              <w:t>​</w:t>
            </w:r>
          </w:p>
        </w:tc>
        <w:tc>
          <w:tcPr>
            <w:tcW w:w="264"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176,709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 - 2019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1,511,400</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1,511,400</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 - Inducement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244,000</w:t>
            </w:r>
          </w:p>
        </w:tc>
        <w:tc>
          <w:tcPr>
            <w:tcW w:w="346" w:type="dxa"/>
            <w:tcBorders/>
            <w:vAlign w:val="center"/>
          </w:tcPr>
          <w:p>
            <w:pPr>
              <w:pStyle w:val="TableContents"/>
              <w:bidi w:val="0"/>
              <w:spacing w:before="0" w:after="0"/>
              <w:ind w:left="0" w:right="0" w:hanging="0"/>
              <w:jc w:val="right"/>
              <w:rPr/>
            </w:pPr>
            <w:r>
              <w:rPr/>
              <w:t>​</w:t>
            </w:r>
          </w:p>
        </w:tc>
        <w:tc>
          <w:tcPr>
            <w:tcW w:w="264"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244,000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outstanding - 2019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(1,312,205)</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(1,312,205)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 outstanding - Inducement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1"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(62,000)</w:t>
            </w:r>
          </w:p>
        </w:tc>
        <w:tc>
          <w:tcPr>
            <w:tcW w:w="346" w:type="dxa"/>
            <w:tcBorders/>
            <w:vAlign w:val="center"/>
          </w:tcPr>
          <w:p>
            <w:pPr>
              <w:pStyle w:val="TableContents"/>
              <w:bidi w:val="0"/>
              <w:spacing w:before="0" w:after="0"/>
              <w:ind w:left="0" w:right="0" w:hanging="0"/>
              <w:jc w:val="right"/>
              <w:rPr/>
            </w:pPr>
            <w:r>
              <w:rPr/>
              <w:t>​</w:t>
            </w:r>
          </w:p>
        </w:tc>
        <w:tc>
          <w:tcPr>
            <w:tcW w:w="264" w:type="dxa"/>
            <w:tcBorders/>
            <w:vAlign w:val="center"/>
          </w:tcPr>
          <w:p>
            <w:pPr>
              <w:pStyle w:val="TableContents"/>
              <w:bidi w:val="0"/>
              <w:spacing w:before="0" w:after="0"/>
              <w:ind w:left="0" w:right="0" w:hanging="0"/>
              <w:jc w:val="left"/>
              <w:rPr/>
            </w:pPr>
            <w:r>
              <w:rPr/>
              <w:t>​</w:t>
            </w:r>
          </w:p>
        </w:tc>
        <w:tc>
          <w:tcPr>
            <w:tcW w:w="4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(62,000)</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 - Inducement Plan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(74,917)</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4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(74,917)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 - 2019 Plan</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(101,516)</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(101,516)</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w:t>
            </w:r>
          </w:p>
        </w:tc>
      </w:tr>
      <w:tr>
        <w:trPr/>
        <w:tc>
          <w:tcPr>
            <w:tcW w:w="36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2,851,733</w:t>
            </w:r>
          </w:p>
        </w:tc>
        <w:tc>
          <w:tcPr>
            <w:tcW w:w="346" w:type="dxa"/>
            <w:tcBorders/>
            <w:shd w:fill="CCEEFF" w:val="clear"/>
            <w:vAlign w:val="center"/>
          </w:tcPr>
          <w:p>
            <w:pPr>
              <w:pStyle w:val="TableContents"/>
              <w:bidi w:val="0"/>
              <w:spacing w:before="0" w:after="0"/>
              <w:ind w:left="0" w:right="0" w:hanging="0"/>
              <w:jc w:val="righ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283,792</w:t>
            </w:r>
          </w:p>
        </w:tc>
        <w:tc>
          <w:tcPr>
            <w:tcW w:w="346" w:type="dxa"/>
            <w:tcBorders/>
            <w:shd w:fill="CCEEFF" w:val="clear"/>
            <w:vAlign w:val="center"/>
          </w:tcPr>
          <w:p>
            <w:pPr>
              <w:pStyle w:val="TableContents"/>
              <w:bidi w:val="0"/>
              <w:spacing w:before="0" w:after="0"/>
              <w:ind w:left="0" w:right="0" w:hanging="0"/>
              <w:jc w:val="righ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3,135,525</w:t>
            </w:r>
          </w:p>
        </w:tc>
        <w:tc>
          <w:tcPr>
            <w:tcW w:w="346"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w:t>
            </w:r>
          </w:p>
        </w:tc>
      </w:tr>
      <w:tr>
        <w:trPr/>
        <w:tc>
          <w:tcPr>
            <w:tcW w:w="36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Non-vested share options at end of period - Weighted average fair value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w:t>
            </w:r>
          </w:p>
        </w:tc>
        <w:tc>
          <w:tcPr>
            <w:tcW w:w="346" w:type="dxa"/>
            <w:tcBorders/>
            <w:vAlign w:val="center"/>
          </w:tcPr>
          <w:p>
            <w:pPr>
              <w:pStyle w:val="TableContents"/>
              <w:bidi w:val="0"/>
              <w:spacing w:before="0" w:after="0"/>
              <w:ind w:left="0" w:right="0" w:hanging="0"/>
              <w:jc w:val="righ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w:t>
            </w:r>
          </w:p>
        </w:tc>
        <w:tc>
          <w:tcPr>
            <w:tcW w:w="346" w:type="dxa"/>
            <w:tcBorders/>
            <w:vAlign w:val="center"/>
          </w:tcPr>
          <w:p>
            <w:pPr>
              <w:pStyle w:val="TableContents"/>
              <w:bidi w:val="0"/>
              <w:spacing w:before="0" w:after="0"/>
              <w:ind w:left="0" w:right="0" w:hanging="0"/>
              <w:jc w:val="right"/>
              <w:rPr/>
            </w:pPr>
            <w:r>
              <w:rPr/>
              <w:t>​</w:t>
            </w:r>
          </w:p>
        </w:tc>
        <w:tc>
          <w:tcPr>
            <w:tcW w:w="2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options granted for the 2011 Plan, 2019 Plan and Inducement Plan were estimated using the Black-Scholes option pricing model, resulting in the following weighted average assumptions for the options granted:</w:t>
      </w:r>
    </w:p>
    <w:p>
      <w:pPr>
        <w:pStyle w:val="TextBody"/>
        <w:bidi w:val="0"/>
        <w:spacing w:before="0" w:after="240"/>
        <w:ind w:left="0" w:right="0" w:hanging="0"/>
        <w:jc w:val="both"/>
        <w:rPr/>
      </w:pPr>
      <w:r>
        <w:rPr/>
        <w:t>​</w:t>
      </w:r>
    </w:p>
    <w:tbl>
      <w:tblPr>
        <w:tblW w:w="7127" w:type="dxa"/>
        <w:jc w:val="left"/>
        <w:tblInd w:w="0" w:type="dxa"/>
        <w:tblLayout w:type="fixed"/>
        <w:tblCellMar>
          <w:top w:w="0" w:type="dxa"/>
          <w:left w:w="0" w:type="dxa"/>
          <w:bottom w:w="0" w:type="dxa"/>
          <w:right w:w="0" w:type="dxa"/>
        </w:tblCellMar>
      </w:tblPr>
      <w:tblGrid>
        <w:gridCol w:w="1636"/>
        <w:gridCol w:w="196"/>
        <w:gridCol w:w="841"/>
        <w:gridCol w:w="346"/>
        <w:gridCol w:w="196"/>
        <w:gridCol w:w="841"/>
        <w:gridCol w:w="256"/>
        <w:gridCol w:w="109"/>
        <w:gridCol w:w="196"/>
        <w:gridCol w:w="841"/>
        <w:gridCol w:w="346"/>
        <w:gridCol w:w="196"/>
        <w:gridCol w:w="841"/>
        <w:gridCol w:w="286"/>
      </w:tblGrid>
      <w:tr>
        <w:trPr/>
        <w:tc>
          <w:tcPr>
            <w:tcW w:w="163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24460" cy="175260"/>
                      <wp:effectExtent l="0" t="0" r="0" b="0"/>
                      <wp:wrapNone/>
                      <wp:docPr id="136"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4035" cy="175260"/>
                      <wp:effectExtent l="0" t="0" r="0" b="0"/>
                      <wp:wrapNone/>
                      <wp:docPr id="137" name="Frame13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34035" cy="175260"/>
                      <wp:effectExtent l="0" t="0" r="0" b="0"/>
                      <wp:wrapNone/>
                      <wp:docPr id="140" name="Frame14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2560" cy="175260"/>
                      <wp:effectExtent l="0" t="0" r="0" b="0"/>
                      <wp:wrapNone/>
                      <wp:docPr id="141" name="Frame14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2"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34035" cy="175260"/>
                      <wp:effectExtent l="0" t="0" r="0" b="0"/>
                      <wp:wrapNone/>
                      <wp:docPr id="143" name="Frame1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5"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34035" cy="175260"/>
                      <wp:effectExtent l="0" t="0" r="0" b="0"/>
                      <wp:wrapNone/>
                      <wp:docPr id="146" name="Frame1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81610" cy="175260"/>
                      <wp:effectExtent l="0" t="0" r="0" b="0"/>
                      <wp:wrapNone/>
                      <wp:docPr id="147" name="Frame14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24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86"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86" w:type="dxa"/>
            <w:tcBorders/>
            <w:vAlign w:val="center"/>
          </w:tcPr>
          <w:p>
            <w:pPr>
              <w:pStyle w:val="TableContents"/>
              <w:bidi w:val="0"/>
              <w:spacing w:before="0" w:after="0"/>
              <w:ind w:left="0" w:right="0" w:hanging="0"/>
              <w:jc w:val="center"/>
              <w:rPr/>
            </w:pPr>
            <w:r>
              <w:rPr/>
              <w:t> </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Exercise price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price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286"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Volatility</w:t>
            </w:r>
          </w:p>
        </w:tc>
        <w:tc>
          <w:tcPr>
            <w:tcW w:w="19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19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Expected life</w:t>
            </w:r>
          </w:p>
        </w:tc>
        <w:tc>
          <w:tcPr>
            <w:tcW w:w="19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5.46</w:t>
            </w:r>
            <w:r>
              <w:rPr>
                <w:rFonts w:ascii="Times New Roman;Times;serif" w:hAnsi="Times New Roman;Times;serif"/>
                <w:sz w:val="20"/>
              </w:rPr>
              <w:t xml:space="preserve"> </w:t>
            </w:r>
            <w:r>
              <w:rPr>
                <w:rFonts w:ascii="Times New Roman;Times;serif" w:hAnsi="Times New Roman;Times;serif"/>
                <w:sz w:val="18"/>
              </w:rPr>
              <w:t>years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5.27</w:t>
            </w:r>
            <w:r>
              <w:rPr>
                <w:rFonts w:ascii="Times New Roman;Times;serif" w:hAnsi="Times New Roman;Times;serif"/>
                <w:sz w:val="20"/>
              </w:rPr>
              <w:t xml:space="preserve"> </w:t>
            </w:r>
            <w:r>
              <w:rPr>
                <w:rFonts w:ascii="Times New Roman;Times;serif" w:hAnsi="Times New Roman;Times;serif"/>
                <w:sz w:val="18"/>
              </w:rPr>
              <w:t>years</w:t>
            </w:r>
          </w:p>
        </w:tc>
        <w:tc>
          <w:tcPr>
            <w:tcW w:w="2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5.93</w:t>
            </w:r>
            <w:r>
              <w:rPr>
                <w:rFonts w:ascii="Times New Roman;Times;serif" w:hAnsi="Times New Roman;Times;serif"/>
                <w:sz w:val="20"/>
              </w:rPr>
              <w:t xml:space="preserve"> </w:t>
            </w:r>
            <w:r>
              <w:rPr>
                <w:rFonts w:ascii="Times New Roman;Times;serif" w:hAnsi="Times New Roman;Times;serif"/>
                <w:sz w:val="18"/>
              </w:rPr>
              <w:t>years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5.93</w:t>
            </w:r>
            <w:r>
              <w:rPr>
                <w:rFonts w:ascii="Times New Roman;Times;serif" w:hAnsi="Times New Roman;Times;serif"/>
                <w:sz w:val="20"/>
              </w:rPr>
              <w:t xml:space="preserve"> </w:t>
            </w:r>
            <w:r>
              <w:rPr>
                <w:rFonts w:ascii="Times New Roman;Times;serif" w:hAnsi="Times New Roman;Times;serif"/>
                <w:sz w:val="18"/>
              </w:rPr>
              <w:t>years</w:t>
            </w:r>
          </w:p>
        </w:tc>
        <w:tc>
          <w:tcPr>
            <w:tcW w:w="286"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w:t>
            </w:r>
          </w:p>
        </w:tc>
        <w:tc>
          <w:tcPr>
            <w:tcW w:w="19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 </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19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0 </w:t>
            </w:r>
          </w:p>
        </w:tc>
        <w:tc>
          <w:tcPr>
            <w:tcW w:w="2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Expected volatility is determined using the Company’s historical volatility. Prior to establishing sufficient historical volatility, the Company used comparable companies for which the information is publicly available. The risk-free interest rate is determined based on the U.S. sovereign rates benchmark in effect at the time of grant with a remaining term equal to the expected life of the option. Expected option life is determined based on the simplified method as the Company does not have sufficient historical exercise data to provide a reasonable basis upon which to estimate expected term. The simplified method is an average of the contractual term of the options and its ordinary vesting period. Dividend yield is based on the share option’s exercise price and expected annual dividend rate at the time of grant. The total grant date fair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value for options granted during the six-months ended June 30, 2026 and 2025 was $5.2 million and $2.7 million, respectively.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6, 2024, the Company, pursuant to the 2019 Plan, awarded 924,000 performance stock options to employees. The performance stock options were granted “at-the-money” and have a term of 10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original grant-date fair value of each option was estimated on the date of grant using the same option valuation model used for the options outlined above. The original grant-date fair value of $1.3 million was determined using an expected volatility of 98.5%, term of 5.82 years, strike price of $1.74, and risk-free rate of 4.43%. Compensation expense for performance-based stock options is only recognized when management determines it is probable that the awards will vest.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vesting of the performance-based stock options was conditional upon the FDA approval of etripamil. Subject to the option-holder’s continuous service as of each such date, 50% of the option shares will vest on the six-month anniversary of the approval date and the remaining 50% of the option shares will vest on the one-year anniversary of such approval date. The weighted average grant date fair value of the performance stock options awarded was $1.38 per option. The Company recorded $0.1 million and $0.2 million of expense related to the performance-based stock options during the three and six months ended June 30, 2026, respectively, as the performance conditions were met with FDA approval of etripamil for the treatment of PSVT on December 12, 2025. The Company did not record any expense related to the performance-based stock options during the three and six months ended June 30, 2025 as the performance conditions were not deemed probable of being met. No performance stock options were awarded for the three and six months ended June 30, 2026 and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15, 2022, the Company offered an ESPP, in which participation is available to the Company’s employees in the United States and Canada who meet certain service eligibility requirements. Eligible employees may authorize an amount up to 15% of their salary to purchase common shares at the lower of a 15% discount to the beginning price of the participation period or a 15% discount to the ending price of each six-month purchase interval. The ESPP also provides for an automatic reset feature to start participants on a new twelve-month participation period in the event that the common share market value on a purchase date is less than the common shares value on the first day of the twelve-month offering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 2026, the number of common shares reserved for issuance under the ESPP automatically increased by 487,837 shares. The Company terminated the ongoing ESPP offering effective in March after the completion of the first purchase period and recognized a de minimis amount of incremental stock-based compensation expense related to the unamortized compensation costs of the cancelled period. Compensation expense for purchase rights under the ESPP related to the purchase discount and the “look-back” option was determined using a Black-Scholes option pricing model. As of June 30, 2026, 628,646 common shares have been issued under the ESPP.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6, 2024, the Company, pursuant to the 2019 Plan, awarded 924,000 Performance Share Units, or “PSUs,” to employees. The PSUs vest subject to the satisfaction of certain performance conditions established by the Company’s Compensation Committee. The FDA approval of etripamil represents the performance condition for the vesting of these PSUs. As a result of the FDA approval on December 12, 2025, 100% of the outstanding PSUs vested at a grant date fair value of $1.74 per share. No additional PSUs were awarded for the three and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i/>
          <w:sz w:val="20"/>
        </w:rPr>
      </w:pPr>
      <w:bookmarkStart w:id="924" w:name="Tc_rapQla7AiUKeuTLLcD1I0w_5_11"/>
      <w:bookmarkStart w:id="925" w:name="Tc_NHozkb51oEWi374v6d4aBw_5_8"/>
      <w:bookmarkStart w:id="926" w:name="Tc_78x-O3Aj6kOli36z3iFJAg_5_5"/>
      <w:bookmarkStart w:id="927" w:name="Tc_gpr6KEv-XE2cyOCIhou5Dg_5_2"/>
      <w:bookmarkStart w:id="928" w:name="Tc_dsS8BT12OkG16wSbAZRbdg_5_0"/>
      <w:bookmarkStart w:id="929" w:name="Tc_FNhsRMjOFkmp3On32134kg_4_0"/>
      <w:bookmarkStart w:id="930" w:name="Tc_lULoMYQT90amzmGL1UCC5A_3_11"/>
      <w:bookmarkStart w:id="931" w:name="Tc_wup48t8800KsDG3s2loCnQ_3_8"/>
      <w:bookmarkStart w:id="932" w:name="Tc_SvudG5AbsUen4Dsx5pX5Kw_3_5"/>
      <w:bookmarkStart w:id="933" w:name="Tc_UlsnGAy4Mka3OEHSzzgHCg_3_2"/>
      <w:bookmarkStart w:id="934" w:name="Tc_8QPOHfrDY02HZoi_kyIw1Q_3_0"/>
      <w:bookmarkStart w:id="935" w:name="Tc_1Mfv_AaqEkelCBu6dWUDjw_2_11"/>
      <w:bookmarkStart w:id="936" w:name="Tc_l869M5kZL0eAwTNdU32rbw_2_8"/>
      <w:bookmarkStart w:id="937" w:name="Tc_1WtKGqBIaEmbnjvlTY80Pw_2_5"/>
      <w:bookmarkStart w:id="938" w:name="Tc_mFSy5VwAKUGcz9kWwvw6Cw_2_2"/>
      <w:bookmarkStart w:id="939" w:name="Tc_cRDP159_wUuzuvE_2nAnsA_1_8"/>
      <w:bookmarkStart w:id="940" w:name="Tc_G5I1gyK4akutYX92KI9CTg_1_2"/>
      <w:bookmarkStart w:id="941" w:name="Tc_rpphWnrjFUqCzDPJYp6K5g_10_10"/>
      <w:bookmarkStart w:id="942" w:name="Tc_h_IlTVvnpkC-fBkvDYT5pA_10_4"/>
      <w:bookmarkStart w:id="943" w:name="Tc_16H4XpPab0GDHmInmqHWWA_10_0"/>
      <w:bookmarkStart w:id="944" w:name="Tc_KzoN1YXzO02hmvE1AHwRkQ_9_11"/>
      <w:bookmarkStart w:id="945" w:name="Tc_F0-yfxPCMU6-jN7akz05sg_9_8"/>
      <w:bookmarkStart w:id="946" w:name="Tc_I266q1rYpk6YUL-caarouQ_9_5"/>
      <w:bookmarkStart w:id="947" w:name="Tc_ON2dVHvFvU-9HqfEVkOAog_9_2"/>
      <w:bookmarkStart w:id="948" w:name="Tc_p_LF1KotdUaxz1HlIMsMdg_9_0"/>
      <w:bookmarkStart w:id="949" w:name="Tc_oOgLoxvlMkOrDlsIQ5jNhg_8_11"/>
      <w:bookmarkStart w:id="950" w:name="Tc_Lr18QAC7IEeuGAuFk_gsGQ_8_8"/>
      <w:bookmarkStart w:id="951" w:name="Tc_uYBQSdcfWEKqmUl9LdAxBQ_8_0"/>
      <w:bookmarkStart w:id="952" w:name="Tc_Yq_T2EPERUWHulKSFPNwAg_7_0"/>
      <w:bookmarkStart w:id="953" w:name="Tc_lDVSuhzwJUqmbU-fqx9ArQ_6_11"/>
      <w:bookmarkStart w:id="954" w:name="Tc__Bqle51KEEmQch2XHxaaIQ_6_10"/>
      <w:bookmarkStart w:id="955" w:name="Tc_OrGtiqB3gEuug5DdR_jf8w_6_8"/>
      <w:bookmarkStart w:id="956" w:name="Tc_JviMTFhBKU2RyG5mhegnfw_6_4"/>
      <w:bookmarkStart w:id="957" w:name="Tc_pg6XPspUAEGuNeK6QmmgeQ_6_0"/>
      <w:bookmarkStart w:id="958" w:name="Tc_STtJNA61eUyaip2WN0JDZw_5_10"/>
      <w:bookmarkStart w:id="959" w:name="Tc_zQjxpJabM0K_lA2DLEWlIg_5_4"/>
      <w:bookmarkStart w:id="960" w:name="Tc_1BFSSytMVki6z8NNM-r0BQ_4_10"/>
      <w:bookmarkStart w:id="961" w:name="Tc_yrwE3LsS6E2Gaua1HUZFOA_4_8"/>
      <w:bookmarkStart w:id="962" w:name="Tc_AEuWZOugYkysIK7e3aCMzg_4_4"/>
      <w:bookmarkStart w:id="963" w:name="Tc_XOQKCdDdM0qGRN11lR8dEg_4_2"/>
      <w:bookmarkStart w:id="964" w:name="Tc_faCnSldwgU6PRI7e1QA4Bw_3_10"/>
      <w:bookmarkStart w:id="965" w:name="Tc_RMh4oepS6kWqB9vi8reo1Q_3_8"/>
      <w:bookmarkStart w:id="966" w:name="Tc_4CGuPUain02naEvSe9DMFg_3_4"/>
      <w:bookmarkStart w:id="967" w:name="Tc_if7l6HeEjEGtwZulL2jHIg_3_2"/>
      <w:bookmarkStart w:id="968" w:name="Tc_5t2AbpLW0E2uM5scOknvMQ_2_10"/>
      <w:bookmarkStart w:id="969" w:name="Tc_WunJktFo70CZHKG-OOtoOg_2_4"/>
      <w:bookmarkStart w:id="970" w:name="Tc_hAZ4gE3430K-WGlgUGWkuw_1_8"/>
      <w:bookmarkStart w:id="971" w:name="Tc_5JTIHek33UaY3ORf_VCP_A_1_2"/>
      <w:bookmarkStart w:id="972" w:name="_791da2c7_81ea_45f9_b24a_ecdbe3987466"/>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imes New Roman;Times;serif" w:hAnsi="Times New Roman;Times;serif"/>
          <w:b/>
          <w:i/>
          <w:sz w:val="20"/>
        </w:rPr>
        <w:t>Restricted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Pursuant to the 2019 Plan, the Company issues restricted stock units, or “RSUs,” to employees which vest based on a service criteria. When vested, the RSUs represent the right to be issued a number of shares of the Company’s common shares equal to the number of RSUs granted. The grant date fair value for RSUs is based on the market price of the Company’s common shares on the date of the grant. The fair value is then amortized to compensation expense over the requisite service period or vesting term.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total outstanding RSUs from the 2019 Plan as of and for the six-month periods ending June 30 were as follows: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7213" w:type="dxa"/>
        <w:jc w:val="left"/>
        <w:tblInd w:w="0" w:type="dxa"/>
        <w:tblLayout w:type="fixed"/>
        <w:tblCellMar>
          <w:top w:w="0" w:type="dxa"/>
          <w:left w:w="0" w:type="dxa"/>
          <w:bottom w:w="0" w:type="dxa"/>
          <w:right w:w="0" w:type="dxa"/>
        </w:tblCellMar>
      </w:tblPr>
      <w:tblGrid>
        <w:gridCol w:w="2566"/>
        <w:gridCol w:w="346"/>
        <w:gridCol w:w="826"/>
        <w:gridCol w:w="346"/>
        <w:gridCol w:w="252"/>
        <w:gridCol w:w="544"/>
        <w:gridCol w:w="286"/>
        <w:gridCol w:w="109"/>
        <w:gridCol w:w="751"/>
        <w:gridCol w:w="346"/>
        <w:gridCol w:w="230"/>
        <w:gridCol w:w="611"/>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29410" cy="175260"/>
                      <wp:effectExtent l="0" t="0" r="0" b="0"/>
                      <wp:wrapNone/>
                      <wp:docPr id="148" name="Frame148"/>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24510" cy="175260"/>
                      <wp:effectExtent l="0" t="0" r="0" b="0"/>
                      <wp:wrapNone/>
                      <wp:docPr id="150" name="Frame1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0020" cy="175260"/>
                      <wp:effectExtent l="0" t="0" r="0" b="0"/>
                      <wp:wrapNone/>
                      <wp:docPr id="152" name="Frame15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45440" cy="175260"/>
                      <wp:effectExtent l="0" t="0" r="0" b="0"/>
                      <wp:wrapNone/>
                      <wp:docPr id="153" name="Frame153"/>
                      <a:graphic xmlns:a="http://schemas.openxmlformats.org/drawingml/2006/main">
                        <a:graphicData uri="http://schemas.microsoft.com/office/word/2010/wordprocessingShape">
                          <wps:wsp>
                            <wps:cNvSpPr txBox="1"/>
                            <wps:spPr>
                              <a:xfrm>
                                <a:off x="0" y="0"/>
                                <a:ext cx="345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1610" cy="175260"/>
                      <wp:effectExtent l="0" t="0" r="0" b="0"/>
                      <wp:wrapNone/>
                      <wp:docPr id="154" name="Frame1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76885" cy="175260"/>
                      <wp:effectExtent l="0" t="0" r="0" b="0"/>
                      <wp:wrapNone/>
                      <wp:docPr id="156" name="Frame15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6050" cy="175260"/>
                      <wp:effectExtent l="0" t="0" r="0" b="0"/>
                      <wp:wrapNone/>
                      <wp:docPr id="158" name="Frame15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87985" cy="175260"/>
                      <wp:effectExtent l="0" t="0" r="0" b="0"/>
                      <wp:wrapNone/>
                      <wp:docPr id="159" name="Frame159"/>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8"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8" w:type="dxa"/>
            <w:gridSpan w:val="4"/>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2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25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286" w:type="dxa"/>
            <w:tcBorders/>
            <w:vAlign w:val="center"/>
          </w:tcPr>
          <w:p>
            <w:pPr>
              <w:pStyle w:val="TableContents"/>
              <w:bidi w:val="0"/>
              <w:spacing w:before="0" w:after="0"/>
              <w:ind w:left="0" w:right="0" w:hanging="0"/>
              <w:jc w:val="center"/>
              <w:rPr/>
            </w:pPr>
            <w:r>
              <w:rPr/>
              <w:t>  ​ ​</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beginning of period</w:t>
            </w:r>
          </w:p>
        </w:tc>
        <w:tc>
          <w:tcPr>
            <w:tcW w:w="346" w:type="dxa"/>
            <w:tcBorders/>
            <w:shd w:fill="CCEEFF" w:val="clear"/>
            <w:vAlign w:val="center"/>
          </w:tcPr>
          <w:p>
            <w:pPr>
              <w:pStyle w:val="TableContents"/>
              <w:bidi w:val="0"/>
              <w:spacing w:before="0" w:after="0"/>
              <w:ind w:left="0" w:right="0" w:hanging="0"/>
              <w:jc w:val="center"/>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950,700</w:t>
            </w:r>
          </w:p>
        </w:tc>
        <w:tc>
          <w:tcPr>
            <w:tcW w:w="346" w:type="dxa"/>
            <w:tcBorders/>
            <w:shd w:fill="CCEEFF" w:val="clear"/>
            <w:vAlign w:val="center"/>
          </w:tcPr>
          <w:p>
            <w:pPr>
              <w:pStyle w:val="TableContents"/>
              <w:bidi w:val="0"/>
              <w:spacing w:before="0" w:after="0"/>
              <w:ind w:left="0" w:right="0" w:hanging="0"/>
              <w:jc w:val="center"/>
              <w:rPr/>
            </w:pPr>
            <w:r>
              <w:rPr/>
              <w:t>  ​ ​ ​</w:t>
            </w:r>
          </w:p>
        </w:tc>
        <w:tc>
          <w:tcPr>
            <w:tcW w:w="252"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28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  ​ ​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11" w:type="dxa"/>
            <w:tcBorders/>
            <w:shd w:fill="CCEEFF" w:val="cle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1,591,650</w:t>
            </w:r>
          </w:p>
        </w:tc>
        <w:tc>
          <w:tcPr>
            <w:tcW w:w="346" w:type="dxa"/>
            <w:tcBorders/>
            <w:vAlign w:val="center"/>
          </w:tcPr>
          <w:p>
            <w:pPr>
              <w:pStyle w:val="TableContents"/>
              <w:bidi w:val="0"/>
              <w:spacing w:before="0" w:after="0"/>
              <w:ind w:left="0" w:right="0" w:hanging="0"/>
              <w:jc w:val="right"/>
              <w:rPr/>
            </w:pPr>
            <w:r>
              <w:rPr/>
              <w:t>​</w:t>
            </w:r>
          </w:p>
        </w:tc>
        <w:tc>
          <w:tcPr>
            <w:tcW w:w="252" w:type="dxa"/>
            <w:tcBorders/>
            <w:vAlign w:val="center"/>
          </w:tcPr>
          <w:p>
            <w:pPr>
              <w:pStyle w:val="TableContents"/>
              <w:bidi w:val="0"/>
              <w:spacing w:before="0" w:after="0"/>
              <w:ind w:left="0" w:right="0" w:hanging="0"/>
              <w:jc w:val="left"/>
              <w:rPr/>
            </w:pPr>
            <w:r>
              <w:rPr/>
              <w:t>​</w:t>
            </w:r>
          </w:p>
        </w:tc>
        <w:tc>
          <w:tcPr>
            <w:tcW w:w="5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988,850</w:t>
            </w:r>
          </w:p>
        </w:tc>
        <w:tc>
          <w:tcPr>
            <w:tcW w:w="346" w:type="dxa"/>
            <w:tcBorders/>
            <w:vAlign w:val="center"/>
          </w:tcPr>
          <w:p>
            <w:pPr>
              <w:pStyle w:val="TableContents"/>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Vested</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(237,677)</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5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Forfeited</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Outstanding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2,304,673</w:t>
            </w:r>
          </w:p>
        </w:tc>
        <w:tc>
          <w:tcPr>
            <w:tcW w:w="346" w:type="dxa"/>
            <w:tcBorders/>
            <w:shd w:fill="CCEEFF" w:val="clear"/>
            <w:vAlign w:val="center"/>
          </w:tcPr>
          <w:p>
            <w:pPr>
              <w:pStyle w:val="TableContents"/>
              <w:bidi w:val="0"/>
              <w:spacing w:before="0" w:after="0"/>
              <w:ind w:left="0" w:right="0" w:hanging="0"/>
              <w:jc w:val="righ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c>
          <w:tcPr>
            <w:tcW w:w="2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988,850</w:t>
            </w:r>
          </w:p>
        </w:tc>
        <w:tc>
          <w:tcPr>
            <w:tcW w:w="346" w:type="dxa"/>
            <w:tcBorders/>
            <w:shd w:fill="CCEEFF" w:val="clear"/>
            <w:vAlign w:val="center"/>
          </w:tcPr>
          <w:p>
            <w:pPr>
              <w:pStyle w:val="TableContents"/>
              <w:bidi w:val="0"/>
              <w:spacing w:before="0" w:after="0"/>
              <w:ind w:left="0" w:right="0" w:hanging="0"/>
              <w:jc w:val="righ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11" w:type="dxa"/>
            <w:tcBorders>
              <w:bottom w:val="single" w:sz="2" w:space="0" w:color="000000"/>
            </w:tcBorders>
            <w:shd w:fill="CCEEFF" w:val="clear"/>
            <w:tcMar>
              <w:bottom w:w="28" w:type="dxa"/>
            </w:tcMar>
            <w:vAlign w:val="center"/>
          </w:tcPr>
          <w:p>
            <w:pPr>
              <w:pStyle w:val="TableContents"/>
              <w:bidi w:val="0"/>
              <w:spacing w:before="0" w:after="0"/>
              <w:ind w:left="0" w:right="54" w:hanging="0"/>
              <w:jc w:val="right"/>
              <w:rPr>
                <w:rFonts w:ascii="Times New Roman;Times;serif" w:hAnsi="Times New Roman;Times;serif"/>
                <w:sz w:val="16"/>
              </w:rPr>
            </w:pPr>
            <w:r>
              <w:rPr>
                <w:rFonts w:ascii="Times New Roman;Times;serif" w:hAnsi="Times New Roman;Times;serif"/>
                <w:sz w:val="16"/>
              </w:rPr>
              <w:t>2.02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total unrecognized compensation cost related to the non-vested RSUs as of June 30, 2026, was $4.1 million and will be recognized over a weighted average period of approximately 3.3 years. The total unrecognized compensation cost related to the non-vested RSUs as of June 30, 2025 was $1.8 million and will be recognized over a weighted average period of approximately 3.6 years.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Share-based Compensation Expense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total share-based compensation expense for all plans as follows:</w:t>
      </w:r>
    </w:p>
    <w:p>
      <w:pPr>
        <w:pStyle w:val="TextBody"/>
        <w:bidi w:val="0"/>
        <w:spacing w:before="0" w:after="240"/>
        <w:ind w:left="0" w:right="0" w:hanging="0"/>
        <w:jc w:val="both"/>
        <w:rPr/>
      </w:pPr>
      <w:r>
        <w:rPr/>
        <w:t>​</w:t>
      </w:r>
    </w:p>
    <w:tbl>
      <w:tblPr>
        <w:tblW w:w="7533" w:type="dxa"/>
        <w:jc w:val="left"/>
        <w:tblInd w:w="0" w:type="dxa"/>
        <w:tblLayout w:type="fixed"/>
        <w:tblCellMar>
          <w:top w:w="0" w:type="dxa"/>
          <w:left w:w="0" w:type="dxa"/>
          <w:bottom w:w="0" w:type="dxa"/>
          <w:right w:w="0" w:type="dxa"/>
        </w:tblCellMar>
      </w:tblPr>
      <w:tblGrid>
        <w:gridCol w:w="2551"/>
        <w:gridCol w:w="346"/>
        <w:gridCol w:w="252"/>
        <w:gridCol w:w="657"/>
        <w:gridCol w:w="445"/>
        <w:gridCol w:w="252"/>
        <w:gridCol w:w="657"/>
        <w:gridCol w:w="109"/>
        <w:gridCol w:w="238"/>
        <w:gridCol w:w="620"/>
        <w:gridCol w:w="420"/>
        <w:gridCol w:w="238"/>
        <w:gridCol w:w="748"/>
      </w:tblGrid>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0020" cy="175260"/>
                      <wp:effectExtent l="0" t="0" r="0" b="0"/>
                      <wp:wrapNone/>
                      <wp:docPr id="161" name="Frame16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17195" cy="175260"/>
                      <wp:effectExtent l="0" t="0" r="0" b="0"/>
                      <wp:wrapNone/>
                      <wp:docPr id="162" name="Frame162"/>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82575" cy="175260"/>
                      <wp:effectExtent l="0" t="0" r="0" b="0"/>
                      <wp:wrapNone/>
                      <wp:docPr id="163" name="Frame163"/>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0020" cy="175260"/>
                      <wp:effectExtent l="0" t="0" r="0" b="0"/>
                      <wp:wrapNone/>
                      <wp:docPr id="164" name="Frame16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17195" cy="175260"/>
                      <wp:effectExtent l="0" t="0" r="0" b="0"/>
                      <wp:wrapNone/>
                      <wp:docPr id="165" name="Frame165"/>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1130" cy="175260"/>
                      <wp:effectExtent l="0" t="0" r="0" b="0"/>
                      <wp:wrapNone/>
                      <wp:docPr id="167" name="Frame16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93700" cy="175260"/>
                      <wp:effectExtent l="0" t="0" r="0" b="0"/>
                      <wp:wrapNone/>
                      <wp:docPr id="168" name="Frame16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6700" cy="175260"/>
                      <wp:effectExtent l="0" t="0" r="0" b="0"/>
                      <wp:wrapNone/>
                      <wp:docPr id="169" name="Frame16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1130" cy="175260"/>
                      <wp:effectExtent l="0" t="0" r="0" b="0"/>
                      <wp:wrapNone/>
                      <wp:docPr id="170" name="Frame170"/>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74980" cy="175260"/>
                      <wp:effectExtent l="0" t="0" r="0" b="0"/>
                      <wp:wrapNone/>
                      <wp:docPr id="171" name="Frame17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5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45" w:type="dxa"/>
            <w:tcBorders/>
            <w:vAlign w:val="center"/>
          </w:tcPr>
          <w:p>
            <w:pPr>
              <w:pStyle w:val="TableContents"/>
              <w:bidi w:val="0"/>
              <w:spacing w:before="0" w:after="1"/>
              <w:ind w:left="0" w:right="0" w:hanging="0"/>
              <w:jc w:val="center"/>
              <w:rPr/>
            </w:pPr>
            <w:r>
              <w:rPr/>
              <w:t>  ​ ​ ​</w:t>
            </w:r>
          </w:p>
        </w:tc>
        <w:tc>
          <w:tcPr>
            <w:tcW w:w="9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20" w:type="dxa"/>
            <w:tcBorders/>
            <w:vAlign w:val="center"/>
          </w:tcPr>
          <w:p>
            <w:pPr>
              <w:pStyle w:val="TableContents"/>
              <w:bidi w:val="0"/>
              <w:spacing w:before="0" w:after="1"/>
              <w:ind w:left="0" w:right="0" w:hanging="0"/>
              <w:jc w:val="center"/>
              <w:rPr/>
            </w:pPr>
            <w:r>
              <w:rPr/>
              <w:t>  ​ ​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963</w:t>
            </w:r>
          </w:p>
        </w:tc>
        <w:tc>
          <w:tcPr>
            <w:tcW w:w="445"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941</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1,844</w:t>
            </w:r>
          </w:p>
        </w:tc>
        <w:tc>
          <w:tcPr>
            <w:tcW w:w="420"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1,862</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vAlign w:val="center"/>
          </w:tcPr>
          <w:p>
            <w:pPr>
              <w:pStyle w:val="TableContents"/>
              <w:bidi w:val="0"/>
              <w:spacing w:before="0" w:after="1"/>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w:t>
            </w:r>
          </w:p>
        </w:tc>
        <w:tc>
          <w:tcPr>
            <w:tcW w:w="445"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w:t>
            </w:r>
          </w:p>
        </w:tc>
        <w:tc>
          <w:tcPr>
            <w:tcW w:w="109" w:type="dxa"/>
            <w:tcBorders/>
            <w:vAlign w:val="center"/>
          </w:tcPr>
          <w:p>
            <w:pPr>
              <w:pStyle w:val="TableContents"/>
              <w:bidi w:val="0"/>
              <w:spacing w:before="0" w:after="1"/>
              <w:ind w:left="0" w:right="0" w:hanging="0"/>
              <w:jc w:val="righ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w:t>
            </w:r>
          </w:p>
        </w:tc>
        <w:tc>
          <w:tcPr>
            <w:tcW w:w="420" w:type="dxa"/>
            <w:tcBorders/>
            <w:vAlign w:val="center"/>
          </w:tcPr>
          <w:p>
            <w:pPr>
              <w:pStyle w:val="TableContents"/>
              <w:bidi w:val="0"/>
              <w:spacing w:before="0" w:after="1"/>
              <w:ind w:left="0" w:right="0" w:hanging="0"/>
              <w:jc w:val="left"/>
              <w:rPr/>
            </w:pPr>
            <w:r>
              <w:rPr/>
              <w:t> </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797</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w:t>
            </w:r>
          </w:p>
        </w:tc>
        <w:tc>
          <w:tcPr>
            <w:tcW w:w="445"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1,308</w:t>
            </w:r>
          </w:p>
        </w:tc>
        <w:tc>
          <w:tcPr>
            <w:tcW w:w="109" w:type="dxa"/>
            <w:tcBorders/>
            <w:shd w:fill="CCEEFF" w:val="clear"/>
            <w:vAlign w:val="center"/>
          </w:tcPr>
          <w:p>
            <w:pPr>
              <w:pStyle w:val="TableContents"/>
              <w:bidi w:val="0"/>
              <w:spacing w:before="0" w:after="1"/>
              <w:ind w:left="0" w:right="0" w:hanging="0"/>
              <w:jc w:val="righ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2,620</w:t>
            </w:r>
          </w:p>
        </w:tc>
        <w:tc>
          <w:tcPr>
            <w:tcW w:w="420" w:type="dxa"/>
            <w:tcBorders/>
            <w:shd w:fill="CCEEFF" w:val="clear"/>
            <w:vAlign w:val="center"/>
          </w:tcPr>
          <w:p>
            <w:pPr>
              <w:pStyle w:val="TableContents"/>
              <w:bidi w:val="0"/>
              <w:spacing w:before="0" w:after="1"/>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2,659</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bookmarkStart w:id="973" w:name="Tc_1hf3OgjXW0GnZ5pDNbnLmQ_2_0"/>
      <w:bookmarkStart w:id="974" w:name="Tc_CuI8W52EOUW663YGAhQJEQ_1_4"/>
      <w:bookmarkStart w:id="975" w:name="Tc_l0q-A2xcv0q08F_CH2iKyw_1_2"/>
      <w:bookmarkEnd w:id="973"/>
      <w:bookmarkEnd w:id="974"/>
      <w:bookmarkEnd w:id="975"/>
      <w:r>
        <w:rPr>
          <w:rFonts w:ascii="Times New Roman;Times;serif" w:hAnsi="Times New Roman;Times;serif"/>
          <w:b/>
          <w:sz w:val="20"/>
        </w:rPr>
        <w:t>10. Net Loss Per Share</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Basic and diluted net loss per common share is determined by dividing net loss applicable to common shareholders by the weighted average number of common shares and pre-funded warrants outstanding during the period. In addition to the conversion feature on the 2029 Convertible Notes and common warrants described in Note 8, “Shareholders’ Equity,” which the Company reviewed and concluded would be anti-dilutive if converted or exercised due to the facts surrounding the instruments, the following potentially dilutive securities have also been excluded from the computation of diluted weighted average shares outstanding as of June 30, as they would be anti-dilutive:</w:t>
      </w:r>
    </w:p>
    <w:p>
      <w:pPr>
        <w:pStyle w:val="TextBody"/>
        <w:bidi w:val="0"/>
        <w:spacing w:before="0" w:after="0"/>
        <w:ind w:left="0" w:right="0" w:hanging="0"/>
        <w:jc w:val="left"/>
        <w:rPr/>
      </w:pPr>
      <w:r>
        <w:rPr/>
        <w:t>​</w:t>
      </w:r>
    </w:p>
    <w:tbl>
      <w:tblPr>
        <w:tblW w:w="4550" w:type="dxa"/>
        <w:jc w:val="left"/>
        <w:tblInd w:w="0" w:type="dxa"/>
        <w:tblLayout w:type="fixed"/>
        <w:tblCellMar>
          <w:top w:w="0" w:type="dxa"/>
          <w:left w:w="0" w:type="dxa"/>
          <w:bottom w:w="0" w:type="dxa"/>
          <w:right w:w="0" w:type="dxa"/>
        </w:tblCellMar>
      </w:tblPr>
      <w:tblGrid>
        <w:gridCol w:w="1921"/>
        <w:gridCol w:w="346"/>
        <w:gridCol w:w="916"/>
        <w:gridCol w:w="346"/>
        <w:gridCol w:w="102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219835" cy="175260"/>
                      <wp:effectExtent l="0" t="0" r="0" b="0"/>
                      <wp:wrapNone/>
                      <wp:docPr id="172" name="Frame172"/>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81660" cy="175260"/>
                      <wp:effectExtent l="0" t="0" r="0" b="0"/>
                      <wp:wrapNone/>
                      <wp:docPr id="174" name="Frame1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335" cy="175260"/>
                      <wp:effectExtent l="0" t="0" r="0" b="0"/>
                      <wp:wrapNone/>
                      <wp:docPr id="176" name="Frame17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Stock options and RSUs </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16,224,749</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13,194,920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Amounts above reflect the common share equivalents of the noted instruments.</w:t>
      </w:r>
    </w:p>
    <w:p>
      <w:pPr>
        <w:pStyle w:val="TextBody"/>
        <w:bidi w:val="0"/>
        <w:spacing w:before="0" w:after="24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11. Royalty Financing Obligation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27, 2023, the Company entered into a purchase and sale agreement, or the “Royalty Purchase Agreement,” with RTW and certain of its affiliates.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Pursuant to the Royalty Purchase Agreement, RTW agreed to purchase, following the FDA approval of etripamil (subject to certain conditions), at a purchase price of $75.0 million, the right to receive a tiered quarterly royalty payments, or the “Royalty Interest,” on the net product sales of etripamil in the United States in an amount equal to: (i) 7%, or the “Initial Tier Royalty,” of annual net sales up to $500 million, (ii) 4% of annual net sales greater than $500 million and less than or equal to $800 million, and (iii) 1% of annual net sales greater than $800 million. If certain revenue thresholds for aggregate annual net sales are not met, the Initial Tier Royalty will increase to 9.5% beginning on January 1 of the following calendar year until a subsequent sales threshold is attained, at which time the Initial Tier Royalty would revert back to 7%.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12, 2026, the Company closed the sale of the Royalty Interest under the Royalty Purchase Agreement and received the $75.0 million purchase price.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cash consideration obtained pursuant to the Royalty Purchase Agreement is recorded in “Royalty financing obligation” on the Company’s Condensed Consolidated Balance Sheets. Upon initial recognition, the royalty financing obligation was recorded based on the proceeds received. The Company subsequently measures the royalty financing obligation at amortized cost using the effective interest method. As of June 30, 2026, the carrying value of the royalty financing obligations under the Royalty Purchase Agreement approximated its fair value. The estimated fair value of the royalty financing obligations was based on the Company’s current estimates of future payments to RTW over the estimated term of the obligation, which are considered Level 3 inputs.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utilizes the prospective method to account for subsequent changes in the estimated future royalties to be paid by the Company to the counterparty over the estimated term of the obligation.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If the amount or timing of expected royalty payments differs from prior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needs to be reduced relative to the current outstanding liability. In such case of excess payments relative to interest accretion for the next twelve months, the excess payments are considered to be a short-term liability and classified within current liabilities on the Company’s Condensed Consolidated Balance Sheets.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976" w:name="Tc_FvxIHtbAUkCOESQiI78k2Q_10_0"/>
      <w:bookmarkStart w:id="977" w:name="Tc_Fp6_R2L4k0CdY1z2jrvn6w_8_2"/>
      <w:bookmarkStart w:id="978" w:name="Tc_agNI_OyiEkOLq236--e9Uw_8_0"/>
      <w:bookmarkStart w:id="979" w:name="Tc_vhqBkJbOL0S9A1iYzEK9iA_7_0"/>
      <w:bookmarkStart w:id="980" w:name="Tc_kmC07Fcqc02J7B3leZC3hw_6_0"/>
      <w:bookmarkStart w:id="981" w:name="Tc_lj2fMIMMMEWtvItgiJM3-A_5_2"/>
      <w:bookmarkStart w:id="982" w:name="Tc_hYECrk48D0CFtkKWOq7wag_5_0"/>
      <w:bookmarkStart w:id="983" w:name="Tc_Q_4H5zYMiEG2MK617s5gyQ_4_0"/>
      <w:bookmarkStart w:id="984" w:name="Tc_KmTycvDvskOMyCaFipkysw_3_0"/>
      <w:bookmarkStart w:id="985" w:name="Tc_KJOqeGIY-kWwoIkPUgY22g_2_2"/>
      <w:bookmarkStart w:id="986" w:name="Tc_VdQ1x5paMUm8WCdexEyLSw_2_0"/>
      <w:bookmarkStart w:id="987" w:name="Tc_vxyP46jJ8EyeKH3gIF5nYA_1_2"/>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sz w:val="20"/>
        </w:rPr>
        <w:t>During the six months ended June 30, 2026, there were no significant changes to the amount and timing of expected royalties under the Royalty Purchase Agreement based on the Company’s latest forecasts subsequent to the initial measurement.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shows the royalty financing obligation activity for the three and six months ended June 30 as well as the effective interest rate as of June 30:</w:t>
      </w:r>
    </w:p>
    <w:p>
      <w:pPr>
        <w:pStyle w:val="TextBody"/>
        <w:bidi w:val="0"/>
        <w:spacing w:before="0" w:after="0"/>
        <w:ind w:left="0" w:right="0" w:hanging="0"/>
        <w:jc w:val="left"/>
        <w:rPr/>
      </w:pPr>
      <w:r>
        <w:rPr/>
        <w:t>​</w:t>
      </w:r>
    </w:p>
    <w:tbl>
      <w:tblPr>
        <w:tblW w:w="5347" w:type="dxa"/>
        <w:jc w:val="left"/>
        <w:tblInd w:w="0" w:type="dxa"/>
        <w:tblLayout w:type="fixed"/>
        <w:tblCellMar>
          <w:top w:w="0" w:type="dxa"/>
          <w:left w:w="0" w:type="dxa"/>
          <w:bottom w:w="0" w:type="dxa"/>
          <w:right w:w="0" w:type="dxa"/>
        </w:tblCellMar>
      </w:tblPr>
      <w:tblGrid>
        <w:gridCol w:w="4276"/>
        <w:gridCol w:w="109"/>
        <w:gridCol w:w="196"/>
        <w:gridCol w:w="76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715260" cy="175260"/>
                      <wp:effectExtent l="0" t="0" r="0" b="0"/>
                      <wp:wrapNone/>
                      <wp:docPr id="177" name="Frame17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86410" cy="175260"/>
                      <wp:effectExtent l="0" t="0" r="0" b="0"/>
                      <wp:wrapNone/>
                      <wp:docPr id="180" name="Frame18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Royalty financing obligation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75,000</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Royalty financing obligation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3,133</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Royalty revenues paid and payable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March 31, 2026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78,111</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Interest expense on Royalty financing obligation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3,705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Royalty revenues paid and payable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as of June 30, 2026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81,763</w:t>
            </w:r>
          </w:p>
        </w:tc>
      </w:tr>
      <w:tr>
        <w:trPr/>
        <w:tc>
          <w:tcPr>
            <w:tcW w:w="42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Effective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bookmarkStart w:id="988" w:name="Tc_UlwMnG8f-0GhKw98OhJ5kw_6_5"/>
      <w:bookmarkStart w:id="989" w:name="Tc_mBkxm4oMsEq8WMYEjkzTTw_6_2"/>
      <w:bookmarkStart w:id="990" w:name="Tc_NB9QLxQ5-Ue2yM_tsAmG_g_6_0"/>
      <w:bookmarkStart w:id="991" w:name="Tc_rjAL0uygD0SbQxq6wFVKJQ_5_0"/>
      <w:bookmarkStart w:id="992" w:name="Tc_JPZNo6ojkkOo1wz8I1UeiA_4_3"/>
      <w:bookmarkStart w:id="993" w:name="Tc_BdSGdq0lC0qe3jAVt9pT5Q_4_0"/>
      <w:bookmarkStart w:id="994" w:name="Tc_WvY97vu4KUSUunzezOcE0g_3_0"/>
      <w:bookmarkStart w:id="995" w:name="Tc_niyGEQRJ5EqtX8jXsJmFow_2_5"/>
      <w:bookmarkStart w:id="996" w:name="Tc_Yz7z664D7Uu3qDGIO6f53Q_2_2"/>
      <w:bookmarkStart w:id="997" w:name="Tc_L1c3SgD1jkG--Bx9SXT59g_2_0"/>
      <w:bookmarkStart w:id="998" w:name="Tc_N99hPWRT6EKAQJHBUkq6RQ_1_5"/>
      <w:bookmarkStart w:id="999" w:name="Tc_RbC_Px1maUKYKHj31Q0jhg_1_2"/>
      <w:bookmarkEnd w:id="988"/>
      <w:bookmarkEnd w:id="989"/>
      <w:bookmarkEnd w:id="990"/>
      <w:bookmarkEnd w:id="991"/>
      <w:bookmarkEnd w:id="992"/>
      <w:bookmarkEnd w:id="993"/>
      <w:bookmarkEnd w:id="994"/>
      <w:bookmarkEnd w:id="995"/>
      <w:bookmarkEnd w:id="996"/>
      <w:bookmarkEnd w:id="997"/>
      <w:bookmarkEnd w:id="998"/>
      <w:bookmarkEnd w:id="999"/>
      <w:r>
        <w:rPr>
          <w:rFonts w:ascii="Times New Roman;Times;serif" w:hAnsi="Times New Roman;Times;serif"/>
          <w:b/>
          <w:sz w:val="20"/>
        </w:rPr>
        <w:t>12. Other</w:t>
      </w:r>
      <w:r>
        <w:rPr>
          <w:rFonts w:ascii="Times New Roman;Times;serif" w:hAnsi="Times New Roman;Times;serif"/>
          <w:sz w:val="20"/>
        </w:rPr>
        <w:t xml:space="preserve"> </w:t>
      </w:r>
      <w:r>
        <w:rPr>
          <w:rFonts w:ascii="Times New Roman;Times;serif" w:hAnsi="Times New Roman;Times;serif"/>
          <w:b/>
          <w:sz w:val="20"/>
        </w:rPr>
        <w:t xml:space="preserve">Receivables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receivables are comprised of the following:</w:t>
      </w:r>
    </w:p>
    <w:p>
      <w:pPr>
        <w:pStyle w:val="TextBody"/>
        <w:bidi w:val="0"/>
        <w:spacing w:before="0" w:after="0"/>
        <w:ind w:left="0" w:right="0" w:hanging="0"/>
        <w:jc w:val="left"/>
        <w:rPr/>
      </w:pPr>
      <w:r>
        <w:rPr/>
        <w:t>​</w:t>
      </w:r>
    </w:p>
    <w:tbl>
      <w:tblPr>
        <w:tblW w:w="6785" w:type="dxa"/>
        <w:jc w:val="left"/>
        <w:tblInd w:w="0" w:type="dxa"/>
        <w:tblLayout w:type="fixed"/>
        <w:tblCellMar>
          <w:top w:w="0" w:type="dxa"/>
          <w:left w:w="0" w:type="dxa"/>
          <w:bottom w:w="0" w:type="dxa"/>
          <w:right w:w="0" w:type="dxa"/>
        </w:tblCellMar>
      </w:tblPr>
      <w:tblGrid>
        <w:gridCol w:w="3346"/>
        <w:gridCol w:w="346"/>
        <w:gridCol w:w="385"/>
        <w:gridCol w:w="771"/>
        <w:gridCol w:w="346"/>
        <w:gridCol w:w="375"/>
        <w:gridCol w:w="1216"/>
      </w:tblGrid>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4475" cy="175260"/>
                      <wp:effectExtent l="0" t="0" r="0" b="0"/>
                      <wp:wrapNone/>
                      <wp:docPr id="182" name="Frame18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89585" cy="175260"/>
                      <wp:effectExtent l="0" t="0" r="0" b="0"/>
                      <wp:wrapNone/>
                      <wp:docPr id="183" name="Frame183"/>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38125" cy="175260"/>
                      <wp:effectExtent l="0" t="0" r="0" b="0"/>
                      <wp:wrapNone/>
                      <wp:docPr id="185" name="Frame18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72160" cy="175260"/>
                      <wp:effectExtent l="0" t="0" r="0" b="0"/>
                      <wp:wrapNone/>
                      <wp:docPr id="186" name="Frame18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2026</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2025</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1"/>
              <w:ind w:left="0" w:right="0" w:hanging="0"/>
              <w:jc w:val="left"/>
              <w:rPr/>
            </w:pPr>
            <w:r>
              <w:rPr/>
              <w:t> </w:t>
            </w:r>
          </w:p>
        </w:tc>
        <w:tc>
          <w:tcPr>
            <w:tcW w:w="38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tax receivable</w:t>
            </w:r>
          </w:p>
        </w:tc>
        <w:tc>
          <w:tcPr>
            <w:tcW w:w="346" w:type="dxa"/>
            <w:tcBorders/>
            <w:vAlign w:val="center"/>
          </w:tcPr>
          <w:p>
            <w:pPr>
              <w:pStyle w:val="TableContents"/>
              <w:bidi w:val="0"/>
              <w:spacing w:before="0" w:after="1"/>
              <w:ind w:left="0" w:right="0" w:hanging="0"/>
              <w:jc w:val="left"/>
              <w:rPr/>
            </w:pPr>
            <w:r>
              <w:rPr/>
              <w:t> </w:t>
            </w:r>
          </w:p>
        </w:tc>
        <w:tc>
          <w:tcPr>
            <w:tcW w:w="385" w:type="dxa"/>
            <w:tcBorders/>
            <w:vAlign w:val="center"/>
          </w:tcPr>
          <w:p>
            <w:pPr>
              <w:pStyle w:val="TableContents"/>
              <w:bidi w:val="0"/>
              <w:spacing w:before="0" w:after="1"/>
              <w:ind w:left="0" w:right="0" w:hanging="0"/>
              <w:jc w:val="left"/>
              <w:rPr/>
            </w:pPr>
            <w:r>
              <w:rPr/>
              <w:t> </w:t>
            </w:r>
          </w:p>
        </w:tc>
        <w:tc>
          <w:tcPr>
            <w:tcW w:w="7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4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withholding taxes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7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1,115</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current receivable </w:t>
            </w:r>
          </w:p>
        </w:tc>
        <w:tc>
          <w:tcPr>
            <w:tcW w:w="346" w:type="dxa"/>
            <w:tcBorders/>
            <w:vAlign w:val="center"/>
          </w:tcPr>
          <w:p>
            <w:pPr>
              <w:pStyle w:val="TableContents"/>
              <w:bidi w:val="0"/>
              <w:spacing w:before="0" w:after="1"/>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3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w:t>
            </w:r>
          </w:p>
        </w:tc>
        <w:tc>
          <w:tcPr>
            <w:tcW w:w="346"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66" w:hanging="0"/>
              <w:jc w:val="right"/>
              <w:rPr>
                <w:rFonts w:ascii="Times New Roman;Times;serif" w:hAnsi="Times New Roman;Times;serif"/>
                <w:sz w:val="20"/>
              </w:rPr>
            </w:pPr>
            <w:r>
              <w:rPr>
                <w:rFonts w:ascii="Times New Roman;Times;serif" w:hAnsi="Times New Roman;Times;serif"/>
                <w:sz w:val="20"/>
              </w:rPr>
              <w:t>1,646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13. Segment Reporting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manages its operations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segment for the purpose of assessing performance and making operating decisions while focusing on the development and commercialization of innovative cardiovascular medicines. These operations, which are reported on a consolidated basis, are focused on a single product. The accounting policies of the single operating segment are the same as those described in the summary of significant accounting policies. The chief operating decision maker, or “CODM,” assesses performance of the Company’s single operating segment based on consolidated net loss. Net loss is used by the CODM to evaluate budget to actual analytics, which are used to monitor expenditures and ensure the Company is meeting established budgets. The CODM is the principal officer group, which includes the Company’s chief executive officer and chief financial officer.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Milestone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and 2025 (Unaudited)</w:t>
      </w:r>
    </w:p>
    <w:p>
      <w:pPr>
        <w:pStyle w:val="TextBody"/>
        <w:bidi w:val="0"/>
        <w:spacing w:before="0" w:after="120"/>
        <w:ind w:left="0" w:right="0" w:hanging="0"/>
        <w:jc w:val="center"/>
        <w:rPr>
          <w:rFonts w:ascii="Times New Roman;Times;serif" w:hAnsi="Times New Roman;Times;serif"/>
          <w:b/>
          <w:i/>
          <w:sz w:val="18"/>
        </w:rPr>
      </w:pPr>
      <w:r>
        <w:rPr>
          <w:rFonts w:ascii="Times New Roman;Times;serif" w:hAnsi="Times New Roman;Times;serif"/>
          <w:b/>
          <w:i/>
          <w:sz w:val="18"/>
        </w:rPr>
        <w:t>(in thousands of U.S. dollars, except where noted and for share and per share data)</w:t>
      </w:r>
    </w:p>
    <w:p>
      <w:pPr>
        <w:pStyle w:val="TextBody"/>
        <w:bidi w:val="0"/>
        <w:spacing w:before="0" w:after="0"/>
        <w:ind w:left="0" w:right="0" w:hanging="0"/>
        <w:jc w:val="center"/>
        <w:rPr/>
      </w:pPr>
      <w:r>
        <w:rPr/>
        <w:t>​</w:t>
      </w:r>
    </w:p>
    <w:p>
      <w:pPr>
        <w:pStyle w:val="TextBody"/>
        <w:bidi w:val="0"/>
        <w:spacing w:before="0" w:after="0"/>
        <w:ind w:left="0" w:right="0" w:hanging="0"/>
        <w:jc w:val="both"/>
        <w:rPr/>
      </w:pPr>
      <w:bookmarkStart w:id="1000" w:name="Tc_7UVDw26cNU-FiBQENLBlzQ_15_12"/>
      <w:bookmarkStart w:id="1001" w:name="Tc_6AlLTh8Uk0-iYkCOvg73Zw_15_9"/>
      <w:bookmarkStart w:id="1002" w:name="Tc_v_YkK9P4NEKG0xx3KzAPOg_15_5"/>
      <w:bookmarkStart w:id="1003" w:name="Tc_VBmG5IzE7kmVDvVXYMQE6w_15_2"/>
      <w:bookmarkStart w:id="1004" w:name="Tc_SMbWzkDTuk2p_KZWa8NOzg_15_0"/>
      <w:bookmarkStart w:id="1005" w:name="Tc_3Hy0DvYWF0KCTwLKnBTOYg_14_0"/>
      <w:bookmarkStart w:id="1006" w:name="Tc_Dup8UMb2UEejtsEi_AsKRw_13_13"/>
      <w:bookmarkStart w:id="1007" w:name="Tc_U2jXNqSzAUOlZq2RkQuT1A_13_6"/>
      <w:bookmarkStart w:id="1008" w:name="Tc_JrJtMYYX3k2N-LPby18tTg_13_0"/>
      <w:bookmarkStart w:id="1009" w:name="Tc_KY5aK63mTkmjPOcDFisDGA_12_0"/>
      <w:bookmarkStart w:id="1010" w:name="Tc_rjsoOmShZEGkD5Kn5WbNow_11_0"/>
      <w:bookmarkStart w:id="1011" w:name="Tc_bwtFE8csZkOF72euI0XRSQ_10_0"/>
      <w:bookmarkStart w:id="1012" w:name="Tc_K1yNv4d88UqDhJRnNZ0LMQ_9_0"/>
      <w:bookmarkStart w:id="1013" w:name="Tc_eUUyJxNNjEqbmOZg1MxdVQ_8_0"/>
      <w:bookmarkStart w:id="1014" w:name="Tc_fIAmoLcnMEqDJyOGnLH8IA_7_0"/>
      <w:bookmarkStart w:id="1015" w:name="Tc_fg7ygZeyH0abNse8CkpzcA_6_13"/>
      <w:bookmarkStart w:id="1016" w:name="Tc_v8hNlckeVkmC9v1TwOjTjQ_6_6"/>
      <w:bookmarkStart w:id="1017" w:name="Tc_2q7oShCPRkqvbuGGmInoxA_6_0"/>
      <w:bookmarkStart w:id="1018" w:name="Tc_phP2ZeF8xEGIqmyk5KQttQ_5_0"/>
      <w:bookmarkStart w:id="1019" w:name="Tc_c_gxvsMCtUmH3OSc4cCjrQ_3_13"/>
      <w:bookmarkStart w:id="1020" w:name="Tc_4L9crV5SME6nrwvAHOeJ6g_3_12"/>
      <w:bookmarkStart w:id="1021" w:name="Tc_sg3P9nPz1kGyTJgxILYegw_3_9"/>
      <w:bookmarkStart w:id="1022" w:name="Tc_mMPkwRlfUkWRsbbGILPIeg_3_6"/>
      <w:bookmarkStart w:id="1023" w:name="Tc_-_IAAr1s8UK_i1X1eDWjvg_3_5"/>
      <w:bookmarkStart w:id="1024" w:name="Tc_Xf4hhwBx0EG0XagrwrZjuw_3_2"/>
      <w:bookmarkStart w:id="1025" w:name="Tc_qVFwTgFAy0mVR_6RqnIXdQ_3_0"/>
      <w:bookmarkStart w:id="1026" w:name="Tc_1LmMQwng9EW0QerAO8AQ9A_2_12"/>
      <w:bookmarkStart w:id="1027" w:name="Tc_kHTKTW-en0u04dqNptxvbg_2_9"/>
      <w:bookmarkStart w:id="1028" w:name="Tc_yyAB-ZOakkOiB18mv1mAOg_2_5"/>
      <w:bookmarkStart w:id="1029" w:name="Tc_-g3D5bB6f0qVbEsSYeKKIg_2_2"/>
      <w:bookmarkStart w:id="1030" w:name="Tc_2IHwl9abg0mia-qAxnV9Eg_2_0"/>
      <w:bookmarkStart w:id="1031" w:name="Tc_O6v0diRA6k6Z4IXkyakHPQ_1_9"/>
      <w:bookmarkStart w:id="1032" w:name="Tc_zPAsHYs8Skyl8SqRYt5LGA_1_2"/>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information about the Company’s significant segment expense categories, as provided to the Company’s CODM on a regular basis, and includes a reconciliation to consolidated net loss: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804"/>
        <w:gridCol w:w="346"/>
        <w:gridCol w:w="224"/>
        <w:gridCol w:w="826"/>
        <w:gridCol w:w="368"/>
        <w:gridCol w:w="224"/>
        <w:gridCol w:w="826"/>
        <w:gridCol w:w="109"/>
        <w:gridCol w:w="109"/>
        <w:gridCol w:w="211"/>
        <w:gridCol w:w="775"/>
        <w:gridCol w:w="346"/>
        <w:gridCol w:w="211"/>
        <w:gridCol w:w="826"/>
      </w:tblGrid>
      <w:tr>
        <w:trPr/>
        <w:tc>
          <w:tcPr>
            <w:tcW w:w="4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050540" cy="175260"/>
                      <wp:effectExtent l="0" t="0" r="0" b="0"/>
                      <wp:wrapNone/>
                      <wp:docPr id="187" name="Frame187"/>
                      <a:graphic xmlns:a="http://schemas.openxmlformats.org/drawingml/2006/main">
                        <a:graphicData uri="http://schemas.microsoft.com/office/word/2010/wordprocessingShape">
                          <wps:wsp>
                            <wps:cNvSpPr txBox="1"/>
                            <wps:spPr>
                              <a:xfrm>
                                <a:off x="0" y="0"/>
                                <a:ext cx="305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2240" cy="175260"/>
                      <wp:effectExtent l="0" t="0" r="0" b="0"/>
                      <wp:wrapNone/>
                      <wp:docPr id="189" name="Frame18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24510" cy="175260"/>
                      <wp:effectExtent l="0" t="0" r="0" b="0"/>
                      <wp:wrapNone/>
                      <wp:docPr id="190" name="Frame19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3680" cy="175260"/>
                      <wp:effectExtent l="0" t="0" r="0" b="0"/>
                      <wp:wrapNone/>
                      <wp:docPr id="191" name="Frame19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42240" cy="175260"/>
                      <wp:effectExtent l="0" t="0" r="0" b="0"/>
                      <wp:wrapNone/>
                      <wp:docPr id="192" name="Frame19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24510" cy="175260"/>
                      <wp:effectExtent l="0" t="0" r="0" b="0"/>
                      <wp:wrapNone/>
                      <wp:docPr id="193" name="Frame1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92125" cy="175260"/>
                      <wp:effectExtent l="0" t="0" r="0" b="0"/>
                      <wp:wrapNone/>
                      <wp:docPr id="197" name="Frame197"/>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24510" cy="175260"/>
                      <wp:effectExtent l="0" t="0" r="0" b="0"/>
                      <wp:wrapNone/>
                      <wp:docPr id="200" name="Frame2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48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1"/>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8" w:type="dxa"/>
            <w:tcBorders/>
            <w:vAlign w:val="center"/>
          </w:tcPr>
          <w:p>
            <w:pPr>
              <w:pStyle w:val="TableContents"/>
              <w:bidi w:val="0"/>
              <w:spacing w:before="0" w:after="1"/>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c>
          <w:tcPr>
            <w:tcW w:w="368" w:type="dxa"/>
            <w:tcBorders/>
            <w:shd w:fill="CCEEFF" w:val="clear"/>
            <w:vAlign w:val="center"/>
          </w:tcPr>
          <w:p>
            <w:pPr>
              <w:pStyle w:val="TableContents"/>
              <w:bidi w:val="0"/>
              <w:spacing w:before="0" w:after="1"/>
              <w:ind w:left="0" w:right="0" w:hanging="0"/>
              <w:jc w:val="center"/>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368"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7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8"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net of tax credits, excluding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3,134</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7,850</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excluding share-based compensation</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w:t>
            </w:r>
          </w:p>
        </w:tc>
        <w:tc>
          <w:tcPr>
            <w:tcW w:w="368"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3,036</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7,465</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excluding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14,540</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3,310</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11,335</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Medical affairs, excluding share-based compensation</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2,090</w:t>
            </w:r>
          </w:p>
        </w:tc>
        <w:tc>
          <w:tcPr>
            <w:tcW w:w="368"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3,745</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68"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Royalty financing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3,705</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4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payable interest expense</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w:t>
            </w:r>
          </w:p>
        </w:tc>
        <w:tc>
          <w:tcPr>
            <w:tcW w:w="368"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951</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1,886</w:t>
            </w:r>
          </w:p>
        </w:tc>
      </w:tr>
      <w:tr>
        <w:trPr/>
        <w:tc>
          <w:tcPr>
            <w:tcW w:w="480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(28,614)</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(12,966)</w:t>
            </w:r>
          </w:p>
        </w:tc>
        <w:tc>
          <w:tcPr>
            <w:tcW w:w="10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measure of segment assets is reported on the balance sheet as total consolidated assets.</w:t>
      </w:r>
    </w:p>
    <w:p>
      <w:pPr>
        <w:pStyle w:val="TextBody"/>
        <w:bidi w:val="0"/>
        <w:spacing w:before="0" w:after="24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33" w:name="_8e810638_af8f_4250_89bb_dc8c4eca9e83_3"/>
      <w:bookmarkStart w:id="1034" w:name="_8e810638_af8f_4250_89bb_dc8c4eca9e83_2"/>
      <w:bookmarkStart w:id="1035" w:name="_8e810638_af8f_4250_89bb_dc8c4eca9e83"/>
      <w:bookmarkEnd w:id="1033"/>
      <w:bookmarkEnd w:id="1034"/>
      <w:bookmarkEnd w:id="1035"/>
      <w:r>
        <w:rPr>
          <w:rFonts w:ascii="Times New Roman;Times;serif" w:hAnsi="Times New Roman;Times;serif"/>
          <w:b/>
          <w:sz w:val="20"/>
        </w:rPr>
        <w:t>14. 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accounting guidance for fair value measurement and its subsequent updates, fair value is defined as the price that would be received to sell an asset or paid to transfer a liability (i.e. the exit price) in an orderly transaction between market participants at the measurement date. The accounting guidance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assumptions market participants would use in pricing the asset or liability based on the best information available in the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hierarchy is broken down into the three input levels summarized below:</w:t>
      </w:r>
    </w:p>
    <w:tbl>
      <w:tblPr>
        <w:tblW w:w="10205" w:type="dxa"/>
        <w:jc w:val="left"/>
        <w:tblInd w:w="0" w:type="dxa"/>
        <w:tblLayout w:type="fixed"/>
        <w:tblCellMar>
          <w:top w:w="0" w:type="dxa"/>
          <w:left w:w="0" w:type="dxa"/>
          <w:bottom w:w="0" w:type="dxa"/>
          <w:right w:w="0" w:type="dxa"/>
        </w:tblCellMar>
      </w:tblPr>
      <w:tblGrid>
        <w:gridCol w:w="736"/>
        <w:gridCol w:w="346"/>
        <w:gridCol w:w="9123"/>
      </w:tblGrid>
      <w:tr>
        <w:trPr/>
        <w:tc>
          <w:tcPr>
            <w:tcW w:w="73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123" w:type="dxa"/>
            <w:tcBorders/>
            <w:vAlign w:val="center"/>
          </w:tcPr>
          <w:p>
            <w:pPr>
              <w:pStyle w:val="TableContents"/>
              <w:bidi w:val="0"/>
              <w:spacing w:before="0" w:after="0"/>
              <w:ind w:left="0" w:right="0" w:hanging="0"/>
              <w:jc w:val="both"/>
              <w:rPr/>
            </w:pPr>
            <w:r>
              <w:rPr/>
              <w:t>​</w:t>
            </w:r>
          </w:p>
        </w:tc>
      </w:tr>
      <w:tr>
        <w:trPr/>
        <w:tc>
          <w:tcPr>
            <w:tcW w:w="73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w:t>
            </w:r>
          </w:p>
        </w:tc>
        <w:tc>
          <w:tcPr>
            <w:tcW w:w="346" w:type="dxa"/>
            <w:tcBorders/>
            <w:vAlign w:val="center"/>
          </w:tcPr>
          <w:p>
            <w:pPr>
              <w:pStyle w:val="TableContents"/>
              <w:bidi w:val="0"/>
              <w:spacing w:before="0" w:after="0"/>
              <w:ind w:left="0" w:right="0" w:hanging="0"/>
              <w:jc w:val="both"/>
              <w:rPr/>
            </w:pPr>
            <w:r>
              <w:rPr/>
              <w:t>—</w:t>
            </w:r>
          </w:p>
        </w:tc>
        <w:tc>
          <w:tcPr>
            <w:tcW w:w="91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Valuations are based on quoted prices in active markets for identical assets or liabilities and readily accessible by the Company at the reporting date.</w:t>
            </w:r>
          </w:p>
        </w:tc>
      </w:tr>
      <w:tr>
        <w:trPr/>
        <w:tc>
          <w:tcPr>
            <w:tcW w:w="73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both"/>
              <w:rPr/>
            </w:pPr>
            <w:r>
              <w:rPr/>
              <w:t>—</w:t>
            </w:r>
          </w:p>
        </w:tc>
        <w:tc>
          <w:tcPr>
            <w:tcW w:w="91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Valuations based on inputs other than the quoted prices in active markets that are observable either directly or indirectly in active markets.</w:t>
            </w:r>
          </w:p>
        </w:tc>
      </w:tr>
      <w:tr>
        <w:trPr/>
        <w:tc>
          <w:tcPr>
            <w:tcW w:w="73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w:t>
            </w:r>
          </w:p>
        </w:tc>
        <w:tc>
          <w:tcPr>
            <w:tcW w:w="346" w:type="dxa"/>
            <w:tcBorders/>
            <w:vAlign w:val="center"/>
          </w:tcPr>
          <w:p>
            <w:pPr>
              <w:pStyle w:val="TableContents"/>
              <w:bidi w:val="0"/>
              <w:spacing w:before="0" w:after="0"/>
              <w:ind w:left="0" w:right="0" w:hanging="0"/>
              <w:jc w:val="both"/>
              <w:rPr/>
            </w:pPr>
            <w:r>
              <w:rPr/>
              <w:t>—</w:t>
            </w:r>
          </w:p>
        </w:tc>
        <w:tc>
          <w:tcPr>
            <w:tcW w:w="91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Valuations based on unobservable inputs in which there is little or no market data, which requires the Company to develop its own assumptions.</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there were no financial instruments measured at fair value on a recurring or non-recurring basis. The carrying amounts of certain financial instruments, including cash and cash equivalents, short-term investments, accounts receivable, accounts payable and accrued expenses approximate their fair values due to the short-term nature of such instruments. Refer to Note 6, “Debt,” for disclosure of the fair value of the 2029 Convertible Notes and Note 11, “Royalty Financing Obligation,” for disclosures about the royalty financing obligation. The estimated fair value of the royalty financing obligations is based on the Company’s current estimates of future payments to RTW over the estimated term of the obligation, which are considered Level 3 inputs.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36" w:name="Item2ManagementsDiscussionandAnalysisofF"/>
      <w:bookmarkStart w:id="1037" w:name="_a4311b5e_17b5_4a57_9b90_f9da24bbdcf5"/>
      <w:bookmarkEnd w:id="1036"/>
      <w:bookmarkEnd w:id="1037"/>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information should be read in conjunction with the unaudited interim condensed consolidated financial statements and the notes thereto included in this Quarterly Report on Form 10-Q and the audited annual consolidated financial statements and the notes thereto included in our Annual Report on Form 10-K for the year ended December 31, 2025, which was filed with the Securities and Exchange Commission, or “SEC,” on March 20, 2026. Our actual results may differ materially from those anticipated in these forward-looking statements as a result of various factors, including those discussed in “Risk Factors” and in other parts of this Quarterly Report on Form 10-Q.</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are a biopharmaceutical company focused on the development and commercialization of innovative cardiovascular medicines. Our approved product CARDAMYST</w:t>
      </w:r>
      <w:r>
        <w:rPr>
          <w:rFonts w:ascii="Times New Roman;Times;serif" w:hAnsi="Times New Roman;Times;serif"/>
          <w:b/>
          <w:sz w:val="15"/>
        </w:rPr>
        <w:t>TM</w:t>
      </w:r>
      <w:r>
        <w:rPr>
          <w:rFonts w:ascii="Times New Roman;Times;serif" w:hAnsi="Times New Roman;Times;serif"/>
          <w:sz w:val="20"/>
        </w:rPr>
        <w:t xml:space="preserve"> (etripamil) nasal spray is available in the United States and is the first and only U.S. Food and Drug Administration, or the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are currently focusing our efforts and financial resources on (i) the commercialization of CARDAMYST</w:t>
      </w:r>
      <w:r>
        <w:rPr>
          <w:rFonts w:ascii="Times New Roman;Times;serif" w:hAnsi="Times New Roman;Times;serif"/>
          <w:b/>
          <w:sz w:val="15"/>
        </w:rPr>
        <w:t>TM</w:t>
      </w:r>
      <w:r>
        <w:rPr>
          <w:rFonts w:ascii="Times New Roman;Times;serif" w:hAnsi="Times New Roman;Times;serif"/>
          <w:sz w:val="20"/>
        </w:rPr>
        <w:t xml:space="preserve"> (etripamil) nasal spray for the treatment of PSVT, (ii) the development of etripamil for the treatment of AFib-RVR and (iii) corporate development activities that have the potential to increase company value through strategic collaborations.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PSVT Market Overview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12, 2025, we announced the FDA approved our first commercial product, CARDAMYST™ (etripamil) nasal spray, a prescription medication for the conversion of acute symptomatic episodes of PSVT to sinus rhythm in adults. We have currently begun focusing on the commercialization of CARDAMYST, which became available in retail pharmacies in the first quarter of 2026. 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for,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 </w:t>
      </w:r>
    </w:p>
    <w:p>
      <w:pPr>
        <w:pStyle w:val="TextBody"/>
        <w:bidi w:val="0"/>
        <w:spacing w:before="0" w:after="0"/>
        <w:ind w:left="0" w:right="0" w:hanging="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time, as they are inconsistently managed (cycling in and out of the healthcare system). Furthermore, PSVT is expected to 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versus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PSVT Continued Development Highlights</w:t>
      </w:r>
    </w:p>
    <w:p>
      <w:pPr>
        <w:pStyle w:val="TextBody"/>
        <w:bidi w:val="0"/>
        <w:spacing w:lineRule="atLeast" w:line="227"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In November 2025, we submitted our marketing authorization application, or “MAA,” to the European Medicines Agency, or “EMA,” for review for approval to market etripamil nasal spray, under the trade name TACHYMIST</w:t>
      </w:r>
      <w:r>
        <w:rPr>
          <w:rFonts w:ascii="Times New Roman;Times;serif" w:hAnsi="Times New Roman;Times;serif"/>
          <w:sz w:val="15"/>
        </w:rPr>
        <w:t>TM</w:t>
      </w:r>
      <w:r>
        <w:rPr>
          <w:rFonts w:ascii="Times New Roman;Times;serif" w:hAnsi="Times New Roman;Times;serif"/>
          <w:sz w:val="20"/>
        </w:rPr>
        <w:t>, in the European Union. The MAA utilizes much of the clinical, manufacturing and quality data package that was submitted in the NDA which led to the US FDA approval.</w:t>
      </w:r>
    </w:p>
    <w:p>
      <w:pPr>
        <w:pStyle w:val="TextBody"/>
        <w:bidi w:val="0"/>
        <w:spacing w:lineRule="atLeast" w:line="227"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January 2025, our licensing partner, Corxel Pharmaceuticals, or “Corxel,” formerly Ji Xing Pharmaceuticals Limited, announced that the Center for Drug Evaluation, or “CDE,” of the National Medical Products Administration, or “NMPA,” of the People’s Republic of China has accepted the New Drug Application, or “NDA,” for etripamil nasal spray for the treatment of PSVT. The NDA to the NMPA included data from the successful Phase 3 JX02002 clinical trial of etripamil nasal spray in patients with PSVT in China in addition to data included in the NDA that Milestone submitted to the FDA. </w:t>
      </w:r>
    </w:p>
    <w:p>
      <w:pPr>
        <w:pStyle w:val="TextBody"/>
        <w:bidi w:val="0"/>
        <w:spacing w:before="0" w:after="0"/>
        <w:ind w:left="0" w:right="0" w:hanging="0"/>
        <w:jc w:val="left"/>
        <w:rPr/>
      </w:pPr>
      <w:r>
        <w:rPr/>
        <w:t>​</w:t>
      </w:r>
    </w:p>
    <w:p>
      <w:pPr>
        <w:pStyle w:val="TextBody"/>
        <w:bidi w:val="0"/>
        <w:spacing w:lineRule="atLeast" w:line="227" w:before="0" w:after="0"/>
        <w:ind w:left="0" w:right="0" w:hanging="0"/>
        <w:jc w:val="left"/>
        <w:rPr>
          <w:rFonts w:ascii="Times New Roman;Times;serif" w:hAnsi="Times New Roman;Times;serif"/>
          <w:sz w:val="20"/>
        </w:rPr>
      </w:pPr>
      <w:r>
        <w:rPr>
          <w:rFonts w:ascii="Times New Roman;Times;serif" w:hAnsi="Times New Roman;Times;serif"/>
          <w:sz w:val="20"/>
        </w:rPr>
        <w:t>On March 23, 2026, Corxel announced that it had entered into an Asset Purchase Agreement with Everest Medicines, or “Everest”, a biopharmaceutical company focused on the development, manufacturing, and commercialization of pharmaceutical products and vaccines, with an established commercial infrastructure in Greater China. Pursuant to that Asset Purchase Agreement, Everest acquired the rights to develop, manufacture, and commercialize CARDAMYST™ (etripamil) nasal spray in Greater China, including mainland China, Hong Kong, Macau, and Taiwan.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500-patient Phase 3 trial (JX02002) met its primary endpoint, with a Kaplan Meier analysis showing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Etripamil Nasal Spray for the Treatment of AFib-RVR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initiated a Phase 3 registrational program to evaluate self-administered etripamil as a potential treatment for patients with AFib-RVR and are currently onboarding clinical sites. We expect to enroll the first patient in the trial in the second half of 2026. We intend to follow the supplemental New Drug Application, or “sNDA,” regulatory approval pathway and expect to leverage the initial PSVT indication and its safety database along with the results from the planned single Phase 3 study in AFib-RVR.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AFib-RVR Market Overview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with an oral rate-control drug; however, such agents often fail to provide immediate or dependable ventricular rate control because they have a 30- to 90-minute delayed onset of action. As a result, many patients require faster and more reliable rate reduction and symptom resolution, leading them to seek acute medical care in the emergency department for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emergency department due to AFib symptoms. Initial data suggests that approximately 60% of all AFib emergency department visits were attributable to AFib-RVR, as symptoms driving patients to seek care generally become more pronounced at higher heart rates. Treatment for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 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AFib-RVR Clinical Development Highlights</w:t>
      </w:r>
    </w:p>
    <w:p>
      <w:pPr>
        <w:pStyle w:val="TextBody"/>
        <w:bidi w:val="0"/>
        <w:spacing w:lineRule="atLeast" w:line="150" w:before="1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Times;serif" w:hAnsi="Times New Roman;Times;serif"/>
          <w:i/>
          <w:sz w:val="20"/>
        </w:rPr>
        <w:t>Circulation: Arrhythmia and Electrophysiology</w:t>
      </w:r>
      <w:r>
        <w:rPr>
          <w:rFonts w:ascii="Times New Roman;Times;serif" w:hAnsi="Times New Roman;Times;serif"/>
          <w:sz w:val="20"/>
        </w:rPr>
        <w:t>. The randomized, double-blinded, placebo-controlled ReVeRA trial of etripamil nasal spray enrolled 87 patients and dosed 56 patients aged 18 years and older with AFib who urgently presented experiencing AFib and a ventricular rate of 110 or more beats per minute, or “bpm.” The trial was designed to assess the magnitude, rapidity, and duration of reduction and the patient satisfaction with treatment using an established patient reported outcome, or “PRO,” tool. Data showed that delivery of etripamil nasal spray (70 mg) significantly and rapidly reduced ventricular rate, in a pattern consistent with the drug’s pharmacologic profile. Etripamil achieved the primary endpoint with a high degree of statistical significance; patients experienced a ventricular rate reduction of 29.91 bpm (95% confidence interval: -40.31, -19.52; p&lt;0.0001) in the etripamil arm relative to placebo. The absolute maximum reduction in rate in the etripamil arm was 34.97 bpm. Using the Treatment Satisfaction Questionnaire 9, or “TSQM-9,” PRO, compared to placebo, patients treated with etripamil demonstrated significant improvements in two satisfaction ratings: effectiveness (p&lt;0.0001) and relief of symptoms (p=0.0002), with the degrees of improvement consistent with those customarily described as clinically meaningful. Treatment-emergent serious adverse events, or “TESAEs,” were rare and the most common (≥ 5%) adverse events were mild or moderate in intensity and included nasal discomfort, rhinorrhea, increased lacrimation, throat irritation and dizziness. Further trial details are below in this document.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use a PRO measure, and various PROs were discussed with the FDA. We have finalized the Phase 3 study protocol following FDA’s review and obtained concurrence with the FDA to proceed.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Phase 3 study has been initiated and will be conducted in a medically unmonitored setting (e.g., at-home) in a manner very similar to the conduct of our Phase 3 development program for PSVT. The Phase 3 AFib-RVR study will enroll patients with a history of symptomatic AFib episodes, and uses a self-administered, repeat-dose regimen of 70 mg per dose (the dose and dosing approach that was studied in the RAPID trial in patients with PSVT). The Phase 3 study’s target population is patients with verified history of AFib-RVR, and the ITT population is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font-weight:bold" w:hAnsi="Times New Roman;font-weight:bold"/>
          <w:b/>
          <w:sz w:val="20"/>
        </w:rPr>
      </w:pPr>
      <w:r>
        <w:rPr>
          <w:rFonts w:ascii="Times New Roman;font-weight:bold" w:hAnsi="Times New Roman;font-weight:bold"/>
          <w:b/>
          <w:sz w:val="20"/>
        </w:rPr>
        <w:t>Operations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the commencement of our operations in 2003, we have devoted substantially all of our resources to performing research and development activities in support of our product development efforts, hiring personnel, raising capital to support and expand such activities, providing general and administrative support for these operations and, more recently, commercialization. We have historically operated our business using a significant outsourcing model. As such, our team is currently composed of a relatively smaller core of employees who direct a significantly larger number of team members who are outsourced in the forms of vendors and consultants to enable execution of our operational plans. On December 12, 2025, we announced that the FDA approved our first commercial product, CARDAMYST™ (etripamil) nasal spray, a prescription medication for the conversion of acute symptomatic episodes of paroxysmal supraventricular tachycardia, or “PSVT,” to sinus rhythm in adults. As a result, we expect </w:t>
      </w:r>
      <w:r>
        <w:rPr>
          <w:rFonts w:ascii="Times New Roman" w:hAnsi="Times New Roman"/>
          <w:sz w:val="20"/>
        </w:rPr>
        <w:t>our future commercial expenses will increase as we invest in the infrastructure, personnel, and operational expenses required to commercialize CARDAMYST in the United States. We also expect inventory balances to increase as we capitalize costs related to the production of CARDAMYST for commercial sale in the United States</w:t>
      </w:r>
      <w:r>
        <w:rPr>
          <w:rFonts w:ascii="Times New Roman;Times;serif" w:hAnsi="Times New Roman;Times;serif"/>
          <w:sz w:val="20"/>
        </w:rPr>
        <w:t xml:space="preserve">. In addition, we expect to continue to incur significant research and development and general administrative expenses related to our operations as we advance etripamil nasal spray for the treatment of AFib-RVR and continue to invest in the resources needed to support a developing commercialized public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 inception, we have incurred significant operating losses. For the three months ended June 30, 2026 and 2025, we recorded net losses of $28.6 million and $13.0 million, respectively. For the six months ended June 30, 2026 and 2025, we recorded net losses of $54.7 million and $33.7 million, respectively. As of June 30, 2026, we had an accumulated deficit of $485.3 million. We expect to continue to incur significant losses for the foreseeable future. We anticipate that a substantial portion of our capital resources and efforts in the foreseeable future will be focused on commercialization of CARDAMYST and the development of an additional etripamil indication. We had $169.7 million of cash and cash equivalents and $0.9 million of short-term investments as of June 30, 2026.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to continue to incur significant expenses and increasing operating losses for the foreseeable future. Our net losses may fluctuate significantly from period to period, depending on the timing of our planned clinical trials and expenditures on other research and development activities. We expect our expenses will increase over time as we:</w:t>
      </w:r>
    </w:p>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continue </w:t>
            </w:r>
            <w:r>
              <w:rPr>
                <w:rFonts w:ascii="Times New Roman;font-size:10pt;font-style:normal;font-weight:normal" w:hAnsi="Times New Roman;font-size:10pt;font-style:normal;font-weight:normal"/>
              </w:rPr>
              <w:t>our ongoing and planned development of etripamil, including future Phase 3 clinical trials for the treatment of AFib-RVR and potential Phase 4 clinical trials for treatment of PSVT;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either directly or through collaboration with our partners, marketing approval for etripamil nasal spray for the treatment of PSVT from regulatory agencies responsible for regions outside the United States;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etripamil for the treatment of AFib-RVR and other cardiovascular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sales, marketing, manufacturing, and distribution capability, either directly or indirectly through third parties;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 a portfolio of product candidates through development, or by acquiring or in-licensing drugs, product candidates or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protect, and expand our intellectual property portfolio;</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clinical, regulatory, and scientific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operational, financial, and management information systems and personnel, or other general &amp; administrative personnel, including personnel to support our product development and potential expansion of our future commercialization efforts; and</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insurance and other expenses associated with operating as a public company.</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Recent Developments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27, 2023, we entered into a note purchase agreement, or the “Note Purchase Agreement,” with </w:t>
      </w:r>
      <w:r>
        <w:rPr>
          <w:rFonts w:ascii="Times New Roman" w:hAnsi="Times New Roman"/>
          <w:sz w:val="20"/>
        </w:rPr>
        <w:t>RTW Investments LP and certain of its affiliates, or collectively, “RTW”, pursuant to which we</w:t>
      </w:r>
      <w:r>
        <w:rPr>
          <w:rFonts w:ascii="Times New Roman;Times;serif" w:hAnsi="Times New Roman;Times;serif"/>
          <w:sz w:val="20"/>
        </w:rPr>
        <w:t xml:space="preserve"> issued and sold $50.0 million principal amount of 6.0% Convertible Senior Notes due 2029, or the “2029 Convertible Notes,” to the holders. On June 29, 2026, we amended the Note Purchase agreement to extend our option to pay cash interest or payment in-kind interest, at our election, from March 31, 2026 to March 31, 2027. </w:t>
      </w:r>
    </w:p>
    <w:p>
      <w:pPr>
        <w:pStyle w:val="TextBody"/>
        <w:bidi w:val="0"/>
        <w:spacing w:before="0" w:after="240"/>
        <w:ind w:left="0" w:right="0" w:hanging="0"/>
        <w:jc w:val="both"/>
        <w:rPr>
          <w:rFonts w:ascii="Times New Roman;font-weight:bold" w:hAnsi="Times New Roman;font-weight:bold"/>
          <w:b/>
          <w:sz w:val="20"/>
        </w:rPr>
      </w:pPr>
      <w:r>
        <w:rPr>
          <w:rFonts w:ascii="Times New Roman;font-weight:bold" w:hAnsi="Times New Roman;font-weight:bold"/>
          <w:b/>
          <w:sz w:val="20"/>
        </w:rPr>
        <w:t xml:space="preserve">The Macroeconomic Climate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 rates may materially adversely affect our business and corresponding financial position and cash flows. Inflationary factors, changes to interest rates, and overhead costs may adversely affect our operating results. Interest and inflation rates also present a recent challenge impacting the U.S. economy and could make it more difficult for us to obtain traditional financing on acceptable terms, if at all, in the future. Additionally, geopolitical events, including war and terrorism, banking instabilities, ongoing changes to U.S. and international tariffs and other trade restrictions and trade barriers, renegotiation of international trade agreements, or further escalations of trade tensions, and other U.S. geopolitical issues affecting other territories and employee availability, wage increases and economic markets, all of which may result in additional stress on our working capital resources. The ongoing trade tensions between the U.S. and other jurisdictions have resulted in multiple rounds of tariffs and anticipated tariffs affecting pharmaceuticals and pharmaceutical ingredients, including finished drug products, manufacturing equipment, and related supplies. In any event, the dynamic and unpredictable tariff and trade landscape may create substantial uncertainty and planning challenges for our operations.</w:t>
      </w:r>
    </w:p>
    <w:p>
      <w:pPr>
        <w:pStyle w:val="TextBody"/>
        <w:bidi w:val="0"/>
        <w:spacing w:before="0" w:after="240"/>
        <w:ind w:left="0" w:right="0" w:hanging="0"/>
        <w:jc w:val="both"/>
        <w:rPr>
          <w:rFonts w:ascii="Times New Roman;font-weight:bold" w:hAnsi="Times New Roman;font-weight:bold"/>
          <w:b/>
          <w:sz w:val="20"/>
        </w:rPr>
      </w:pPr>
      <w:r>
        <w:rPr>
          <w:rFonts w:ascii="Times New Roman;font-weight:bold" w:hAnsi="Times New Roman;font-weight:bold"/>
          <w:b/>
          <w:sz w:val="20"/>
        </w:rPr>
        <w:t>Components of Results of Operations</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Revenues</w:t>
      </w:r>
    </w:p>
    <w:p>
      <w:pPr>
        <w:pStyle w:val="TextBody"/>
        <w:bidi w:val="0"/>
        <w:spacing w:before="0" w:after="240"/>
        <w:ind w:left="0" w:right="0" w:hanging="0"/>
        <w:jc w:val="both"/>
        <w:rPr>
          <w:rFonts w:ascii="Times New Roman;font-style:italic" w:hAnsi="Times New Roman;font-style:italic"/>
          <w:i/>
          <w:sz w:val="20"/>
        </w:rPr>
      </w:pPr>
      <w:r>
        <w:rPr>
          <w:rFonts w:ascii="Times New Roman;font-style:italic" w:hAnsi="Times New Roman;font-style:italic"/>
          <w:i/>
          <w:sz w:val="20"/>
        </w:rPr>
        <w:t>Product Revenue</w:t>
      </w:r>
    </w:p>
    <w:p>
      <w:pPr>
        <w:pStyle w:val="TextBody"/>
        <w:bidi w:val="0"/>
        <w:spacing w:before="0" w:after="240"/>
        <w:ind w:left="0" w:right="0" w:hanging="0"/>
        <w:jc w:val="both"/>
        <w:rPr>
          <w:rFonts w:ascii="Times New Roman;Times;serif" w:hAnsi="Times New Roman;Times;serif"/>
          <w:sz w:val="20"/>
        </w:rPr>
      </w:pPr>
      <w:r>
        <w:rPr>
          <w:rFonts w:ascii="Times New Roman" w:hAnsi="Times New Roman"/>
          <w:sz w:val="20"/>
        </w:rPr>
        <w:t>On January 26, 2026, CARDAMYST</w:t>
      </w:r>
      <w:r>
        <w:rPr>
          <w:rFonts w:ascii="Times New Roman;Times;serif" w:hAnsi="Times New Roman;Times;serif"/>
          <w:sz w:val="20"/>
        </w:rPr>
        <w:t xml:space="preserve"> </w:t>
      </w:r>
      <w:r>
        <w:rPr>
          <w:rFonts w:ascii="Times New Roman" w:hAnsi="Times New Roman"/>
          <w:sz w:val="20"/>
        </w:rPr>
        <w:t>(etripamil) nasal spray for the management of PSVT became available in the United States through retail pharmacies and our national sales force was deployed mid-February 2026.</w:t>
      </w:r>
      <w:r>
        <w:rPr>
          <w:rFonts w:ascii="Times New Roman;Times;serif" w:hAnsi="Times New Roman;Times;serif"/>
          <w:sz w:val="20"/>
        </w:rPr>
        <w:t xml:space="preserve"> </w:t>
      </w:r>
      <w:r>
        <w:rPr>
          <w:rFonts w:ascii="Times New Roman" w:hAnsi="Times New Roman"/>
          <w:sz w:val="20"/>
        </w:rPr>
        <w:t xml:space="preserve">We initiated shipments of CARDAMYST to customers in the United States, which include major wholesalers, in January 2026. We recognize revenue for products received by our customers net of allowances for customer discounts, service fees, estimated returns, and estimated rebates. Product revenues were $0.6 million and $0.8 million during the three and six months ended June 30, 2026, respectively. We earned no product revenue during the three and six months ended June 30, 2025.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font-style:italic" w:hAnsi="Times New Roman;font-style:italic"/>
          <w:i/>
          <w:sz w:val="20"/>
        </w:rPr>
      </w:pPr>
      <w:r>
        <w:rPr>
          <w:rFonts w:ascii="Times New Roman;font-style:italic" w:hAnsi="Times New Roman;font-style:italic"/>
          <w:i/>
          <w:sz w:val="20"/>
        </w:rPr>
        <w:t>License Revenue</w:t>
      </w:r>
    </w:p>
    <w:p>
      <w:pPr>
        <w:pStyle w:val="TextBody"/>
        <w:bidi w:val="0"/>
        <w:spacing w:before="0" w:after="0"/>
        <w:ind w:left="0" w:right="0" w:hanging="0"/>
        <w:jc w:val="left"/>
        <w:rPr>
          <w:rFonts w:ascii="Times New Roman;Times;serif" w:hAnsi="Times New Roman;Times;serif"/>
          <w:sz w:val="20"/>
        </w:rPr>
      </w:pPr>
      <w:r>
        <w:rPr>
          <w:rFonts w:ascii="Times New Roman" w:hAnsi="Times New Roman"/>
          <w:sz w:val="20"/>
        </w:rPr>
        <w:t xml:space="preserve">We earn license revenue when milestones are reached pursuant to our License and Collaboration Agreement, dated May 15, 2021, with Corxel. During the three and six months ended June 30, 2026 and 2025, no milestones were achieved, and no revenue was recorded under the Ji Xing License Agreement. </w:t>
      </w:r>
      <w:r>
        <w:rPr>
          <w:rFonts w:ascii="Times New Roman;Times;serif" w:hAnsi="Times New Roman;Times;serif"/>
          <w:sz w:val="20"/>
        </w:rPr>
        <w:t xml:space="preserve">On March 23, 2026, Corxel announced that it had entered into an Asset Purchase Agreement with Everest. Pursuant to that Asset Purchase Agreement, Everest acquired the rights to develop, manufacture, and commercialize CARDAMYST™ (etripamil) nasal spray in Greater China, including mainland China, Hong Kong, Macau, and Taiwan.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Cost of product sales</w:t>
      </w:r>
    </w:p>
    <w:p>
      <w:pPr>
        <w:pStyle w:val="TextBody"/>
        <w:bidi w:val="0"/>
        <w:spacing w:before="0" w:after="240"/>
        <w:ind w:left="0" w:right="0" w:hanging="0"/>
        <w:jc w:val="both"/>
        <w:rPr>
          <w:rFonts w:ascii="Times New Roman" w:hAnsi="Times New Roman"/>
          <w:sz w:val="20"/>
        </w:rPr>
      </w:pPr>
      <w:r>
        <w:rPr>
          <w:rFonts w:ascii="Times New Roman" w:hAnsi="Times New Roman"/>
          <w:sz w:val="20"/>
        </w:rPr>
        <w:t xml:space="preserve">Cost of product sales includes the costs of producing inventory related to CARDAMYST including manufacturing, freight, overhead, and any inventory valuation adjustments. Cost of product sales is recognized in the period in which the related product revenue is earned.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FDA approval on December 12, 2025, all manufacturing costs for CARDAMYST were expensed as research and development costs. As a result, inventory on hand at the time of approval had a zero-cost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we recognized a de minimis amount of cost of product sales, consisting primarily of post-approval manufacturing activities, including final packaging costs. Accordingly, cost of product sales does not reflect the full cost of units sold, and gross margin is not representative of our expected long-term cost structure. We expect cost of product sales to increase in future periods as we sell inventory manufactured after FDA approval. We recorded no cost of product sales for the three and six months ended June 30, 2025. </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Research and Development Expenses</w:t>
      </w:r>
    </w:p>
    <w:p>
      <w:pPr>
        <w:pStyle w:val="TextBody"/>
        <w:bidi w:val="0"/>
        <w:spacing w:before="0" w:after="240"/>
        <w:ind w:left="0" w:right="0" w:hanging="0"/>
        <w:jc w:val="both"/>
        <w:rPr>
          <w:rFonts w:ascii="Times New Roman" w:hAnsi="Times New Roman"/>
          <w:sz w:val="20"/>
        </w:rPr>
      </w:pPr>
      <w:r>
        <w:rPr>
          <w:rFonts w:ascii="Times New Roman" w:hAnsi="Times New Roman"/>
          <w:sz w:val="20"/>
        </w:rPr>
        <w:t>Research and development expenses consist primarily of salaries and fees paid to external service providers, as well as personnel costs, including share-based compensation expense, and other related compensation expenses. We expense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w:t>
      </w:r>
    </w:p>
    <w:p>
      <w:pPr>
        <w:pStyle w:val="TextBody"/>
        <w:bidi w:val="0"/>
        <w:spacing w:before="0" w:after="240"/>
        <w:ind w:left="0" w:right="0" w:hanging="0"/>
        <w:jc w:val="both"/>
        <w:rPr>
          <w:rFonts w:ascii="Times New Roman" w:hAnsi="Times New Roman"/>
          <w:sz w:val="20"/>
        </w:rPr>
      </w:pPr>
      <w:r>
        <w:rPr>
          <w:rFonts w:ascii="Times New Roman" w:hAnsi="Times New Roman"/>
          <w:sz w:val="20"/>
        </w:rPr>
        <w:t xml:space="preserve">To date, the majority of our research and development expenses have been related to the preclinical and clinical development of etripamil inclusive of manufacturing costs pre-FDA approval. As we advance etripamil or other product candidates for other indications, we expect to allocate our direct external research and development costs across each of the indications or product candidates. Further, we expect our research and development costs to increase for the development of etripamil in AFib-RVR, and we expect our research and development expenses related to the development of etripamil for PSVT to decrease as a percentage of our total research and development expenses. </w:t>
      </w:r>
    </w:p>
    <w:p>
      <w:pPr>
        <w:pStyle w:val="TextBody"/>
        <w:bidi w:val="0"/>
        <w:spacing w:before="0" w:after="240"/>
        <w:ind w:left="0" w:right="0" w:hanging="0"/>
        <w:jc w:val="both"/>
        <w:rPr>
          <w:rFonts w:ascii="Times New Roman" w:hAnsi="Times New Roman"/>
          <w:sz w:val="20"/>
        </w:rPr>
      </w:pPr>
      <w:r>
        <w:rPr>
          <w:rFonts w:ascii="Times New Roman" w:hAnsi="Times New Roman"/>
          <w:sz w:val="20"/>
        </w:rPr>
        <w:t>The process of conducting the necessary clinical research to obtain regulatory approval is costly and time-consuming and is subject to uncertainties and delays. As a result of the uncertainties discussed above, we are unable to determine the duration and completion costs of our research and development projects or when and to what extent we will generate revenue from the commercialization and sale of our product candidates, if at all.</w:t>
      </w:r>
    </w:p>
    <w:p>
      <w:pPr>
        <w:pStyle w:val="TextBody"/>
        <w:bidi w:val="0"/>
        <w:spacing w:before="0" w:after="0"/>
        <w:ind w:left="0" w:right="57" w:hanging="0"/>
        <w:jc w:val="both"/>
        <w:rPr>
          <w:rFonts w:ascii="Times New Roman" w:hAnsi="Times New Roman"/>
          <w:sz w:val="20"/>
        </w:rPr>
      </w:pPr>
      <w:r>
        <w:rPr>
          <w:rFonts w:ascii="Times New Roman" w:hAnsi="Times New Roman"/>
          <w:sz w:val="20"/>
        </w:rPr>
        <w:t xml:space="preserve">We recognize the benefit of Canadian research and development tax credits as a reduction of research and development costs for fully refundable investment tax credits. </w:t>
      </w:r>
    </w:p>
    <w:p>
      <w:pPr>
        <w:pStyle w:val="TextBody"/>
        <w:bidi w:val="0"/>
        <w:spacing w:before="0" w:after="0"/>
        <w:ind w:left="0" w:right="57" w:hanging="0"/>
        <w:jc w:val="both"/>
        <w:rPr/>
      </w:pPr>
      <w:r>
        <w:rPr/>
        <w:t>​</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Selling, General and Administrative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are comprised of sales, marketing, and general and administrative expenses. Sales and marketing expenses for CARDAMYST include compensation, benefits, and other costs associated with sales and marketing personnel related to the commercialization of CARDAMYST, market research, marketing, medical affairs, market access, and advertising costs.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primarily of personnel expenses, including salaries, benefits and stock-based compensation expense, for employees performing general and administrative functions. General and administrative expense also includes corporate facility costs, including rent, utilities, depreciation and maintenance, not otherwise included in research and development expenses, as well as regulatory fees and professional fees for legal, patent, accounting, financial advisory, and other consulting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We expect our selling, general and administrative expenses to increase as we continue to invest in the personnel, infrastructure, and operational activities required to commercialize CARDAMYST in the United States. We also expect to continue to incur expenses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primarily consists of interest income from our cash and cash equivalents and short-term investments.</w:t>
      </w:r>
    </w:p>
    <w:p>
      <w:pPr>
        <w:pStyle w:val="TextBody"/>
        <w:bidi w:val="0"/>
        <w:spacing w:before="0" w:after="240"/>
        <w:ind w:left="0" w:right="0" w:hanging="0"/>
        <w:jc w:val="both"/>
        <w:rPr>
          <w:rFonts w:ascii="Times New Roman;font-style:italic;font-weight:bold" w:hAnsi="Times New Roman;font-style:italic;font-weight:bold"/>
          <w:sz w:val="20"/>
        </w:rPr>
      </w:pPr>
      <w:r>
        <w:rPr>
          <w:rFonts w:ascii="Times New Roman;font-style:italic;font-weight:bold" w:hAnsi="Times New Roman;font-style:italic;font-weight:bold"/>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expense primarily consists of contractual debt interest expense, amortization of debt costs, and interest related to the royalty financing obligation.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Six Months Ended June 30, 2026 and 2025</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summarizes our results of operations and changes:</w:t>
      </w:r>
    </w:p>
    <w:tbl>
      <w:tblPr>
        <w:tblW w:w="8955" w:type="dxa"/>
        <w:jc w:val="left"/>
        <w:tblInd w:w="0" w:type="dxa"/>
        <w:tblLayout w:type="fixed"/>
        <w:tblCellMar>
          <w:top w:w="0" w:type="dxa"/>
          <w:left w:w="0" w:type="dxa"/>
          <w:bottom w:w="0" w:type="dxa"/>
          <w:right w:w="0" w:type="dxa"/>
        </w:tblCellMar>
      </w:tblPr>
      <w:tblGrid>
        <w:gridCol w:w="3751"/>
        <w:gridCol w:w="346"/>
        <w:gridCol w:w="211"/>
        <w:gridCol w:w="796"/>
        <w:gridCol w:w="346"/>
        <w:gridCol w:w="211"/>
        <w:gridCol w:w="796"/>
        <w:gridCol w:w="109"/>
        <w:gridCol w:w="211"/>
        <w:gridCol w:w="796"/>
        <w:gridCol w:w="346"/>
        <w:gridCol w:w="103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81885" cy="175260"/>
                      <wp:effectExtent l="0" t="0" r="0" b="0"/>
                      <wp:wrapNone/>
                      <wp:docPr id="201" name="Frame201"/>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05460" cy="175260"/>
                      <wp:effectExtent l="0" t="0" r="0" b="0"/>
                      <wp:wrapNone/>
                      <wp:docPr id="204" name="Frame20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05460" cy="175260"/>
                      <wp:effectExtent l="0" t="0" r="0" b="0"/>
                      <wp:wrapNone/>
                      <wp:docPr id="207" name="Frame2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10" name="Frame21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57860" cy="175260"/>
                      <wp:effectExtent l="0" t="0" r="0" b="0"/>
                      <wp:wrapNone/>
                      <wp:docPr id="212" name="Frame2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5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Change</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 of tax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13,786</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(12,966)</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(15,648)</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6" w:hanging="0"/>
              <w:jc w:val="right"/>
              <w:rPr>
                <w:rFonts w:ascii="Times New Roman;Times;serif" w:hAnsi="Times New Roman;Times;serif"/>
                <w:sz w:val="20"/>
              </w:rPr>
            </w:pPr>
            <w:r>
              <w:rPr>
                <w:rFonts w:ascii="Times New Roman;Times;serif" w:hAnsi="Times New Roman;Times;serif"/>
                <w:sz w:val="20"/>
              </w:rPr>
              <w:t>120.7%</w:t>
            </w:r>
          </w:p>
        </w:tc>
      </w:tr>
    </w:tbl>
    <w:p>
      <w:pPr>
        <w:pStyle w:val="TextBody"/>
        <w:bidi w:val="0"/>
        <w:spacing w:before="0" w:after="0"/>
        <w:ind w:left="0" w:right="0" w:hanging="0"/>
        <w:jc w:val="left"/>
        <w:rPr/>
      </w:pPr>
      <w:r>
        <w:rPr/>
        <w:t>​</w:t>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8740" cy="175260"/>
                      <wp:effectExtent l="0" t="0" r="0" b="0"/>
                      <wp:wrapNone/>
                      <wp:docPr id="213" name="Frame21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97790" cy="175260"/>
                      <wp:effectExtent l="0" t="0" r="0" b="0"/>
                      <wp:wrapNone/>
                      <wp:docPr id="224" name="Frame2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0"/>
        <w:ind w:left="0" w:right="0" w:hanging="0"/>
        <w:jc w:val="both"/>
        <w:rPr>
          <w:shd w:fill="FFFF00" w:val="clear"/>
        </w:rPr>
      </w:pPr>
      <w:r>
        <w:rPr>
          <w:shd w:fill="FFFF00" w:val="clear"/>
        </w:rPr>
        <w:t>​</w:t>
      </w:r>
    </w:p>
    <w:tbl>
      <w:tblPr>
        <w:tblW w:w="8955" w:type="dxa"/>
        <w:jc w:val="left"/>
        <w:tblInd w:w="0" w:type="dxa"/>
        <w:tblLayout w:type="fixed"/>
        <w:tblCellMar>
          <w:top w:w="0" w:type="dxa"/>
          <w:left w:w="0" w:type="dxa"/>
          <w:bottom w:w="0" w:type="dxa"/>
          <w:right w:w="0" w:type="dxa"/>
        </w:tblCellMar>
      </w:tblPr>
      <w:tblGrid>
        <w:gridCol w:w="3751"/>
        <w:gridCol w:w="346"/>
        <w:gridCol w:w="211"/>
        <w:gridCol w:w="796"/>
        <w:gridCol w:w="346"/>
        <w:gridCol w:w="211"/>
        <w:gridCol w:w="796"/>
        <w:gridCol w:w="109"/>
        <w:gridCol w:w="211"/>
        <w:gridCol w:w="796"/>
        <w:gridCol w:w="346"/>
        <w:gridCol w:w="103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381885" cy="175260"/>
                      <wp:effectExtent l="0" t="0" r="0" b="0"/>
                      <wp:wrapNone/>
                      <wp:docPr id="225" name="Frame225"/>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05460" cy="175260"/>
                      <wp:effectExtent l="0" t="0" r="0" b="0"/>
                      <wp:wrapNone/>
                      <wp:docPr id="228" name="Frame2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05460" cy="175260"/>
                      <wp:effectExtent l="0" t="0" r="0" b="0"/>
                      <wp:wrapNone/>
                      <wp:docPr id="231" name="Frame2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5460" cy="175260"/>
                      <wp:effectExtent l="0" t="0" r="0" b="0"/>
                      <wp:wrapNone/>
                      <wp:docPr id="234" name="Frame2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57860" cy="175260"/>
                      <wp:effectExtent l="0" t="0" r="0" b="0"/>
                      <wp:wrapNone/>
                      <wp:docPr id="236" name="Frame23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5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 June 30, </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Change</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and other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 of tax credits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18,877</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17,036</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(6,974)</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369.8%</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(33,727)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(20,953)</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6" w:hanging="0"/>
              <w:jc w:val="right"/>
              <w:rPr>
                <w:rFonts w:ascii="Times New Roman;Times;serif" w:hAnsi="Times New Roman;Times;serif"/>
                <w:sz w:val="20"/>
              </w:rPr>
            </w:pPr>
            <w:r>
              <w:rPr>
                <w:rFonts w:ascii="Times New Roman;Times;serif" w:hAnsi="Times New Roman;Times;serif"/>
                <w:sz w:val="20"/>
              </w:rPr>
              <w:t>62.1%</w:t>
            </w:r>
          </w:p>
        </w:tc>
      </w:tr>
    </w:tbl>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font-style:italic" w:hAnsi="Times New Roman;font-style:italic"/>
          <w:i/>
          <w:sz w:val="20"/>
        </w:rPr>
      </w:pPr>
      <w:r>
        <w:rPr>
          <w:rFonts w:ascii="Times New Roman;font-style:italic" w:hAnsi="Times New Roman;font-style:italic"/>
          <w:i/>
          <w:sz w:val="20"/>
        </w:rPr>
        <w:t>Product Revenue</w:t>
      </w:r>
    </w:p>
    <w:p>
      <w:pPr>
        <w:pStyle w:val="TextBody"/>
        <w:bidi w:val="0"/>
        <w:spacing w:before="0" w:after="240"/>
        <w:ind w:left="0" w:right="0" w:hanging="0"/>
        <w:jc w:val="both"/>
        <w:rPr>
          <w:rFonts w:ascii="Times New Roman;Times;serif" w:hAnsi="Times New Roman;Times;serif"/>
          <w:sz w:val="20"/>
        </w:rPr>
      </w:pPr>
      <w:r>
        <w:rPr>
          <w:rFonts w:ascii="Times New Roman" w:hAnsi="Times New Roman"/>
          <w:sz w:val="20"/>
        </w:rPr>
        <w:t>On January 26, 2026, CARDAMYST</w:t>
      </w:r>
      <w:r>
        <w:rPr>
          <w:rFonts w:ascii="Times New Roman;Times;serif" w:hAnsi="Times New Roman;Times;serif"/>
          <w:sz w:val="20"/>
        </w:rPr>
        <w:t xml:space="preserve"> </w:t>
      </w:r>
      <w:r>
        <w:rPr>
          <w:rFonts w:ascii="Times New Roman" w:hAnsi="Times New Roman"/>
          <w:sz w:val="20"/>
        </w:rPr>
        <w:t>(etripamil) nasal spray for the management of PSVT in the United States became available through U.S. retail pharmacies and our national sales force was deployed mid-February 2026.</w:t>
      </w:r>
      <w:r>
        <w:rPr>
          <w:rFonts w:ascii="Times New Roman;Times;serif" w:hAnsi="Times New Roman;Times;serif"/>
          <w:sz w:val="20"/>
        </w:rPr>
        <w:t xml:space="preserve"> </w:t>
      </w:r>
      <w:r>
        <w:rPr>
          <w:rFonts w:ascii="Times New Roman" w:hAnsi="Times New Roman"/>
          <w:sz w:val="20"/>
        </w:rPr>
        <w:t xml:space="preserve">We initiated shipments of CARDAMYST to customers in the United States, which include major wholesalers, in January 2026. We recognize revenue for product received by our customers net of allowances for customer discounts, service fees, estimated returns, and estimated rebates. Product revenues were $0.6 million and $0.8 million during the three and six months ended June 30, 2026. We earned no product revenue during the three and six months ended June 30,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font-style:italic" w:hAnsi="Times New Roman;font-style:italic"/>
          <w:i/>
          <w:sz w:val="20"/>
        </w:rPr>
      </w:pPr>
      <w:r>
        <w:rPr>
          <w:rFonts w:ascii="Times New Roman;font-style:italic" w:hAnsi="Times New Roman;font-style:italic"/>
          <w:i/>
          <w:sz w:val="20"/>
        </w:rPr>
        <w:t>License Revenue</w:t>
      </w:r>
    </w:p>
    <w:p>
      <w:pPr>
        <w:pStyle w:val="TextBody"/>
        <w:bidi w:val="0"/>
        <w:spacing w:before="0" w:after="240"/>
        <w:ind w:left="0" w:right="0" w:hanging="0"/>
        <w:jc w:val="both"/>
        <w:rPr>
          <w:rFonts w:ascii="Times New Roman" w:hAnsi="Times New Roman"/>
          <w:sz w:val="20"/>
        </w:rPr>
      </w:pPr>
      <w:r>
        <w:rPr>
          <w:rFonts w:ascii="Times New Roman" w:hAnsi="Times New Roman"/>
          <w:sz w:val="20"/>
        </w:rPr>
        <w:t xml:space="preserve">During the three and six months ended June 30, 2026 and 2025, no milestones were achieved, and no revenue was recorded.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 Net of Tax Credits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shows our research and development expenses by type of activity for the periods indicated: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93"/>
        <w:gridCol w:w="346"/>
        <w:gridCol w:w="196"/>
        <w:gridCol w:w="511"/>
        <w:gridCol w:w="346"/>
        <w:gridCol w:w="196"/>
        <w:gridCol w:w="511"/>
        <w:gridCol w:w="109"/>
        <w:gridCol w:w="260"/>
        <w:gridCol w:w="581"/>
        <w:gridCol w:w="346"/>
        <w:gridCol w:w="931"/>
        <w:gridCol w:w="346"/>
        <w:gridCol w:w="196"/>
        <w:gridCol w:w="511"/>
        <w:gridCol w:w="346"/>
        <w:gridCol w:w="196"/>
        <w:gridCol w:w="511"/>
        <w:gridCol w:w="109"/>
        <w:gridCol w:w="214"/>
        <w:gridCol w:w="627"/>
        <w:gridCol w:w="346"/>
        <w:gridCol w:w="977"/>
      </w:tblGrid>
      <w:tr>
        <w:trPr/>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48055" cy="175260"/>
                      <wp:effectExtent l="0" t="0" r="0" b="0"/>
                      <wp:wrapNone/>
                      <wp:docPr id="237" name="Frame237"/>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4460" cy="175260"/>
                      <wp:effectExtent l="0" t="0" r="0" b="0"/>
                      <wp:wrapNone/>
                      <wp:docPr id="239" name="Frame2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24485" cy="175260"/>
                      <wp:effectExtent l="0" t="0" r="0" b="0"/>
                      <wp:wrapNone/>
                      <wp:docPr id="240" name="Frame24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42"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24485" cy="175260"/>
                      <wp:effectExtent l="0" t="0" r="0" b="0"/>
                      <wp:wrapNone/>
                      <wp:docPr id="243" name="Frame2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5100" cy="175260"/>
                      <wp:effectExtent l="0" t="0" r="0" b="0"/>
                      <wp:wrapNone/>
                      <wp:docPr id="245" name="Frame24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8935" cy="175260"/>
                      <wp:effectExtent l="0" t="0" r="0" b="0"/>
                      <wp:wrapNone/>
                      <wp:docPr id="246" name="Frame24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8" name="Frame2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4485" cy="175260"/>
                      <wp:effectExtent l="0" t="0" r="0" b="0"/>
                      <wp:wrapNone/>
                      <wp:docPr id="251" name="Frame2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324485" cy="175260"/>
                      <wp:effectExtent l="0" t="0" r="0" b="0"/>
                      <wp:wrapNone/>
                      <wp:docPr id="254" name="Frame25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5890" cy="175260"/>
                      <wp:effectExtent l="0" t="0" r="0" b="0"/>
                      <wp:wrapNone/>
                      <wp:docPr id="256" name="Frame25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98145" cy="175260"/>
                      <wp:effectExtent l="0" t="0" r="0" b="0"/>
                      <wp:wrapNone/>
                      <wp:docPr id="257" name="Frame257"/>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20395" cy="175260"/>
                      <wp:effectExtent l="0" t="0" r="0" b="0"/>
                      <wp:wrapNone/>
                      <wp:docPr id="259" name="Frame259"/>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60" w:type="dxa"/>
            <w:gridSpan w:val="5"/>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center"/>
              <w:rPr/>
            </w:pPr>
            <w:r>
              <w:rPr/>
              <w:t>​</w:t>
            </w:r>
          </w:p>
        </w:tc>
        <w:tc>
          <w:tcPr>
            <w:tcW w:w="5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760" w:type="dxa"/>
            <w:gridSpan w:val="5"/>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4" w:type="dxa"/>
            <w:tcBorders/>
            <w:vAlign w:val="center"/>
          </w:tcPr>
          <w:p>
            <w:pPr>
              <w:pStyle w:val="TableContents"/>
              <w:bidi w:val="0"/>
              <w:spacing w:before="0" w:after="0"/>
              <w:ind w:left="0" w:right="0" w:hanging="0"/>
              <w:jc w:val="center"/>
              <w:rPr/>
            </w:pPr>
            <w:r>
              <w:rPr/>
              <w:t>​</w:t>
            </w:r>
          </w:p>
        </w:tc>
        <w:tc>
          <w:tcPr>
            <w:tcW w:w="62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7" w:type="dxa"/>
            <w:tcBorders/>
            <w:vAlign w:val="center"/>
          </w:tcPr>
          <w:p>
            <w:pPr>
              <w:pStyle w:val="TableContents"/>
              <w:bidi w:val="0"/>
              <w:spacing w:before="0" w:after="0"/>
              <w:ind w:left="0" w:right="0" w:hanging="0"/>
              <w:jc w:val="center"/>
              <w:rPr/>
            </w:pPr>
            <w:r>
              <w:rPr/>
              <w:t>​</w:t>
            </w:r>
          </w:p>
        </w:tc>
      </w:tr>
      <w:tr>
        <w:trPr/>
        <w:tc>
          <w:tcPr>
            <w:tcW w:w="14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98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403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14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0"/>
              <w:ind w:left="0" w:right="0" w:hanging="0"/>
              <w:jc w:val="center"/>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346" w:type="dxa"/>
            <w:tcBorders/>
            <w:vAlign w:val="center"/>
          </w:tcPr>
          <w:p>
            <w:pPr>
              <w:pStyle w:val="TableContents"/>
              <w:bidi w:val="0"/>
              <w:spacing w:before="0" w:after="0"/>
              <w:ind w:left="0" w:right="0" w:hanging="0"/>
              <w:jc w:val="left"/>
              <w:rPr/>
            </w:pPr>
            <w:r>
              <w:rPr/>
              <w:t>  ​ ​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Change</w:t>
            </w:r>
          </w:p>
        </w:tc>
      </w:tr>
      <w:tr>
        <w:trPr/>
        <w:tc>
          <w:tcPr>
            <w:tcW w:w="14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Clinical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1,425</w:t>
            </w:r>
          </w:p>
        </w:tc>
        <w:tc>
          <w:tcPr>
            <w:tcW w:w="109" w:type="dxa"/>
            <w:tcBorders/>
            <w:shd w:fill="CCEEFF" w:val="cle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3,174</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r>
      <w:tr>
        <w:trPr/>
        <w:tc>
          <w:tcPr>
            <w:tcW w:w="14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Drug manufacturing and formulation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w:t>
            </w:r>
          </w:p>
        </w:tc>
        <w:tc>
          <w:tcPr>
            <w:tcW w:w="109" w:type="dxa"/>
            <w:tcBorders/>
            <w:vAlign w:val="center"/>
          </w:tcPr>
          <w:p>
            <w:pPr>
              <w:pStyle w:val="TableContents"/>
              <w:bidi w:val="0"/>
              <w:spacing w:before="0" w:after="0"/>
              <w:ind w:left="0" w:right="0" w:hanging="0"/>
              <w:jc w:val="right"/>
              <w:rPr/>
            </w:pPr>
            <w:r>
              <w:rPr/>
              <w:t>​</w:t>
            </w:r>
          </w:p>
        </w:tc>
        <w:tc>
          <w:tcPr>
            <w:tcW w:w="260" w:type="dxa"/>
            <w:tcBorders/>
            <w:vAlign w:val="center"/>
          </w:tcPr>
          <w:p>
            <w:pPr>
              <w:pStyle w:val="TableContents"/>
              <w:bidi w:val="0"/>
              <w:spacing w:before="0" w:after="0"/>
              <w:ind w:left="0" w:right="0" w:hanging="0"/>
              <w:jc w:val="left"/>
              <w:rPr/>
            </w:pPr>
            <w:r>
              <w:rPr/>
              <w:t> </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3,292</w:t>
            </w:r>
          </w:p>
        </w:tc>
        <w:tc>
          <w:tcPr>
            <w:tcW w:w="109"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(2,007)</w:t>
            </w:r>
          </w:p>
        </w:tc>
        <w:tc>
          <w:tcPr>
            <w:tcW w:w="346" w:type="dxa"/>
            <w:tcBorders/>
            <w:vAlign w:val="center"/>
          </w:tcPr>
          <w:p>
            <w:pPr>
              <w:pStyle w:val="TableContents"/>
              <w:bidi w:val="0"/>
              <w:spacing w:before="0" w:after="0"/>
              <w:ind w:left="0" w:right="0" w:hanging="0"/>
              <w:jc w:val="left"/>
              <w:rPr/>
            </w:pPr>
            <w:r>
              <w:rPr/>
              <w:t> </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w:t>
            </w:r>
          </w:p>
        </w:tc>
      </w:tr>
      <w:tr>
        <w:trPr/>
        <w:tc>
          <w:tcPr>
            <w:tcW w:w="14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Regulatory and other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w:t>
            </w:r>
          </w:p>
        </w:tc>
        <w:tc>
          <w:tcPr>
            <w:tcW w:w="109" w:type="dxa"/>
            <w:tcBorders/>
            <w:shd w:fill="CCEEFF" w:val="cle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2,359</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6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149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R&amp;D tax credits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vAlign w:val="center"/>
          </w:tcPr>
          <w:p>
            <w:pPr>
              <w:pStyle w:val="TableContents"/>
              <w:bidi w:val="0"/>
              <w:spacing w:before="0" w:after="0"/>
              <w:ind w:left="0" w:right="0" w:hanging="0"/>
              <w:jc w:val="righ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vAlign w:val="center"/>
          </w:tcPr>
          <w:p>
            <w:pPr>
              <w:pStyle w:val="TableContents"/>
              <w:bidi w:val="0"/>
              <w:spacing w:before="0" w:after="0"/>
              <w:ind w:left="0" w:right="0" w:hanging="0"/>
              <w:jc w:val="righ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149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R&amp;D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3,669</w:t>
            </w:r>
          </w:p>
        </w:tc>
        <w:tc>
          <w:tcPr>
            <w:tcW w:w="109" w:type="dxa"/>
            <w:tcBorders/>
            <w:shd w:fill="CCEEFF" w:val="clear"/>
            <w:vAlign w:val="center"/>
          </w:tcPr>
          <w:p>
            <w:pPr>
              <w:pStyle w:val="TableContents"/>
              <w:bidi w:val="0"/>
              <w:spacing w:before="0" w:after="0"/>
              <w:ind w:left="0" w:right="0" w:hanging="0"/>
              <w:jc w:val="righ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8,647</w:t>
            </w:r>
          </w:p>
        </w:tc>
        <w:tc>
          <w:tcPr>
            <w:tcW w:w="109" w:type="dxa"/>
            <w:tcBorders/>
            <w:shd w:fill="CCEEFF" w:val="clear"/>
            <w:vAlign w:val="center"/>
          </w:tcPr>
          <w:p>
            <w:pPr>
              <w:pStyle w:val="TableContents"/>
              <w:bidi w:val="0"/>
              <w:spacing w:before="0" w:after="0"/>
              <w:ind w:left="0" w:right="0" w:hanging="0"/>
              <w:jc w:val="righ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(1,887)</w:t>
            </w:r>
          </w:p>
        </w:tc>
        <w:tc>
          <w:tcPr>
            <w:tcW w:w="346" w:type="dxa"/>
            <w:tcBorders/>
            <w:shd w:fill="CCEEFF" w:val="clear"/>
            <w:vAlign w:val="center"/>
          </w:tcPr>
          <w:p>
            <w:pPr>
              <w:pStyle w:val="TableContents"/>
              <w:bidi w:val="0"/>
              <w:spacing w:before="0" w:after="0"/>
              <w:ind w:left="0" w:right="0" w:hanging="0"/>
              <w:jc w:val="left"/>
              <w:rPr/>
            </w:pPr>
            <w:r>
              <w:rPr/>
              <w:t> </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expenses, net of tax credits remained consistent for the three months ended June 30, 2026, compared to the three months ended June 30, 2025.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net of tax credits, decreased by $1.9 million, or 21.8%, for the six months ended June 30, 2026, compared to the six months ended June 30, 2025, primarily due to a decrease in outside service costs related to drug development and research.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recognize the benefit of Canadian research and development tax credits as a reduction of research and development costs for fully refundable investment tax credits.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by $13.8 million, or 155.6%, for the three months ended June 30, 2026, compared to the three months ended June 30, 2025, as a result of additional personnel costs, professional costs, and other operational expenses related to the launch of CARDAMYST.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by $18.9 million, or 77.3%, for the six months ended June 30, 2026, compared to the six months ended June 30, 2025, primarily due to additional personnel costs, professional costs, and other operational expenses related to the launch of CARDAMYST.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 was $1.7 million and $0.5 million for the three months ended June 30, 2026 and 2025, respectively. Interest income was $3.5 million and $1.2 million for the six months ended June 30, 2026 and 2025, respectively. The increase in interest income was primarily due to higher average cash, cash equivalents, and short-term investment balances during the three and six months ended June 30, 2026 compared to the same period in 2025, driven by proceeds from the 2025 Offering (as defined below) and the Royalty Purchase Agreement (as defined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expense increased by $3.8 million and $7.0 million for the three and six months ended June 30, 2026 compared to the same period in 2025, primarily a result of interest expense recognized on the royalty financing obligation during the three and six months ended June 30, 2026 (see Note 11, “Royalty Financing Obligation,” in the accompanying notes to our interim condensed consolidated financial statements).</w:t>
      </w:r>
      <w:r>
        <w:rPr>
          <w:rFonts w:ascii="Times New Roman;Times;serif" w:hAnsi="Times New Roman;Times;serif"/>
          <w:sz w:val="20"/>
          <w:shd w:fill="FFFF00" w:val="clear"/>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incurred operating losses and experienced negative operating cash flows since our inception, and we anticipate continuing to incur losses for the foreseeable future. As of June 30, 2026, we had cash, cash equivalents, and short-term investments of $170.6 million and an accumulated deficit of $485.3 million.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O</w:t>
      </w:r>
      <w:r>
        <w:rPr>
          <w:rFonts w:ascii="Times New Roman;Times;serif" w:hAnsi="Times New Roman;Times;serif"/>
          <w:sz w:val="20"/>
        </w:rPr>
        <w:t xml:space="preserve">n July 11, 2025, we entered into an underwriting agreement, or the “Underwriting Agreement,” related to an underwritten public offering, or the “2025 Offering,” of (i) 31,500,000 of our common shares,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or the “2025 Pre-Funded Warrants” and, together with the Series A Common Warrants and the Series B Common Warrants, the “Warrants,” to purchase 3,502,335 common shares,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Common Shares and accompanying Common Warrants less the $0.001 per share exercise price for each such Pre-Funded Warrant.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net proceeds from the 2025 Offering were $48.6 million after deducting underwriting commissions and other offering expenses payable by us, in the amount of $3.9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three-month period ended June 30, 2026, 6,678,642 Series A Common Warrants were exercised for net proceeds of $9.4 million, after deducting underwriting commissions paid by us of $0.6 million. During the six-month period ended June 30, 2026, 12,345,308 Series A Common Warrants were exercised for net proceeds of $17.4 million, after deducting underwriting commissions paid by us of $1.1 million.  </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July 29, 2020, we entered into an Open Market Sale Agreement</w:t>
      </w:r>
      <w:r>
        <w:rPr>
          <w:rFonts w:ascii="Times New Roman;Times;serif" w:hAnsi="Times New Roman;Times;serif"/>
          <w:sz w:val="15"/>
        </w:rPr>
        <w:t>SM</w:t>
      </w:r>
      <w:r>
        <w:rPr>
          <w:rFonts w:ascii="Times New Roman;Times;serif" w:hAnsi="Times New Roman;Times;serif"/>
          <w:sz w:val="20"/>
        </w:rPr>
        <w:t>, or the “Original Sale Agreement,” with respect to an at-the-market offering program, or the “Original ATM Program,” under which we could issue and sell our common shares having an aggregate offering price of up to $50.0 million through Jefferies LLC, or “Jefferies,” as sales agent or principal. On March 18, 2025, we entered into an Amended and Restated Open Market Sale Agreement</w:t>
      </w:r>
      <w:r>
        <w:rPr>
          <w:rFonts w:ascii="Times New Roman;Times;serif" w:hAnsi="Times New Roman;Times;serif"/>
          <w:sz w:val="15"/>
        </w:rPr>
        <w:t>SM</w:t>
      </w:r>
      <w:r>
        <w:rPr>
          <w:rFonts w:ascii="Times New Roman;Times;serif" w:hAnsi="Times New Roman;Times;serif"/>
          <w:sz w:val="20"/>
        </w:rPr>
        <w:t>, or the “Amended Agreement,” with Jefferies. The Amended Agreement amends and restates, in its entirety, the Original Sale Agreement. Under the Amended Agreement, we were able to sell our common shares, no par value per share, for an aggregate offering price of up to $77.8 million (which includes the $2.8 million of sales previously made pursuant to the Original Sale Agreement through the date the Amended Agreement was entered into), or the “ATM Shares.” The ATM Shares will be sold pursuant to our shelf registration statement on Form S-3 (File No. 333-283162). We previously issued 361,236 common shares under the Original Sale Agreement, resulting in net proceeds of approximately $2.6 million (net of issuance costs of approximately $0.1 million). We issued 5,526,590 shares under the amended agreement resulting in net proceeds of $10.9 million, after deducting sales agent commissions payable by us of $0.3 million during the first quarter of 2026. On March 6, 2026, we terminated the Amended Agreement.</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On May 13, 2026,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"Sales Agreement," with Cantor Fitzgerald &amp; Co., as sales agent, or the "Sales Agent," pursuant to which we may, from time to time, sell common shares, without par value per share, through the Sales Agent. We are not obligated to, and cannot provide any assurances that we will make any sales of our shares under the Sales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delivery of a placement notice and subject to the terms and conditions of the Sales Agreement, the Sales Agent may sell the shares by methods deemed to be an "at-the-market" offering as defined in Rule 415(a)(4) promulgated under the Securities Act. Subject to the terms and conditions of the Sales Agreement, the Sales Agent will use commercially reasonable efforts consistent with its normal trading and sales practices to sell the shares from time to time, based upon our instructions. The Sales Agreement contains customary representations, warranties and agreements, indemnification rights and obligations of the parties. We will pay the Sales Agent a commission for its services as Sales Agent of 3.0% of the aggregate gross proceeds from each sale of the common shares sold through the Sales Agent pursuant to the Sales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our current operating plan, we expect our existing cash and cash equivalents and short-term investments to be sufficient to fund our operations for at least the next 12 months from the date of issuance of this Form 10-Q for the quarter ending June 30, 2026. We believe there are currently no events or conditions that may cast substantial doubt on our ability to continue as a going concern for at least the next 12 months from the date of this filing.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Royalty Purchase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27, 2023, we entered into a purchase and sale agreement, or the “Royalty Purchase Agreement,” with RTW Royalty I DAC, an affiliate of RTW, pursuant to which RTW agreed to purchase, following FDA approval of etripamil for the treatment of PSVT (subject to certain conditions), at a purchase price of $75.0 million, the right to receive tiered quarterly royalty payments, or the “royalty interest,” on net product sales of CARDAMYST (etripamil) in the United States.</w:t>
      </w:r>
    </w:p>
    <w:p>
      <w:pPr>
        <w:pStyle w:val="TextBody"/>
        <w:bidi w:val="0"/>
        <w:spacing w:before="0" w:after="0"/>
        <w:ind w:left="0" w:right="0" w:hanging="0"/>
        <w:jc w:val="both"/>
        <w:rPr/>
      </w:pPr>
      <w:r>
        <w:rPr/>
        <w:t>​</w:t>
      </w:r>
    </w:p>
    <w:p>
      <w:pPr>
        <w:pStyle w:val="TextBody"/>
        <w:bidi w:val="0"/>
        <w:spacing w:before="10" w:after="0"/>
        <w:ind w:left="0" w:right="0" w:hanging="0"/>
        <w:jc w:val="both"/>
        <w:rPr>
          <w:rFonts w:ascii="Times New Roman;Times;serif" w:hAnsi="Times New Roman;Times;serif"/>
          <w:sz w:val="20"/>
        </w:rPr>
      </w:pPr>
      <w:r>
        <w:rPr>
          <w:rFonts w:ascii="Times New Roman;Times;serif" w:hAnsi="Times New Roman;Times;serif"/>
          <w:sz w:val="20"/>
        </w:rPr>
        <w:t xml:space="preserve">On January 12, 2026, the Company closed the sale of the royalty interest under the Royalty Purchase Agreement and received cash of $75.0 million from RTW in exchange for future royalty payments (see Note 11, “Royalty Financing Obligation” in the accompanying notes to our interim condensed consolidated financial statements).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that we will use our cash and cash equivalents primarily to fund commercialization and research and development expenditures. We expect our expenses to increase as we continue the development of etripamil and invest in the infrastructure, personnel, and operational expenses required to continue commercialization of CARDAMYST in the United States. We expect to incur increasing operating losses for the foreseeable future as we continue the clinical development of subsequent etripamil indications or any future product candidates. At this time, due to the inherently unpredictable nature of clinical development, we cannot reasonably estimate the costs we will incur and the timelines that will be required to complete development, obtain marketing approval, and commercialize subsequent etripamil indications or any future product candidates, if at all. For the same reasons, we are also unable to predict when, if ever, we may achieve profitability generated from product sales. Clinical and preclinical development timelines, the probability of success, and development costs can differ materially from expectations.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we have exclusive development and commercialization rights for etripamil for all indications that we may pursue, and as such, have the potential to license development and or commercialization rights for etripamil to a potential partner in regions outside of Greater China. We have established commercialization and marketing capabilities using a direct sales force to continue to commercialize CARDAMYST in the United States. Outside of the United States, we are considering commercialization strategies that may include collaborations with other companies.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other new product candidates, our efforts are focused on licensing development and/or commercialization rights from potential partners. In the case of either in-licensing or out-licensing, we cannot forecast when such arrangements will be secured, if at all, and to what degree such arrangements would affect our development and commercialization plans and capital requirements.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and amount of our operating expenditures will depend largely 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our ongoing and planned clinical trials and other development activities of etripamil in AFib-RVR and in other cardiovascular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preclinical development, laboratory testing, and clinical trials of etripamil for additional indications or any future product candidates that we may pursue;</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additional collaborations on favorable terms, if at all;</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vendors and third-party service providers to accurately forecast expenses and deliver on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subsequent etripamil indications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CARDAMYST commercialization activities, including product manufacturing, marketing, sales, and distribution for CARDAMYST and any future product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preparing, filing and prosecuting patent applications, maintaining and enforcing our intellectual property rights and defending any intellectual property-related claims; and</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shareholders. The incurrence of debt financing would result in debt service obligations and the instruments governing such debt could provide for operating and financing covenants that restrict our operations or our ability to incur additional indebtedness or pay dividends, among other items.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p>
      <w:pPr>
        <w:pStyle w:val="TextBody"/>
        <w:bidi w:val="0"/>
        <w:spacing w:before="0" w:after="0"/>
        <w:ind w:left="0" w:right="0" w:hanging="0"/>
        <w:jc w:val="both"/>
        <w:rPr/>
      </w:pPr>
      <w:r>
        <w:rPr/>
        <w:t>​</w:t>
      </w:r>
    </w:p>
    <w:tbl>
      <w:tblPr>
        <w:tblW w:w="8788" w:type="dxa"/>
        <w:jc w:val="left"/>
        <w:tblInd w:w="0" w:type="dxa"/>
        <w:tblLayout w:type="fixed"/>
        <w:tblCellMar>
          <w:top w:w="0" w:type="dxa"/>
          <w:left w:w="0" w:type="dxa"/>
          <w:bottom w:w="0" w:type="dxa"/>
          <w:right w:w="0" w:type="dxa"/>
        </w:tblCellMar>
      </w:tblPr>
      <w:tblGrid>
        <w:gridCol w:w="4291"/>
        <w:gridCol w:w="109"/>
        <w:gridCol w:w="196"/>
        <w:gridCol w:w="721"/>
        <w:gridCol w:w="346"/>
        <w:gridCol w:w="196"/>
        <w:gridCol w:w="721"/>
        <w:gridCol w:w="109"/>
        <w:gridCol w:w="196"/>
        <w:gridCol w:w="721"/>
        <w:gridCol w:w="146"/>
        <w:gridCol w:w="1036"/>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724785" cy="175260"/>
                      <wp:effectExtent l="0" t="0" r="0" b="0"/>
                      <wp:wrapNone/>
                      <wp:docPr id="260" name="Frame260"/>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62"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57835" cy="175260"/>
                      <wp:effectExtent l="0" t="0" r="0" b="0"/>
                      <wp:wrapNone/>
                      <wp:docPr id="263" name="Frame2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24460" cy="175260"/>
                      <wp:effectExtent l="0" t="0" r="0" b="0"/>
                      <wp:wrapNone/>
                      <wp:docPr id="265" name="Frame2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57835" cy="175260"/>
                      <wp:effectExtent l="0" t="0" r="0" b="0"/>
                      <wp:wrapNone/>
                      <wp:docPr id="266" name="Frame2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4460" cy="175260"/>
                      <wp:effectExtent l="0" t="0" r="0" b="0"/>
                      <wp:wrapNone/>
                      <wp:docPr id="268" name="Frame2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57835" cy="175260"/>
                      <wp:effectExtent l="0" t="0" r="0" b="0"/>
                      <wp:wrapNone/>
                      <wp:docPr id="269" name="Frame2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2710" cy="175260"/>
                      <wp:effectExtent l="0" t="0" r="0" b="0"/>
                      <wp:wrapNone/>
                      <wp:docPr id="270" name="Frame27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57860" cy="175260"/>
                      <wp:effectExtent l="0" t="0" r="0" b="0"/>
                      <wp:wrapNone/>
                      <wp:docPr id="271" name="Frame2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 thousands)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Change</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r>
              <w:rPr>
                <w:rFonts w:ascii="Times New Roman;Times;serif" w:hAnsi="Times New Roman;Times;serif"/>
                <w:b/>
                <w:sz w:val="18"/>
              </w:rPr>
              <w:t>% Change</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(12,249)</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43,527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(11,565)</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Financing activities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103,487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103,311</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58699.4%</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in cash and cash equivalents during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96,682</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79,497</w:t>
            </w:r>
          </w:p>
        </w:tc>
        <w:tc>
          <w:tcPr>
            <w:tcW w:w="1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240" w:after="24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six months ended June 30, 2026 was $38.8 million, which consisted primarily of a net loss of $54.7 million, offset by a net cash increase of $4.3 million related to the change in assets and liabilities, non-cash charges of $2.6 million related to share-based compensation, and non-cash interest charges and debt costs of $8.9 million related to the 2029 Convertible Notes and royalty financing obligation.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Net cash used in operating activities during the six months ended June 30, 2025 was $26.5 million, which consisted primarily of a net loss of $33.7 million, offset by a net cash increase of $2.7 million related to the change in assets and liabilities, non-cash charges of $2.7 million related to share-based compensation, and non-cash interest charges of $1.7 million related to the 2029 Convertible Notes.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the six months ended June 30, 2026, we acquired $80.0 million of short-term investments, and we redeemed $112.0 million in short-term investments.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the six months ended June 30, 2025, we acquired $0.9 million of short-term investments, and we redeemed $44.5 million in short-term investments.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six months ended June 30, 2026, our financing activities provided cash proceeds of $103.5 million. These proceeds were primarily a result of the $75.0 million received from the Royalty Purchase Agreement, $17.4 million, net of issuance costs, from the exercise of Series A Common Warrants under the 2025 Offering, and $10.9 million net of issuance costs, for shares sold under the Original ATM Program.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 the six months ended June 30, 2025, our financing activities provided cash proceeds of $0.2 million. These proceeds were primarily a result of common shares issued pursuant to our Employee Stock Purchase Plan and exercised options.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there were no material changes to our contractual obligations and commitments described under Management’s Discussion and Analysis of Financial Condition and Results of Operations in our Annual Report on Form 10-K, filed with the SEC on March 20, 2026.</w:t>
      </w:r>
    </w:p>
    <w:p>
      <w:pPr>
        <w:pStyle w:val="TextBody"/>
        <w:pBdr/>
        <w:bidi w:val="0"/>
        <w:spacing w:before="0" w:after="240"/>
        <w:ind w:left="0" w:right="0" w:hanging="36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unaudited interim condensed consolidated financial statements as of June 30, 2026, which have been prepared in accordance with United States generally accepted accounting principles, or “U.S. GAAP,” and on a basis consistent with those accounting principles followed by us. The preparation of these consolidated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Significant estimates and judgments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 of the percentage of work completed of the total work over the life of the individual trial in accordance with agreements established with contract research organizations, or “CROs,” contract manufacturing organizations, or “CMOs,” and clinical trial sites which in turn impact the research and development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 of the grant date fair value of share options granted to employees, consultants and directors, and the resulting share-based compensation expense, using the Black-Scholes option-pricing model.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 of the transaction price when recognizing revenue. Net revenue from sales of CARDAMYST is recorded at net selling price (transaction price), which includes reserves for variable consideration.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the timing and amount of future royalty payments to be generated from product sales over the expected repayment term, which are used to determine the effective interest rate and resulting interest expense and carrying amount of the royalty financing obligation. </w:t>
            </w:r>
          </w:p>
        </w:tc>
      </w:tr>
    </w:tbl>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Accordingly,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 Research and Development Expenses — Accruals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costs are charged against income in the period of expenditure. Our research and development costs consist primarily of salaries and fees paid to CROs and to CMOs for clinical trial expenses and manufacturing costs prior to FDA approval.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trial expenses include direct costs associated with CROs, direct CMO costs for the formulation and packaging of clinical trial material, as well as investigator and patient-related costs at sites at which our trials are being conducted. Direct costs associated with our CROs and CMOs are generally payable on a time-and-materials basis, or when milestones are achieved. The invoicing from clinical trial sites can lag several months. We record expenses for our clinical trial activities performed by third parties based upon estimates of the percentage of work completed of the total work over the life of the individual trial in accordance with agreements established with CROs and clinical trial sites. We determine the estimates through discussions with internal clinical personnel, CROs, and CMOs as to the progress or stage of completion of trials or services and the agreed-upon fee to be paid for such services based on facts and circumstances known to us as of each consolidated balance sheet date. The actual costs and timing of clinical trials are highly uncertain, subject to risks and may change depending upon a number of factors, including our clinical development plan. If the actual timing of the performance of services and of the level of effort varies from the estimate, we will adjust the accrual accordingly. Adjustments to prior period estimates have not been material. We recognize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 compensation costs related to share options granted to employees, consultants, and directors based on the estimated fair value of the awards on the date of grant. We estimate the grant date fair value, and the resulting share-based compensation expense, using the Black Scholes option pricing model. This Black Scholes option pricing model uses various inputs to measure fair value, including estimated fair value of our underlying common shares at the grant date, expected term, estimated volatility, risk-free interest rate, and expected dividend yields of our common shares. The estimated volatility creates a critical estimate because we have not been a public company long enough to demonstrate our own historical volatility. The grant date fair value of the share-based awards is recognized on a straight-line basis over the requisite service periods, which are generally the vesting period of the respective awards. Forfeitures are accounted for as they occur.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 Gross-to-net revenue adjustments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revenue from sales of CARDAMYST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estimated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 Royalty financing obligation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accounting for our royalty financing obligation involves significant judgment and estimates and is therefore considered a critical accounting estimate. The obligation is accounted for as debt and measured at amortized cost using the effective interest method. At inception, and in subsequent periods, the carrying value of the royalty financing obligation and the related interest expense depend on estimates of the timing and amount of future royalty payments expected to be generated from product sales over the life of the arrangement, as well as the expected repayment term. These estimates are used to determine the effective interest rate applied to accrete the obligation over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estimation of future royalty payments is inherently uncertain and requires management judgment regarding key assumptions, including expected future net product sales, the timing of commercial production, and the duration of the underlying patent subject to the royalty. Actual royalty payments may differ materially from management’s estimates due to changes in production levels, operational performance, or other factors beyond our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 the estimated amount or timing of future royalty payments result in a prospective adjustment to the effective interest rate and the pattern of interest expense recognized over the remaining term of the obligation. As a result, revisions to these estimates could have a material impact on future interest expense and the carrying value of the royalty financing obligation. We periodically review and update our estimates based on available information; however, actual results may differ materially from those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2, “Summary of Significant Accounting Policies,” in the accompanying notes to our interim condensed consolidated financial statements for a discussion of recent accounting pronouncements.</w:t>
      </w:r>
    </w:p>
    <w:p>
      <w:pPr>
        <w:pStyle w:val="TextBody"/>
        <w:bidi w:val="0"/>
        <w:spacing w:before="0" w:after="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38" w:name="_322c043b_3dfe_457e_abea_b4dc17da5e8a"/>
      <w:bookmarkStart w:id="1039" w:name="Item3QuantitativeandQualitativeDisclosur"/>
      <w:bookmarkEnd w:id="1038"/>
      <w:bookmarkEnd w:id="1039"/>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market risks in the ordinary course of our business. These risks primarily relate to interest rate risks. As of June 30, 2026, we had cash and cash equivalents of $169.7 million and short-term investments of $0.9 million. These cash and cash equivalents and short-term investments consist primarily of bank deposits, guaranteed investment certificates, and U.S. treasury bills.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or decrease in interest rates would have a material effect on the fair market value of our portfolio, and accordingly we do not expect our operating results or cash flows to be materially affected by a sudden change in market interest rates.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undertake certain transactions in Canadian dollars and as such are subject to risk due to fluctuations in exchange rates. Canadian dollar denominated payables are paid at the converted rate as due. We do not use derivative instruments or have a formal hedging program to hedge exposure to foreign exchange rate risk due to the low volume of transactions denominated in foreign currencies. On June 30, 2026, our net monetary exposure denominated in Canadian dollars was $2.2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results and financial position are reported in U.S. dollars in our consolidated financial statements. The fluctuation of the Canadian dollar in relation to the U.S. dollar might, consequently, have an impact upon our loss and may also affect the value of our assets and the amount of shareholders’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240"/>
        <w:ind w:left="0" w:right="0" w:hanging="360"/>
        <w:jc w:val="both"/>
        <w:rPr>
          <w:rFonts w:ascii="Times New Roman;Times;serif" w:hAnsi="Times New Roman;Times;serif"/>
          <w:b/>
          <w:sz w:val="20"/>
        </w:rPr>
      </w:pPr>
      <w:bookmarkStart w:id="1040" w:name="Item4ControlsandProcedures"/>
      <w:bookmarkStart w:id="1041" w:name="_5b742934_88f8_4936_810c_2fd09e7015c8"/>
      <w:bookmarkEnd w:id="1040"/>
      <w:bookmarkEnd w:id="1041"/>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June 30, 2026. Based upon the evaluation, our Chief Executive Officer and Chief Financial Officer concluded that, as of such date, our disclosure controls and procedures were effective at a reasonable assurance level.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bookmarkStart w:id="1042" w:name="Inherent_Limitations_on_Effectiveness_of"/>
      <w:bookmarkStart w:id="1043" w:name="Changes_in_Internal_Control_over_Financi"/>
      <w:bookmarkStart w:id="1044" w:name="_bookmark0"/>
      <w:bookmarkStart w:id="1045" w:name="_bookmark1"/>
      <w:bookmarkEnd w:id="1042"/>
      <w:bookmarkEnd w:id="1043"/>
      <w:bookmarkEnd w:id="1044"/>
      <w:bookmarkEnd w:id="1045"/>
      <w:r>
        <w:rPr>
          <w:rFonts w:ascii="Times New Roman;Times;serif" w:hAnsi="Times New Roman;Times;serif"/>
          <w:sz w:val="20"/>
        </w:rPr>
        <w:t xml:space="preserve">There were no changes in our internal control over financial reporting during the period covered by this Quarterly Report on Form 10-Q that have materially affected, or are reasonably likely to materially affect, our internal control over financial reporting.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Inherent Limitations on Effectiveness of Controls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120" w:after="240"/>
        <w:ind w:left="0" w:right="0" w:hanging="0"/>
        <w:jc w:val="both"/>
        <w:rPr>
          <w:rFonts w:ascii="Times New Roman;Times;serif" w:hAnsi="Times New Roman;Times;serif"/>
          <w:b/>
          <w:sz w:val="20"/>
        </w:rPr>
      </w:pPr>
      <w:bookmarkStart w:id="1046" w:name="PARTIIOTHERINFORMATION"/>
      <w:bookmarkStart w:id="1047" w:name="_c8516c0f_141b_4b1f_b526_2cc0d1c5f48e"/>
      <w:bookmarkEnd w:id="1046"/>
      <w:bookmarkEnd w:id="1047"/>
      <w:r>
        <w:rPr>
          <w:rFonts w:ascii="Times New Roman;Times;serif" w:hAnsi="Times New Roman;Times;serif"/>
          <w:b/>
          <w:sz w:val="20"/>
        </w:rPr>
        <w:t>PART II—OTHER INFORMATION</w:t>
      </w:r>
    </w:p>
    <w:p>
      <w:pPr>
        <w:pStyle w:val="TextBody"/>
        <w:pBdr/>
        <w:bidi w:val="0"/>
        <w:spacing w:before="0" w:after="240"/>
        <w:ind w:left="0" w:right="0" w:hanging="360"/>
        <w:jc w:val="both"/>
        <w:rPr>
          <w:rFonts w:ascii="Times New Roman;Times;serif" w:hAnsi="Times New Roman;Times;serif"/>
          <w:b/>
          <w:sz w:val="20"/>
        </w:rPr>
      </w:pPr>
      <w:bookmarkStart w:id="1048" w:name="Item1LegalProceedings"/>
      <w:bookmarkEnd w:id="1048"/>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240"/>
        <w:ind w:left="0" w:right="0" w:hanging="360"/>
        <w:jc w:val="both"/>
        <w:rPr>
          <w:rFonts w:ascii="Times New Roman;Times;serif" w:hAnsi="Times New Roman;Times;serif"/>
          <w:b/>
          <w:sz w:val="20"/>
        </w:rPr>
      </w:pPr>
      <w:bookmarkStart w:id="1049" w:name="Item1ARiskFactors"/>
      <w:bookmarkStart w:id="1050" w:name="_b2f7cddf_4b35_450b_adb7_50bad25103df"/>
      <w:bookmarkEnd w:id="1049"/>
      <w:bookmarkEnd w:id="1050"/>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333333"/>
          <w:sz w:val="20"/>
          <w:shd w:fill="FFFFFF" w:val="clear"/>
        </w:rPr>
        <w:t>There have been no material changes from the risk factors previously disclosed in Part I, Item 1A.</w:t>
      </w:r>
      <w:r>
        <w:rPr>
          <w:rFonts w:ascii="Times New Roman;Times;serif" w:hAnsi="Times New Roman;Times;serif"/>
          <w:sz w:val="20"/>
        </w:rPr>
        <w:t xml:space="preserve"> in our Annual Report on Form 10-K, filed with the SEC and under Milestone’s SEDAR+ profile at www.sedarplus.com on March 20, 2026.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51" w:name="Item2UnregisteredSalesofEquitySec"/>
      <w:bookmarkStart w:id="1052" w:name="_20593f84_900f_412e_99f3_40b41c32deae"/>
      <w:bookmarkEnd w:id="1051"/>
      <w:bookmarkEnd w:id="105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360"/>
        <w:jc w:val="both"/>
        <w:rPr>
          <w:rFonts w:ascii="Times New Roman;Times;serif" w:hAnsi="Times New Roman;Times;serif"/>
          <w:b/>
          <w:sz w:val="20"/>
        </w:rPr>
      </w:pPr>
      <w:bookmarkStart w:id="1053" w:name="_5b3421ce_4855_47c7_aaba_d06d578b0aa5"/>
      <w:bookmarkStart w:id="1054" w:name="Item3DefaultsUponSeniorSecurities"/>
      <w:bookmarkEnd w:id="1053"/>
      <w:bookmarkEnd w:id="1054"/>
      <w:r>
        <w:rPr>
          <w:rFonts w:ascii="Times New Roman;Times;serif" w:hAnsi="Times New Roman;Times;serif"/>
          <w:b/>
          <w:sz w:val="20"/>
        </w:rPr>
        <w:t>Item 3. Defaults Upon Senior Securities.</w:t>
      </w:r>
    </w:p>
    <w:p>
      <w:pPr>
        <w:pStyle w:val="TextBody"/>
        <w:pBdr/>
        <w:bidi w:val="0"/>
        <w:spacing w:before="0" w:after="0"/>
        <w:ind w:left="490" w:right="0" w:hanging="49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0"/>
        <w:ind w:left="490" w:right="0" w:hanging="49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55" w:name="_73bd6fa3_344a_4af3_b61b_ed3d7f75dbb6"/>
      <w:bookmarkStart w:id="1056" w:name="Item4MineSafetyDisclosures"/>
      <w:bookmarkEnd w:id="1055"/>
      <w:bookmarkEnd w:id="1056"/>
      <w:r>
        <w:rPr>
          <w:rFonts w:ascii="Times New Roman;Times;serif" w:hAnsi="Times New Roman;Times;serif"/>
          <w:b/>
          <w:sz w:val="20"/>
        </w:rPr>
        <w:t>Item 4. Mine Safety Disclosures.</w:t>
      </w:r>
    </w:p>
    <w:p>
      <w:pPr>
        <w:pStyle w:val="TextBody"/>
        <w:bidi w:val="0"/>
        <w:spacing w:before="0" w:after="0"/>
        <w:ind w:left="49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49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57" w:name="_89e2ce4f_729c_4373_b371_ca7730164cff"/>
      <w:bookmarkStart w:id="1058" w:name="Item5OtherInformation"/>
      <w:bookmarkEnd w:id="1057"/>
      <w:bookmarkEnd w:id="1058"/>
      <w:r>
        <w:rPr>
          <w:rFonts w:ascii="Times New Roman;Times;serif" w:hAnsi="Times New Roman;Times;serif"/>
          <w:b/>
          <w:sz w:val="20"/>
        </w:rPr>
        <w:t>Item 5. Other Information.</w:t>
      </w:r>
    </w:p>
    <w:p>
      <w:pPr>
        <w:pStyle w:val="TextBody"/>
        <w:bidi w:val="0"/>
        <w:spacing w:before="120" w:after="0"/>
        <w:ind w:left="0" w:right="0" w:hanging="0"/>
        <w:jc w:val="both"/>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18, 2026, Joseph Oliveto, our President and Chief Executive Officer, terminated a Rule 10b5-1 trading plan effective June 18, 2026. As of the termination of the Rule 10b5-1 trading plan, 80,000 shares of our common shares were sold under the plan. Prior to its termination, the plan had provided for the potential sale of up to 2,128,588 common shares. Transactions under Mr. Oliveto’s plan were based upon pre-established dates and stock price thresholds and only occurred upon the expiration of the applicable mandatory cooling-off period. Mr. Oliveto’s plan had a termination date of January 2, 2027, or the date all shares subject to the plan had been sold.</w:t>
      </w:r>
    </w:p>
    <w:p>
      <w:pPr>
        <w:pStyle w:val="TextBody"/>
        <w:bidi w:val="0"/>
        <w:spacing w:before="0" w:after="0"/>
        <w:ind w:left="0" w:right="0" w:hanging="0"/>
        <w:jc w:val="both"/>
        <w:rPr/>
      </w:pPr>
      <w:r>
        <w:rPr/>
        <w:t>​</w:t>
      </w:r>
    </w:p>
    <w:p>
      <w:pPr>
        <w:pStyle w:val="TextBody"/>
        <w:pBdr/>
        <w:bidi w:val="0"/>
        <w:spacing w:before="0" w:after="240"/>
        <w:ind w:left="0" w:right="0" w:hanging="360"/>
        <w:jc w:val="both"/>
        <w:rPr>
          <w:rFonts w:ascii="Times New Roman;Times;serif" w:hAnsi="Times New Roman;Times;serif"/>
          <w:b/>
          <w:sz w:val="20"/>
        </w:rPr>
      </w:pPr>
      <w:bookmarkStart w:id="1059" w:name="Item6Exhibits"/>
      <w:bookmarkStart w:id="1060" w:name="_5b6daa00_8803_497f_ab5a_7275a20f0a5e"/>
      <w:bookmarkEnd w:id="1059"/>
      <w:bookmarkEnd w:id="1060"/>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63"/>
        <w:gridCol w:w="346"/>
        <w:gridCol w:w="9096"/>
      </w:tblGrid>
      <w:tr>
        <w:trPr/>
        <w:tc>
          <w:tcPr>
            <w:tcW w:w="763"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both"/>
              <w:rPr/>
            </w:pPr>
            <w:r>
              <w:rPr/>
              <w:t>​</w:t>
            </w:r>
          </w:p>
        </w:tc>
        <w:tc>
          <w:tcPr>
            <w:tcW w:w="9096" w:type="dxa"/>
            <w:tcBorders/>
            <w:vAlign w:val="center"/>
          </w:tcPr>
          <w:p>
            <w:pPr>
              <w:pStyle w:val="TableContents"/>
              <w:bidi w:val="0"/>
              <w:spacing w:before="0" w:after="0"/>
              <w:ind w:left="0" w:right="0" w:hanging="0"/>
              <w:jc w:val="both"/>
              <w:rPr/>
            </w:pPr>
            <w:r>
              <w:rPr/>
              <w:t>​</w:t>
            </w:r>
          </w:p>
        </w:tc>
      </w:tr>
      <w:tr>
        <w:trPr/>
        <w:tc>
          <w:tcPr>
            <w:tcW w:w="7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both"/>
              <w:rPr/>
            </w:pPr>
            <w:r>
              <w:rPr/>
              <w:t>  ​ ​ ​</w:t>
            </w:r>
          </w:p>
        </w:tc>
        <w:tc>
          <w:tcPr>
            <w:tcW w:w="909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r>
      <w:tr>
        <w:trPr/>
        <w:tc>
          <w:tcPr>
            <w:tcW w:w="763" w:type="dxa"/>
            <w:tcBorders>
              <w:top w:val="single" w:sz="2" w:space="0" w:color="000000"/>
              <w:bottom w:val="single" w:sz="2" w:space="0" w:color="000000"/>
            </w:tcBorders>
            <w:tcMar>
              <w:top w:w="28" w:type="dxa"/>
              <w:bottom w:w="28" w:type="dxa"/>
            </w:tcMar>
            <w:vAlign w:val="center"/>
          </w:tcPr>
          <w:p>
            <w:pPr>
              <w:pStyle w:val="TableContents"/>
              <w:bidi w:val="0"/>
              <w:spacing w:before="0" w:after="60"/>
              <w:ind w:left="0" w:right="0" w:hanging="0"/>
              <w:jc w:val="both"/>
              <w:rPr/>
            </w:pPr>
            <w:r>
              <w:rPr/>
              <w:t>​</w:t>
            </w:r>
          </w:p>
        </w:tc>
        <w:tc>
          <w:tcPr>
            <w:tcW w:w="346" w:type="dxa"/>
            <w:tcBorders>
              <w:bottom w:val="single" w:sz="2" w:space="0" w:color="000000"/>
            </w:tcBorders>
            <w:tcMar>
              <w:bottom w:w="28" w:type="dxa"/>
            </w:tcMar>
            <w:vAlign w:val="center"/>
          </w:tcPr>
          <w:p>
            <w:pPr>
              <w:pStyle w:val="TableContents"/>
              <w:bidi w:val="0"/>
              <w:spacing w:before="0" w:after="60"/>
              <w:ind w:left="0" w:right="0" w:hanging="0"/>
              <w:jc w:val="both"/>
              <w:rPr/>
            </w:pPr>
            <w:r>
              <w:rPr/>
              <w:t>​</w:t>
            </w:r>
          </w:p>
        </w:tc>
        <w:tc>
          <w:tcPr>
            <w:tcW w:w="9096" w:type="dxa"/>
            <w:tcBorders>
              <w:top w:val="single" w:sz="2" w:space="0" w:color="000000"/>
              <w:bottom w:val="single" w:sz="2" w:space="0" w:color="000000"/>
            </w:tcBorders>
            <w:tcMar>
              <w:top w:w="28" w:type="dxa"/>
              <w:bottom w:w="28" w:type="dxa"/>
            </w:tcMar>
            <w:vAlign w:val="center"/>
          </w:tcPr>
          <w:p>
            <w:pPr>
              <w:pStyle w:val="TableContents"/>
              <w:bidi w:val="0"/>
              <w:spacing w:before="0" w:after="60"/>
              <w:ind w:left="0" w:right="0" w:hanging="0"/>
              <w:jc w:val="both"/>
              <w:rPr/>
            </w:pPr>
            <w:r>
              <w:rPr/>
              <w: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Articles of Incorporation of the Company (incorporated herein by reference to Exhibit 3.1 to the Company’s Current Report on Form 8-K (File No. 001-38899), filed with the SEC on May 15, 2019).</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Bylaws of the Company (incorporated herein by reference to Exhibit 3.2 to the Company’s Current Report on Form 8-K (File No. 001-38899), filed with the SEC on May 15, 2019).</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40" w:before="0" w:after="0"/>
              <w:ind w:left="0" w:right="0" w:hanging="0"/>
              <w:jc w:val="both"/>
              <w:rPr/>
            </w:pPr>
            <w:hyperlink r:id="rId4">
              <w:r>
                <w:rPr>
                  <w:rStyle w:val="InternetLink"/>
                  <w:rFonts w:ascii="Times New Roman;Times;serif" w:hAnsi="Times New Roman;Times;serif"/>
                  <w:b w:val="false"/>
                  <w:i w:val="false"/>
                  <w:caps w:val="false"/>
                  <w:smallCaps w:val="false"/>
                  <w:sz w:val="20"/>
                </w:rPr>
                <w:t>Controlled Equity Offering</w:t>
              </w:r>
            </w:hyperlink>
            <w:hyperlink r:id="rId5">
              <w:r>
                <w:rPr>
                  <w:rStyle w:val="InternetLink"/>
                  <w:rFonts w:ascii="Times New Roman;Times;serif" w:hAnsi="Times New Roman;Times;serif"/>
                  <w:b w:val="false"/>
                  <w:i w:val="false"/>
                  <w:caps w:val="false"/>
                  <w:smallCaps w:val="false"/>
                  <w:sz w:val="15"/>
                </w:rPr>
                <w:t xml:space="preserve">SM </w:t>
              </w:r>
            </w:hyperlink>
            <w:hyperlink r:id="rId6">
              <w:r>
                <w:rPr>
                  <w:rStyle w:val="InternetLink"/>
                  <w:rFonts w:ascii="Times New Roman;Times;serif" w:hAnsi="Times New Roman;Times;serif"/>
                  <w:b w:val="false"/>
                  <w:i w:val="false"/>
                  <w:caps w:val="false"/>
                  <w:smallCaps w:val="false"/>
                  <w:sz w:val="20"/>
                </w:rPr>
                <w:t>Sales Agreement dated May 13, 2026, by and between the Company and Cantor Fitzgerald &amp; Co. (incorporated herein by reference to Exhibit 10.3 to the Company’s Quarterly Report on Form 10-Q (File No. 001-38899), filed with the SEC on May 13, 2026).</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Milestone Pharmaceuticals Inc. 2019 Equity Incentive Plan, as Amended (incorporated herein by reference to Exhibit 10.1 to the Company’s Current Report on Form 8-K (File No. 001-38899), filed with the SEC on June 15, 2026).</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hyperlink w:anchor="mist-20260630xex10d3.htm">
              <w:r>
                <w:rPr>
                  <w:rStyle w:val="InternetLink"/>
                  <w:rFonts w:ascii="Times New Roman;Times;serif" w:hAnsi="Times New Roman;Times;serif"/>
                  <w:b w:val="false"/>
                  <w:i w:val="false"/>
                  <w:caps w:val="false"/>
                  <w:smallCaps w:val="false"/>
                  <w:sz w:val="20"/>
                </w:rPr>
                <w:t>Second Amendment to Note Purchase Agreement, dated as of January 12, 2026.</w:t>
              </w:r>
            </w:hyperlink>
            <w:r>
              <w:rPr>
                <w:rFonts w:ascii="Times New Roman;Times;serif" w:hAnsi="Times New Roman;Times;serif"/>
                <w:sz w:val="20"/>
              </w:rPr>
              <w:t xml:space="preserve"> </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both"/>
              <w:rPr/>
            </w:pPr>
            <w:hyperlink w:anchor="mist-20260630xex10d4.htm">
              <w:r>
                <w:rPr>
                  <w:rStyle w:val="InternetLink"/>
                  <w:rFonts w:ascii="Times New Roman;Times;serif" w:hAnsi="Times New Roman;Times;serif"/>
                  <w:b w:val="false"/>
                  <w:i w:val="false"/>
                  <w:caps w:val="false"/>
                  <w:smallCaps w:val="false"/>
                  <w:sz w:val="20"/>
                </w:rPr>
                <w:t>Third Amendment to Note Purchase Agreement, dated as of June 29, 2026.</w:t>
              </w:r>
            </w:hyperlink>
            <w:r>
              <w:rPr>
                <w:rFonts w:ascii="Times New Roman;Times;serif" w:hAnsi="Times New Roman;Times;serif"/>
                <w:sz w:val="20"/>
              </w:rPr>
              <w:t xml:space="preserve"> </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31.1</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hyperlink w:anchor="mist-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31.2</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hyperlink w:anchor="mist-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32.1*</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hyperlink w:anchor="mist-20260630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101.INS</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101.SCH</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101.CAL</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101.DEF</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101.LAB</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101.PRE</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rPr>
            </w:pPr>
            <w:r>
              <w:rPr>
                <w:rFonts w:ascii="Times New Roman;Times;serif" w:hAnsi="Times New Roman;Times;serif"/>
                <w:sz w:val="20"/>
              </w:rPr>
              <w:t>104</w:t>
            </w:r>
          </w:p>
        </w:tc>
        <w:tc>
          <w:tcPr>
            <w:tcW w:w="3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pPr>
            <w:r>
              <w:rPr/>
              <w:t>​</w:t>
            </w:r>
          </w:p>
        </w:tc>
        <w:tc>
          <w:tcPr>
            <w:tcW w:w="90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cover page from the Company’s Quarterly Report on Form 10-Q for the quarter ended June 30, 2026, formatted in Inline XBRL.</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0"/>
        <w:ind w:left="0" w:right="0" w:hanging="490"/>
        <w:jc w:val="both"/>
        <w:rPr>
          <w:rFonts w:ascii="Times New Roman;Times;serif" w:hAnsi="Times New Roman;Times;serif"/>
          <w:sz w:val="20"/>
        </w:rPr>
      </w:pPr>
      <w:r>
        <w:rPr>
          <w:rFonts w:ascii="Times New Roman;Times;serif" w:hAnsi="Times New Roman;Times;serif"/>
          <w:sz w:val="20"/>
        </w:rPr>
        <w:t>*        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pStyle w:val="TextBody"/>
        <w:pBdr/>
        <w:bidi w:val="0"/>
        <w:spacing w:before="0" w:after="0"/>
        <w:ind w:left="0" w:right="0" w:hanging="490"/>
        <w:jc w:val="both"/>
        <w:rPr/>
      </w:pPr>
      <w:r>
        <w:rPr/>
        <w:t>​</w:t>
      </w:r>
    </w:p>
    <w:tbl>
      <w:tblPr>
        <w:tblW w:w="4877" w:type="dxa"/>
        <w:jc w:val="left"/>
        <w:tblInd w:w="0" w:type="dxa"/>
        <w:tblLayout w:type="fixed"/>
        <w:tblCellMar>
          <w:top w:w="0" w:type="dxa"/>
          <w:left w:w="0" w:type="dxa"/>
          <w:bottom w:w="0" w:type="dxa"/>
          <w:right w:w="0" w:type="dxa"/>
        </w:tblCellMar>
      </w:tblPr>
      <w:tblGrid>
        <w:gridCol w:w="226"/>
        <w:gridCol w:w="4651"/>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465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Indicates a management contract or compensatory plan.</w:t>
            </w:r>
          </w:p>
        </w:tc>
      </w:tr>
    </w:tbl>
    <w:p>
      <w:pPr>
        <w:pStyle w:val="TextBody"/>
        <w:pBdr/>
        <w:bidi w:val="0"/>
        <w:spacing w:before="0" w:after="0"/>
        <w:ind w:left="0" w:right="0" w:hanging="49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61" w:name="Signagures"/>
      <w:bookmarkStart w:id="1062" w:name="_916bf0eb_19e0_4c46_8d3d_a6bb68c88377"/>
      <w:bookmarkEnd w:id="1061"/>
      <w:bookmarkEnd w:id="1062"/>
      <w:r>
        <w:rPr>
          <w:rFonts w:ascii="Times New Roman;Times;serif" w:hAnsi="Times New Roman;Times;serif"/>
          <w:b/>
          <w:sz w:val="20"/>
        </w:rPr>
        <w:t>SIGNATURES</w:t>
      </w:r>
    </w:p>
    <w:p>
      <w:pPr>
        <w:pStyle w:val="TextBody"/>
        <w:bidi w:val="0"/>
        <w:spacing w:before="0" w:after="24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773" w:type="dxa"/>
        <w:jc w:val="left"/>
        <w:tblInd w:w="0" w:type="dxa"/>
        <w:tblLayout w:type="fixed"/>
        <w:tblCellMar>
          <w:top w:w="0" w:type="dxa"/>
          <w:left w:w="0" w:type="dxa"/>
          <w:bottom w:w="0" w:type="dxa"/>
          <w:right w:w="0" w:type="dxa"/>
        </w:tblCellMar>
      </w:tblPr>
      <w:tblGrid>
        <w:gridCol w:w="1951"/>
        <w:gridCol w:w="406"/>
        <w:gridCol w:w="54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5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MILESTONE PHARMACEUTICALS INC.</w:t>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5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Joseph Oliveto</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5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Joseph Oliveto</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5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President and Chief Executive Officer </w:t>
            </w:r>
            <w:r>
              <w:rPr>
                <w:rFonts w:ascii="Times New Roman;Times;serif" w:hAnsi="Times New Roman;Times;serif"/>
                <w:sz w:val="20"/>
              </w:rPr>
              <w:br/>
            </w:r>
            <w:r>
              <w:rPr>
                <w:rFonts w:ascii="Times New Roman;Times;serif" w:hAnsi="Times New Roman;Times;serif"/>
                <w:b/>
                <w:sz w:val="20"/>
              </w:rPr>
              <w:t>(Principal Executive Officer)</w:t>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pPr>
            <w:r>
              <w:rPr/>
              <w:t>​</w:t>
            </w:r>
          </w:p>
        </w:tc>
        <w:tc>
          <w:tcPr>
            <w:tcW w:w="5822" w:type="dxa"/>
            <w:gridSpan w:val="2"/>
            <w:tcBorders/>
            <w:vAlign w:val="center"/>
          </w:tcPr>
          <w:p>
            <w:pPr>
              <w:pStyle w:val="TableContents"/>
              <w:bidi w:val="0"/>
              <w:spacing w:before="0" w:after="0"/>
              <w:ind w:left="0" w:right="0" w:hanging="0"/>
              <w:jc w:val="both"/>
              <w:rPr/>
            </w:pPr>
            <w:r>
              <w:rPr/>
              <w:t>​</w:t>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12,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5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Amit Hasija</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5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Amit Hasija</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54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Chief Financial Officer </w:t>
              <w:br/>
              <w:t>(Principal Financial Officer and Principal Accounting Officer)</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right"/>
        <w:rPr>
          <w:rFonts w:ascii="Times New Roman;Times;serif" w:hAnsi="Times New Roman;Times;serif"/>
          <w:b/>
          <w:sz w:val="24"/>
        </w:rPr>
      </w:pPr>
      <w:bookmarkStart w:id="1063" w:name="mist-20260630xex10d3.htm"/>
      <w:bookmarkStart w:id="1064" w:name="ksmist20260630xex10d3"/>
      <w:bookmarkEnd w:id="1063"/>
      <w:bookmarkEnd w:id="1064"/>
      <w:r>
        <w:rPr>
          <w:rFonts w:ascii="Times New Roman;Times;serif" w:hAnsi="Times New Roman;Times;serif"/>
          <w:b/>
          <w:sz w:val="24"/>
        </w:rPr>
        <w:t>Exhibit 10.3</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SECOND AMENDMENT TO</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NOTE PURCHASE AGREEMENT</w:t>
      </w:r>
    </w:p>
    <w:p>
      <w:pPr>
        <w:pStyle w:val="TextBody"/>
        <w:bidi w:val="0"/>
        <w:spacing w:before="0" w:after="0"/>
        <w:ind w:left="0" w:right="0" w:hanging="0"/>
        <w:jc w:val="center"/>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This SECOND AMENDMENT TO NOTE PURCHASE AGREEMENT, dated as of January 12, 2026 (“</w:t>
      </w:r>
      <w:r>
        <w:rPr>
          <w:rFonts w:ascii="Times New Roman;Times;serif" w:hAnsi="Times New Roman;Times;serif"/>
          <w:b/>
          <w:sz w:val="24"/>
        </w:rPr>
        <w:t>Amendment</w:t>
      </w:r>
      <w:r>
        <w:rPr>
          <w:rFonts w:ascii="Times New Roman;Times;serif" w:hAnsi="Times New Roman;Times;serif"/>
          <w:sz w:val="20"/>
        </w:rPr>
        <w:t>”</w:t>
      </w:r>
      <w:r>
        <w:rPr>
          <w:rFonts w:ascii="Times New Roman;Times;serif" w:hAnsi="Times New Roman;Times;serif"/>
          <w:sz w:val="24"/>
        </w:rPr>
        <w:t>), is made by and among Milestone Pharmaceuticals Inc., a corporation existing under the Business Corporations Act (Québec)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the Purchasers (defined below), RTW Investments, LP, as agent for the Purchasers (in such capacity, the “</w:t>
      </w:r>
      <w:r>
        <w:rPr>
          <w:rFonts w:ascii="Times New Roman;Times;serif" w:hAnsi="Times New Roman;Times;serif"/>
          <w:b/>
          <w:sz w:val="24"/>
        </w:rPr>
        <w:t>Principal Purchaser</w:t>
      </w:r>
      <w:r>
        <w:rPr>
          <w:rFonts w:ascii="Times New Roman;Times;serif" w:hAnsi="Times New Roman;Times;serif"/>
          <w:sz w:val="20"/>
        </w:rPr>
        <w:t>”</w:t>
      </w:r>
      <w:r>
        <w:rPr>
          <w:rFonts w:ascii="Times New Roman;Times;serif" w:hAnsi="Times New Roman;Times;serif"/>
          <w:sz w:val="24"/>
        </w:rPr>
        <w:t>) and acknowledged and agreed by Acquiom Agency Services LLC, as collateral agent for the Purchasers (in such capacity, the “</w:t>
      </w:r>
      <w:r>
        <w:rPr>
          <w:rFonts w:ascii="Times New Roman;Times;serif" w:hAnsi="Times New Roman;Times;serif"/>
          <w:b/>
          <w:sz w:val="24"/>
        </w:rPr>
        <w:t>Collateral Agent</w:t>
      </w:r>
      <w:r>
        <w:rPr>
          <w:rFonts w:ascii="Times New Roman;Times;serif" w:hAnsi="Times New Roman;Times;serif"/>
          <w:sz w:val="20"/>
        </w:rPr>
        <w:t>”</w:t>
      </w:r>
      <w:r>
        <w:rPr>
          <w:rFonts w:ascii="Times New Roman;Times;serif" w:hAnsi="Times New Roman;Times;serif"/>
          <w:sz w:val="24"/>
        </w:rPr>
        <w:t>). Capitalized terms used herein, but not otherwise defined herein shall have the respective meanings set forth in the Note Purchase Agreement (defined below).</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 I T N E S S E T H:</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Company entered into the Note Purchase Agreement, dated as of March 27, 2023 (as amended by the First Amendment to Note Purchase Agreement, dated as of August 4, 2023, the “</w:t>
      </w:r>
      <w:r>
        <w:rPr>
          <w:rFonts w:ascii="Times New Roman;Times;serif" w:hAnsi="Times New Roman;Times;serif"/>
          <w:b/>
          <w:sz w:val="24"/>
        </w:rPr>
        <w:t>Note Purchase Agreement</w:t>
      </w:r>
      <w:r>
        <w:rPr>
          <w:rFonts w:ascii="Times New Roman;Times;serif" w:hAnsi="Times New Roman;Times;serif"/>
          <w:sz w:val="20"/>
        </w:rPr>
        <w:t>”</w:t>
      </w:r>
      <w:r>
        <w:rPr>
          <w:rFonts w:ascii="Times New Roman;Times;serif" w:hAnsi="Times New Roman;Times;serif"/>
          <w:sz w:val="24"/>
        </w:rPr>
        <w:t>), with the purchasers from time to time party thereto (each, a “</w:t>
      </w:r>
      <w:r>
        <w:rPr>
          <w:rFonts w:ascii="Times New Roman;Times;serif" w:hAnsi="Times New Roman;Times;serif"/>
          <w:b/>
          <w:sz w:val="24"/>
        </w:rPr>
        <w:t>Purchaser</w:t>
      </w:r>
      <w:r>
        <w:rPr>
          <w:rFonts w:ascii="Times New Roman;Times;serif" w:hAnsi="Times New Roman;Times;serif"/>
          <w:sz w:val="20"/>
        </w:rPr>
        <w:t>”</w:t>
      </w:r>
      <w:r>
        <w:rPr>
          <w:rFonts w:ascii="Times New Roman;Times;serif" w:hAnsi="Times New Roman;Times;serif"/>
          <w:sz w:val="24"/>
        </w:rPr>
        <w:t>, and collectively, the “</w:t>
      </w:r>
      <w:r>
        <w:rPr>
          <w:rFonts w:ascii="Times New Roman;Times;serif" w:hAnsi="Times New Roman;Times;serif"/>
          <w:b/>
          <w:sz w:val="24"/>
        </w:rPr>
        <w:t>Purchasers</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z w:val="20"/>
        </w:rPr>
        <w:t xml:space="preserve"> </w:t>
      </w:r>
      <w:r>
        <w:rPr>
          <w:rFonts w:ascii="Times New Roman;Times;serif" w:hAnsi="Times New Roman;Times;serif"/>
          <w:sz w:val="24"/>
        </w:rPr>
        <w:t>the Principal Purchaser, and the Collateral Agent, pursuant to which the Company has issued $50,000,000 aggregate principal amount of its 6.0% Convertible Senior Secured Notes due March 31, 2029 (each as amended, restated, supplemented or otherwise modified from time to time, the “</w:t>
      </w:r>
      <w:r>
        <w:rPr>
          <w:rFonts w:ascii="Times New Roman;Times;serif" w:hAnsi="Times New Roman;Times;serif"/>
          <w:b/>
          <w:sz w:val="24"/>
        </w:rPr>
        <w:t>Notes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the Company is expected to close the Permitted Royalty Financing and as a condition to such closing, the Collateral Agent is required to release its Liens in the Revenue Participation Right (as defined in the Purchase and Sale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in accordance with Section 7.15(b) of the Guarantee and Collateral Agreement, the Collateral Agent shall release any of its Liens granted under any Note Document on any property that is sold in connection with any sale not prohibited by any Note Document to a Person that is not a Grantor (as defined in the Guarantee and Collateral Agreement); and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WHEREAS</w:t>
      </w:r>
      <w:r>
        <w:rPr>
          <w:rFonts w:ascii="Times New Roman;Times;serif" w:hAnsi="Times New Roman;Times;serif"/>
          <w:sz w:val="24"/>
        </w:rPr>
        <w:t>, in accordance with Section 13.6 of the Note Purchase Agreement, the Company, the Purchasers, and the Principal Purchaser have agreed that Section 1 of the Note Purchase Agreement be amended.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4"/>
        </w:rPr>
        <w:t xml:space="preserve">NOW, THEREFORE, </w:t>
      </w:r>
      <w:r>
        <w:rPr>
          <w:rFonts w:ascii="Times New Roman;Times;serif" w:hAnsi="Times New Roman;Times;serif"/>
          <w:sz w:val="24"/>
        </w:rPr>
        <w:t>in consideration of the covenants and agreements contained herein, as well as other good and valuable consideration, the receipt and sufficiency of which are hereby acknowledged, the parties hereto agree as follows:</w:t>
      </w:r>
    </w:p>
    <w:p>
      <w:pPr>
        <w:pStyle w:val="TextBody"/>
        <w:bidi w:val="0"/>
        <w:spacing w:before="0" w:after="0"/>
        <w:ind w:left="0" w:right="0" w:hanging="0"/>
        <w:jc w:val="both"/>
        <w:rPr/>
      </w:pPr>
      <w:r>
        <w:rPr/>
        <w: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4"/>
        </w:rPr>
        <w:t>SECTION 1.  </w:t>
      </w:r>
      <w:r>
        <w:rPr>
          <w:rFonts w:ascii="Times New Roman;Times;serif" w:hAnsi="Times New Roman;Times;serif"/>
          <w:sz w:val="24"/>
          <w:u w:val="single"/>
        </w:rPr>
        <w:t>Amendments</w:t>
      </w:r>
      <w:r>
        <w:rPr>
          <w:rFonts w:ascii="Times New Roman;Times;serif" w:hAnsi="Times New Roman;Times;serif"/>
          <w:sz w:val="24"/>
        </w:rPr>
        <w:t>.  Effective as of the Amendment Effective Date (as defined below):</w:t>
      </w:r>
    </w:p>
    <w:p>
      <w:pPr>
        <w:pStyle w:val="TextBody"/>
        <w:bidi w:val="0"/>
        <w:spacing w:before="0" w:after="0"/>
        <w:ind w:left="0" w:right="0" w:firstLine="720"/>
        <w:jc w:val="both"/>
        <w:rPr/>
      </w:pPr>
      <w:r>
        <w:rPr/>
        <w:t>​</w:t>
      </w:r>
    </w:p>
    <w:tbl>
      <w:tblPr>
        <w:tblW w:w="8043" w:type="dxa"/>
        <w:jc w:val="left"/>
        <w:tblInd w:w="0" w:type="dxa"/>
        <w:tblLayout w:type="fixed"/>
        <w:tblCellMar>
          <w:top w:w="0" w:type="dxa"/>
          <w:left w:w="0" w:type="dxa"/>
          <w:bottom w:w="0" w:type="dxa"/>
          <w:right w:w="0" w:type="dxa"/>
        </w:tblCellMar>
      </w:tblPr>
      <w:tblGrid>
        <w:gridCol w:w="23"/>
        <w:gridCol w:w="275"/>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 1.1 is amended by adding the following term with the following meaning:</w:t>
            </w:r>
          </w:p>
        </w:tc>
      </w:tr>
    </w:tbl>
    <w:p>
      <w:pPr>
        <w:pStyle w:val="TextBody"/>
        <w:bidi w:val="0"/>
        <w:spacing w:before="0" w:after="0"/>
        <w:ind w:left="144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440" w:right="0" w:hanging="0"/>
        <w:jc w:val="left"/>
        <w:rPr/>
      </w:pPr>
      <w:r>
        <w:rPr/>
        <w:t>“</w:t>
      </w:r>
      <w:r>
        <w:rPr>
          <w:rFonts w:ascii="Times New Roman;Times;serif" w:hAnsi="Times New Roman;Times;serif"/>
          <w:sz w:val="24"/>
          <w:u w:val="single"/>
        </w:rPr>
        <w:t>Purchase and Sale Agreement</w:t>
      </w:r>
      <w:r>
        <w:rPr>
          <w:rFonts w:ascii="Times New Roman;Times;serif" w:hAnsi="Times New Roman;Times;serif"/>
          <w:sz w:val="20"/>
        </w:rPr>
        <w:t xml:space="preserve">” </w:t>
      </w:r>
      <w:r>
        <w:rPr>
          <w:rFonts w:ascii="Times New Roman;Times;serif" w:hAnsi="Times New Roman;Times;serif"/>
          <w:sz w:val="24"/>
        </w:rPr>
        <w:t>has the meaning specified in the recital of this Agreement, including any amendment, restatement, supplement or other modification from time to time thereto.</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Section 1.1 is amended by replacing clause (a) of definition “Permitted Liens” with the following:</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Liens securing indebtedness permitted pursuant to Section 7.1(b)(i), (ii), (iv), (v), (vi), (viii), and (xi) below and Liens securing obligations under the Permitted Royalty Financing;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SECTION 2.  </w:t>
      </w:r>
      <w:r>
        <w:rPr>
          <w:rFonts w:ascii="Times New Roman;Times;serif" w:hAnsi="Times New Roman;Times;serif"/>
          <w:sz w:val="24"/>
          <w:u w:val="single"/>
        </w:rPr>
        <w:t>Release of Liens</w:t>
      </w:r>
      <w:r>
        <w:rPr>
          <w:rFonts w:ascii="Times New Roman;Times;serif" w:hAnsi="Times New Roman;Times;serif"/>
          <w:sz w:val="24"/>
        </w:rPr>
        <w:t>.  Effective as of the Amendment Effective Date (as defined below):</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hereby certifies to the Collateral Agent that the disposition of the Revenue Participation Right is a Permitted Royalty Financing permitted under Section 7.1(c) of the Note Purchase Agreement and a sale or disposition to a Person that is not a Grantor.</w:t>
            </w:r>
          </w:p>
        </w:tc>
      </w:tr>
    </w:tbl>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1"/>
        <w:gridCol w:w="9951"/>
      </w:tblGrid>
      <w:tr>
        <w:trPr/>
        <w:tc>
          <w:tcPr>
            <w:tcW w:w="2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reliance of the foregoing certification and as requested and approved by the Principal Purchaser, the Collateral Agent hereby acknowledges and agrees to release any of its Liens granted under the Note Documents on the Revenue Participation Right upon the consummation of the Closing. The foregoing release shall be effective automatically upon the consummation of the Closing without any further action by any Person.</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As used in this Section 2, the terms “Closing” and “Revenue Participation Right” shall have the meaning assigned to such terms in the Purchase and Sale Agreement.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SECTION 3.  </w:t>
      </w:r>
      <w:r>
        <w:rPr>
          <w:rFonts w:ascii="Times New Roman;Times;serif" w:hAnsi="Times New Roman;Times;serif"/>
          <w:sz w:val="24"/>
          <w:u w:val="single"/>
        </w:rPr>
        <w:t>Conditions to Amendment Effectiveness</w:t>
      </w:r>
      <w:r>
        <w:rPr>
          <w:rFonts w:ascii="Times New Roman;Times;serif" w:hAnsi="Times New Roman;Times;serif"/>
          <w:sz w:val="24"/>
        </w:rPr>
        <w:t>.  The effectiveness of this Amendment is subject to satisfaction of the following conditions precedent (the date of such satisfaction being the “</w:t>
      </w:r>
      <w:r>
        <w:rPr>
          <w:rFonts w:ascii="Times New Roman;Times;serif" w:hAnsi="Times New Roman;Times;serif"/>
          <w:b/>
          <w:sz w:val="24"/>
        </w:rPr>
        <w:t>Amendment Effective Date</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0"/>
        <w:ind w:left="0" w:right="0" w:firstLine="72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(a)(i) the Company shall have executed and delivered a counterpart of this Amendment to each Purchaser and the Principal Purchaser and (ii) each Purchaser and the Principal Purchaser shall have executed and delivered counterparts of this Amendment to the Company;</w:t>
      </w:r>
    </w:p>
    <w:p>
      <w:pPr>
        <w:pStyle w:val="TextBody"/>
        <w:bidi w:val="0"/>
        <w:spacing w:before="0" w:after="0"/>
        <w:ind w:left="0" w:right="0" w:firstLine="72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sz w:val="24"/>
        </w:rPr>
        <w:t>(b)</w:t>
      </w:r>
      <w:r>
        <w:rPr>
          <w:rFonts w:ascii="Times New Roman;Times;serif" w:hAnsi="Times New Roman;Times;serif"/>
          <w:sz w:val="20"/>
        </w:rPr>
        <w:t xml:space="preserve"> </w:t>
      </w:r>
      <w:r>
        <w:rPr>
          <w:rFonts w:ascii="Times New Roman;Times;serif" w:hAnsi="Times New Roman;Times;serif"/>
          <w:sz w:val="24"/>
        </w:rPr>
        <w:t>no Event of Default shall have occurred and be continuing before and immediately after giving effect to this Amendment, and</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the Closing under the Purchase and Sale Agreement shall have occurred or shall substantially concurrently have occurred.</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SECTION 4.  </w:t>
      </w:r>
      <w:r>
        <w:rPr>
          <w:rFonts w:ascii="Times New Roman;Times;serif" w:hAnsi="Times New Roman;Times;serif"/>
          <w:sz w:val="24"/>
          <w:u w:val="single"/>
        </w:rPr>
        <w:t>Representations and Warranties</w:t>
      </w:r>
      <w:r>
        <w:rPr>
          <w:rFonts w:ascii="Times New Roman;Times;serif" w:hAnsi="Times New Roman;Times;serif"/>
          <w:sz w:val="24"/>
        </w:rPr>
        <w:t>.  The Company hereby represents and warrants to each Purchaser and the Principal Purchaser, on and as of the Amendment Effective Date, that: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(a)The Company has all requisite corporate power and has taken all necessary corporate action required for the due authorization, execution, delivery and performance by the Company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this Amendment and the other Note Documents and the consummation of the transactions contemplated hereby and thereby. The execution, delivery and performance by the Company of this Amendment and the consummation by the Company of the transactions contemplated hereby, have been duly authorized by the Board of Directors and no further consent or authorization of the Company, the Board of Directors or its shareholders is required. This Amendment has been duly executed and delivered by the Company, and the other instruments referred to herein, including the Note Documents, to which it is a party and any Note Document to which it is a party will be duly executed and delivered by the Company, and each such instrument or Note Document constitutes or will constitute a legal, valid and binding obligation of the Company enforceable against it in accordance with its terms, except to the extent that enforceability may be limited by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SECTION 5.  </w:t>
      </w:r>
      <w:r>
        <w:rPr>
          <w:rFonts w:ascii="Times New Roman;Times;serif" w:hAnsi="Times New Roman;Times;serif"/>
          <w:sz w:val="24"/>
          <w:u w:val="single"/>
        </w:rPr>
        <w:t>Effects on the Note Purchase Agreement</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(a)On and after the Amendment Effective Date, each reference in the Note Purchase Agreement or any Note Document to the Note Purchase Agreement shall mean and be a reference to the Note Purchase Agreement as amended by this Amendment, and each reference in the Note Purchase Agreement to “this Agreement,” “hereunder,” “hereof” or words of like import shall mean and be a reference to the Note Purchase Agreement as amended by this Amendment.</w:t>
      </w:r>
    </w:p>
    <w:p>
      <w:pPr>
        <w:pStyle w:val="TextBody"/>
        <w:bidi w:val="0"/>
        <w:spacing w:before="0" w:after="0"/>
        <w:ind w:left="0" w:right="0" w:firstLine="72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(b)This Amendment does not constitute a novation or termination of the obligations under the Note Purchase Agreement; and except as specifically amended or otherwise modified hereby, all of the Note Documents shall continue to be in full force and effect and are hereby in all respects ratified and confirmed and no provision of the Note Purchase Agreement or the other Note Documents are amended in any way other than as expressly provided herein.</w:t>
      </w:r>
    </w:p>
    <w:p>
      <w:pPr>
        <w:pStyle w:val="TextBody"/>
        <w:bidi w:val="0"/>
        <w:spacing w:before="0" w:after="0"/>
        <w:ind w:left="0" w:right="0" w:firstLine="72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(c)Except as expressly set forth herein, this Amendment shall not by implication or otherwise limit, impair, constitute a waiver of or otherwise affect the rights and remedies of the Purchasers, Principal Purchaser or the Company under any Note Document.</w:t>
      </w:r>
    </w:p>
    <w:p>
      <w:pPr>
        <w:pStyle w:val="TextBody"/>
        <w:bidi w:val="0"/>
        <w:spacing w:before="0" w:after="0"/>
        <w:ind w:left="0" w:right="0" w:firstLine="72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(d)This Amendment shall constitute a Note Document for all purposes of the Note Purchase Agreement and the other Note Documents.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4"/>
        </w:rPr>
        <w:t>SECTION 6.  </w:t>
      </w:r>
      <w:r>
        <w:rPr>
          <w:rFonts w:ascii="Times New Roman;Times;serif" w:hAnsi="Times New Roman;Times;serif"/>
          <w:sz w:val="24"/>
          <w:u w:val="single"/>
        </w:rPr>
        <w:t>Miscellaneous</w:t>
      </w:r>
      <w:r>
        <w:rPr>
          <w:rFonts w:ascii="Times New Roman;Times;serif" w:hAnsi="Times New Roman;Times;serif"/>
          <w:sz w:val="24"/>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Sections 13.2, 13.8, 13.9 of the Note Purchase Agreement are hereby incorporated herein by reference </w:t>
      </w:r>
      <w:r>
        <w:rPr>
          <w:rFonts w:ascii="Times New Roman;Times;serif" w:hAnsi="Times New Roman;Times;serif"/>
          <w:i/>
          <w:sz w:val="24"/>
        </w:rPr>
        <w:t>mutatis mutandis.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undersigned Purchasers, constituting all of the Purchasers, hereby direct the Collateral Agent to execute this Amendment.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Remainder of page intentionally left blank; signature pages follow</w:t>
      </w: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caused their duly authorized officers to execute and deliver this Amendment as of the date first above written.</w:t>
      </w:r>
    </w:p>
    <w:p>
      <w:pPr>
        <w:pStyle w:val="TextBody"/>
        <w:bidi w:val="0"/>
        <w:spacing w:before="0" w:after="0"/>
        <w:ind w:left="0" w:right="0" w:hanging="0"/>
        <w:jc w:val="left"/>
        <w:rPr/>
      </w:pPr>
      <w:r>
        <w:rPr/>
        <w:t>​</w:t>
      </w:r>
    </w:p>
    <w:tbl>
      <w:tblPr>
        <w:tblW w:w="4909" w:type="dxa"/>
        <w:jc w:val="left"/>
        <w:tblInd w:w="0" w:type="dxa"/>
        <w:tblLayout w:type="fixed"/>
        <w:tblCellMar>
          <w:top w:w="0" w:type="dxa"/>
          <w:left w:w="0" w:type="dxa"/>
          <w:bottom w:w="0" w:type="dxa"/>
          <w:right w:w="0" w:type="dxa"/>
        </w:tblCellMar>
      </w:tblPr>
      <w:tblGrid>
        <w:gridCol w:w="124"/>
        <w:gridCol w:w="1144"/>
        <w:gridCol w:w="3641"/>
      </w:tblGrid>
      <w:tr>
        <w:trPr/>
        <w:tc>
          <w:tcPr>
            <w:tcW w:w="124" w:type="dxa"/>
            <w:tcBorders/>
            <w:vAlign w:val="center"/>
          </w:tcPr>
          <w:p>
            <w:pPr>
              <w:pStyle w:val="TableContents"/>
              <w:bidi w:val="0"/>
              <w:spacing w:before="0" w:after="0"/>
              <w:ind w:left="0" w:right="0" w:hanging="0"/>
              <w:jc w:val="left"/>
              <w:rPr/>
            </w:pPr>
            <w:r>
              <w:rPr/>
              <w:t>​</w:t>
            </w:r>
          </w:p>
        </w:tc>
        <w:tc>
          <w:tcPr>
            <w:tcW w:w="4785"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MILESTONE PHARMACEUTICALS INC.</w:t>
            </w:r>
          </w:p>
        </w:tc>
      </w:tr>
      <w:tr>
        <w:trPr/>
        <w:tc>
          <w:tcPr>
            <w:tcW w:w="124" w:type="dxa"/>
            <w:tcBorders/>
            <w:vAlign w:val="center"/>
          </w:tcPr>
          <w:p>
            <w:pPr>
              <w:pStyle w:val="TableContents"/>
              <w:bidi w:val="0"/>
              <w:spacing w:before="0" w:after="0"/>
              <w:ind w:left="0" w:right="0" w:hanging="0"/>
              <w:jc w:val="left"/>
              <w:rPr/>
            </w:pPr>
            <w:r>
              <w:rPr/>
              <w:t>​</w:t>
            </w:r>
          </w:p>
        </w:tc>
        <w:tc>
          <w:tcPr>
            <w:tcW w:w="47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7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3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 Amit Hasija </w:t>
            </w:r>
          </w:p>
        </w:tc>
      </w:tr>
      <w:tr>
        <w:trPr/>
        <w:tc>
          <w:tcPr>
            <w:tcW w:w="124"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3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Amit Hasija</w:t>
            </w:r>
          </w:p>
        </w:tc>
      </w:tr>
      <w:tr>
        <w:trPr/>
        <w:tc>
          <w:tcPr>
            <w:tcW w:w="124"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Title: </w:t>
            </w:r>
          </w:p>
        </w:tc>
        <w:tc>
          <w:tcPr>
            <w:tcW w:w="364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Financial Officer</w:t>
            </w:r>
          </w:p>
        </w:tc>
      </w:tr>
    </w:tbl>
    <w:p>
      <w:pPr>
        <w:pStyle w:val="TextBody"/>
        <w:bidi w:val="0"/>
        <w:spacing w:before="0" w:after="600"/>
        <w:ind w:left="432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Second Amendment to Note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49" w:type="dxa"/>
        <w:jc w:val="left"/>
        <w:tblInd w:w="0" w:type="dxa"/>
        <w:tblLayout w:type="fixed"/>
        <w:tblCellMar>
          <w:top w:w="0" w:type="dxa"/>
          <w:left w:w="0" w:type="dxa"/>
          <w:bottom w:w="0" w:type="dxa"/>
          <w:right w:w="0" w:type="dxa"/>
        </w:tblCellMar>
      </w:tblPr>
      <w:tblGrid>
        <w:gridCol w:w="1128"/>
        <w:gridCol w:w="2067"/>
        <w:gridCol w:w="154"/>
      </w:tblGrid>
      <w:tr>
        <w:trPr/>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This Amendment is hereby </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acknowledged and agreed to as</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of the date first above written.</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COLLATERAL AGENT:</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Acquiom Agency Services LLC</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95"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By: </w:t>
            </w:r>
          </w:p>
        </w:tc>
        <w:tc>
          <w:tcPr>
            <w:tcW w:w="20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Lisa Schutz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p>
        </w:tc>
        <w:tc>
          <w:tcPr>
            <w:tcW w:w="20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Lisa Schutz</w:t>
            </w:r>
          </w:p>
        </w:tc>
        <w:tc>
          <w:tcPr>
            <w:tcW w:w="154" w:type="dxa"/>
            <w:tcBorders/>
            <w:vAlign w:val="center"/>
          </w:tcPr>
          <w:p>
            <w:pPr>
              <w:pStyle w:val="TableContents"/>
              <w:bidi w:val="0"/>
              <w:spacing w:before="0" w:after="0"/>
              <w:ind w:left="0" w:right="0" w:hanging="0"/>
              <w:jc w:val="left"/>
              <w:rPr/>
            </w:pPr>
            <w:r>
              <w:rPr/>
              <w:t>​</w:t>
            </w:r>
          </w:p>
        </w:tc>
      </w:tr>
      <w:tr>
        <w:trPr/>
        <w:tc>
          <w:tcPr>
            <w:tcW w:w="1128"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Title: </w:t>
            </w:r>
          </w:p>
        </w:tc>
        <w:tc>
          <w:tcPr>
            <w:tcW w:w="206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Second Amendment to Note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426" w:type="dxa"/>
        <w:jc w:val="left"/>
        <w:tblInd w:w="0" w:type="dxa"/>
        <w:tblLayout w:type="fixed"/>
        <w:tblCellMar>
          <w:top w:w="0" w:type="dxa"/>
          <w:left w:w="0" w:type="dxa"/>
          <w:bottom w:w="0" w:type="dxa"/>
          <w:right w:w="0" w:type="dxa"/>
        </w:tblCellMar>
      </w:tblPr>
      <w:tblGrid>
        <w:gridCol w:w="124"/>
        <w:gridCol w:w="736"/>
        <w:gridCol w:w="2566"/>
      </w:tblGrid>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RTW INVESTMENTS, LP,</w:t>
            </w:r>
          </w:p>
        </w:tc>
      </w:tr>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the Principal Purchaser</w:t>
            </w:r>
          </w:p>
        </w:tc>
      </w:tr>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3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Roderick Wong, M.D.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5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Roderick Wong, M.D.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25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Partner</w:t>
            </w:r>
          </w:p>
        </w:tc>
      </w:tr>
    </w:tbl>
    <w:p>
      <w:pPr>
        <w:pStyle w:val="TextBody"/>
        <w:pBdr/>
        <w:bidi w:val="0"/>
        <w:spacing w:before="0" w:after="240"/>
        <w:ind w:left="4320" w:right="0" w:hanging="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Second Amendment to Note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66" w:type="dxa"/>
        <w:jc w:val="left"/>
        <w:tblInd w:w="0" w:type="dxa"/>
        <w:tblLayout w:type="fixed"/>
        <w:tblCellMar>
          <w:top w:w="0" w:type="dxa"/>
          <w:left w:w="0" w:type="dxa"/>
          <w:bottom w:w="0" w:type="dxa"/>
          <w:right w:w="0" w:type="dxa"/>
        </w:tblCellMar>
      </w:tblPr>
      <w:tblGrid>
        <w:gridCol w:w="124"/>
        <w:gridCol w:w="736"/>
        <w:gridCol w:w="4606"/>
      </w:tblGrid>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RTW MASTER FUND, LTD.</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Darshan Patel</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Darshan Patel</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RTW INNOVATION MASTER FUND, LTD.</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Darshan Patel</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Darshan Patel</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Director</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caps/>
              </w:rPr>
            </w:pPr>
            <w:r>
              <w:rPr>
                <w:caps/>
              </w:rPr>
              <w:t>​</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rFonts w:ascii="Times New Roman;Times;serif" w:hAnsi="Times New Roman;Times;serif"/>
                <w:b/>
                <w:caps/>
                <w:sz w:val="24"/>
              </w:rPr>
            </w:pPr>
            <w:r>
              <w:rPr>
                <w:rFonts w:ascii="Times New Roman;Times;serif" w:hAnsi="Times New Roman;Times;serif"/>
                <w:b/>
                <w:caps/>
                <w:sz w:val="24"/>
              </w:rPr>
              <w:t>RTW BIOTECH OPPORTUNITIES LTD</w:t>
            </w:r>
          </w:p>
        </w:tc>
      </w:tr>
      <w:tr>
        <w:trPr/>
        <w:tc>
          <w:tcPr>
            <w:tcW w:w="124" w:type="dxa"/>
            <w:tcBorders/>
            <w:vAlign w:val="center"/>
          </w:tcPr>
          <w:p>
            <w:pPr>
              <w:pStyle w:val="TableContents"/>
              <w:bidi w:val="0"/>
              <w:spacing w:before="0" w:after="0"/>
              <w:ind w:left="0" w:right="0" w:hanging="0"/>
              <w:jc w:val="left"/>
              <w:rPr/>
            </w:pPr>
            <w:r>
              <w:rPr/>
              <w:t>​</w:t>
            </w:r>
          </w:p>
        </w:tc>
        <w:tc>
          <w:tcPr>
            <w:tcW w:w="53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RTW Investments, LP, its </w:t>
            </w:r>
            <w:bookmarkStart w:id="1065" w:name="_9kR3WTr2665AAPK4wuA5rt9jLtuot5"/>
            <w:bookmarkEnd w:id="1065"/>
            <w:r>
              <w:rPr>
                <w:rFonts w:ascii="Times New Roman;Times;serif" w:hAnsi="Times New Roman;Times;serif"/>
                <w:sz w:val="24"/>
              </w:rPr>
              <w:t>Investment Manager</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460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Roderick Wong, M.D.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6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Roderick Wong, M.D.</w:t>
            </w:r>
          </w:p>
        </w:tc>
      </w:tr>
      <w:tr>
        <w:trPr/>
        <w:tc>
          <w:tcPr>
            <w:tcW w:w="124"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6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Managing Partner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4"/>
        </w:rPr>
      </w:pPr>
      <w:r>
        <w:rPr>
          <w:rFonts w:ascii="Times New Roman;Times;serif" w:hAnsi="Times New Roman;Times;serif"/>
          <w:i/>
          <w:sz w:val="24"/>
        </w:rPr>
        <w:t>[Signature Page to Second Amendment to Note Purchase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6" w:name="mist-20260630xex10d4.htm"/>
      <w:bookmarkStart w:id="1067" w:name="ksmist20260630xex10d4"/>
      <w:bookmarkEnd w:id="1066"/>
      <w:bookmarkEnd w:id="1067"/>
      <w:r>
        <w:rPr>
          <w:rFonts w:ascii="Times New Roman;Times;serif" w:hAnsi="Times New Roman;Times;serif"/>
          <w:b/>
          <w:sz w:val="20"/>
        </w:rPr>
        <w:t>Exhibit 10.4</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THIRD AMENDMENT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 PURCHASE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THIRD AMENDMENT TO NOTE PURCHASE AGREEMENT, dated as of June 29, 2026 (this “</w:t>
      </w:r>
      <w:r>
        <w:rPr>
          <w:rFonts w:ascii="Times New Roman;Times;serif" w:hAnsi="Times New Roman;Times;serif"/>
          <w:b/>
          <w:sz w:val="20"/>
        </w:rPr>
        <w:t>Amendment</w:t>
      </w:r>
      <w:r>
        <w:rPr>
          <w:rFonts w:ascii="Times New Roman;Times;serif" w:hAnsi="Times New Roman;Times;serif"/>
          <w:sz w:val="20"/>
        </w:rPr>
        <w:t>”), is made by and among Milestone Pharmaceuticals Inc., a corporation existing under the Business Corporations Act (Québec) (the “</w:t>
      </w:r>
      <w:r>
        <w:rPr>
          <w:rFonts w:ascii="Times New Roman;Times;serif" w:hAnsi="Times New Roman;Times;serif"/>
          <w:b/>
          <w:sz w:val="20"/>
        </w:rPr>
        <w:t>Company</w:t>
      </w:r>
      <w:r>
        <w:rPr>
          <w:rFonts w:ascii="Times New Roman;Times;serif" w:hAnsi="Times New Roman;Times;serif"/>
          <w:sz w:val="20"/>
        </w:rPr>
        <w:t>”), the Purchasers (defined below), RTW Investments, LP, as agent for the Purchasers (in such capacity, the “</w:t>
      </w:r>
      <w:r>
        <w:rPr>
          <w:rFonts w:ascii="Times New Roman;Times;serif" w:hAnsi="Times New Roman;Times;serif"/>
          <w:b/>
          <w:sz w:val="20"/>
        </w:rPr>
        <w:t>Principal Purchaser</w:t>
      </w:r>
      <w:r>
        <w:rPr>
          <w:rFonts w:ascii="Times New Roman;Times;serif" w:hAnsi="Times New Roman;Times;serif"/>
          <w:sz w:val="20"/>
        </w:rPr>
        <w:t>”). Capitalized terms used herein, but not otherwise defined herein, shall have the respective meanings set forth in the Note Purchase Agreement (defined below).</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WITNESSETH:</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Company entered into the Note Purchase Agreement, dated as of March 27, 2023, as amended by the First Amendment to Note Purchase Agreement, dated as of August 4, 2023 and the Second Amendment to Note Purchase Agreement, dated as of January 12, 2026 (as amended, the “</w:t>
      </w:r>
      <w:r>
        <w:rPr>
          <w:rFonts w:ascii="Times New Roman;Times;serif" w:hAnsi="Times New Roman;Times;serif"/>
          <w:b/>
          <w:sz w:val="20"/>
        </w:rPr>
        <w:t>Note Purchase Agreement</w:t>
      </w:r>
      <w:r>
        <w:rPr>
          <w:rFonts w:ascii="Times New Roman;Times;serif" w:hAnsi="Times New Roman;Times;serif"/>
          <w:sz w:val="20"/>
        </w:rPr>
        <w:t>”), with the purchasers from time to time party thereto (each, a “</w:t>
      </w:r>
      <w:r>
        <w:rPr>
          <w:rFonts w:ascii="Times New Roman;Times;serif" w:hAnsi="Times New Roman;Times;serif"/>
          <w:b/>
          <w:sz w:val="20"/>
        </w:rPr>
        <w:t>Purchaser</w:t>
      </w:r>
      <w:r>
        <w:rPr>
          <w:rFonts w:ascii="Times New Roman;Times;serif" w:hAnsi="Times New Roman;Times;serif"/>
          <w:sz w:val="20"/>
        </w:rPr>
        <w:t>,” and collectively, the “</w:t>
      </w:r>
      <w:r>
        <w:rPr>
          <w:rFonts w:ascii="Times New Roman;Times;serif" w:hAnsi="Times New Roman;Times;serif"/>
          <w:b/>
          <w:sz w:val="20"/>
        </w:rPr>
        <w:t>Purchasers</w:t>
      </w:r>
      <w:r>
        <w:rPr>
          <w:rFonts w:ascii="Times New Roman;Times;serif" w:hAnsi="Times New Roman;Times;serif"/>
          <w:sz w:val="20"/>
        </w:rPr>
        <w:t>”), the Principal Purchaser, and Acquiom Agency Services LLC, as collateral agent for the Purchasers, pursuant to which the Company has issued $50,000,000 aggregate principal amount of its 6.0% Convertible Senior Secured Notes due March 31, 2029 (each as amended, restated, supplemented or otherwise modified from time to time, the “</w:t>
      </w:r>
      <w:r>
        <w:rPr>
          <w:rFonts w:ascii="Times New Roman;Times;serif" w:hAnsi="Times New Roman;Times;serif"/>
          <w:b/>
          <w:sz w:val="20"/>
        </w:rPr>
        <w:t>Notes</w:t>
      </w:r>
      <w:r>
        <w:rPr>
          <w:rFonts w:ascii="Times New Roman;Times;serif" w:hAnsi="Times New Roman;Times;serif"/>
          <w:sz w:val="20"/>
        </w:rPr>
        <w:t>”); and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in accordance with Section 13.6 of the Note Purchase Agreement, the Company, the undersigned Purchasers constituting all of the Purchasers, and the Principal Purchaser have agreed to amend Section 3.2 of the Note Purchase Agreement as set forth herein.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xml:space="preserve"> in consideration of the covenants and agreements contained herein, as well as other good and valuable consideration, the receipt and sufficiency of which are hereby acknowledged, the parties hereto agree as follows: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b/>
          <w:sz w:val="20"/>
        </w:rPr>
        <w:t>Amendment to the Notes and the Note Purchase Agreement.</w:t>
      </w:r>
      <w:r>
        <w:rPr>
          <w:rFonts w:ascii="Times New Roman;Times;serif" w:hAnsi="Times New Roman;Times;serif"/>
          <w:sz w:val="20"/>
        </w:rPr>
        <w:t xml:space="preserve">  Effective as of the Amendment Effective Date (as defined below), the following phrases in each Note and Section 3.2 of the Note Purchase Agreement are amended as follows: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phrase “until March 31, 2026, the Company may elect to defer payment of accrued but unpaid interest” is amended to read “until March 31, 2027, the Company may elect to defer payment of accrued but unpaid interest”;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phrase “no later than three (3) Business Days prior to each Interest Payment Date prior to the third anniversary of the Closing Date whether it shall pay Cash Interest or PIK Interest” is amended to read “no later than three (3) Business Days prior to each Interest Payment Date ending on or prior to March 31, 2027 whether it shall pay Cash Interest or PIK Interest”;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phrase “If the Company fails to give timely written notice to elect a form of interest payment for any Interest Payment Date ending on or prior to March 31, 2026, then the Company will be deemed to have elected PIK Interest for such Interest Payment Date” is amended to read “If the Company fails to give timely written notice to elect a form of interest payment for any Interest Payment Date ending on or prior to March 31, 2027, then the Company will be deemed to have elected PIK Interest for such Interest Payment Date”.</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b/>
          <w:sz w:val="20"/>
        </w:rPr>
        <w:t>Conditions Precedent.</w:t>
      </w:r>
      <w:r>
        <w:rPr>
          <w:rFonts w:ascii="Times New Roman;Times;serif" w:hAnsi="Times New Roman;Times;serif"/>
          <w:sz w:val="20"/>
        </w:rPr>
        <w:t xml:space="preserve">  The effectiveness of this Amendment is subject to satisfaction of the following conditions precedent (the date of such satisfaction being the “</w:t>
      </w:r>
      <w:r>
        <w:rPr>
          <w:rFonts w:ascii="Times New Roman;Times;serif" w:hAnsi="Times New Roman;Times;serif"/>
          <w:b/>
          <w:sz w:val="20"/>
        </w:rPr>
        <w:t>Amendment Effective Date</w:t>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 the Company shall have executed and delivered a counterpart of this Amendment to each Purchaser and the Principal Purchaser and (ii) each Purchaser and the Principal Purchaser shall have executed and delivered counterparts of this Amendment to the Company; and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sz w:val="20"/>
        </w:rPr>
        <w:t>no Event of Default shall have occurred and be continuing before and immediately after giving effect to this Amendment.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b/>
          <w:sz w:val="20"/>
        </w:rPr>
        <w:t>Representations and Warranties.  </w:t>
      </w:r>
      <w:r>
        <w:rPr>
          <w:rFonts w:ascii="Times New Roman;Times;serif" w:hAnsi="Times New Roman;Times;serif"/>
          <w:sz w:val="20"/>
        </w:rPr>
        <w:t>The Company hereby represents and warrants to each Purchaser and the Principal Purchaser, on and as of the Amendment Effective Date, that: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has all requisite corporate power and has taken all necessary corporate action required for the due authorization, execution, delivery and performance by the Company of this Amendment and the consummation of the transactions contemplated hereby and thereby. The execution, delivery and performance by the Company of this Amendment and the consummation by the Company of the transactions contemplated hereby, have been duly authorized by the Board of Directors and no further consent or authorization of the Company, the Board of Directors or its shareholders is required. This Amendment has been duly executed and delivered by the Company and constitutes a legal, valid and binding obligation of the Company enforceable against it in accordance with its terms, except to the extent that enforceability may be limited by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b/>
          <w:sz w:val="20"/>
        </w:rPr>
        <w:t>Effect on Note Purchase Agreement.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and after the Amendment Effective Date, each reference in the Note Purchase Agreement or any Note Document to the Note Purchase Agreement shall mean and be a reference to the Note Purchase Agreement as amended by this Amendment, and each reference in the Note Purchase Agreement to “this Agreement,” “hereunder,” “hereof” or words of like import shall mean and be a reference to the Note Purchase Agreement as amended by this Amendment.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This Amendment does not constitute a novation or termination of the obligations under the Note Purchase Agreement; and except as specifically amended or otherwise modified hereby, all of the Note Documents shall continue to be in full force and effect and are hereby in all respects ratified and confirmed.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Except as expressly set forth herein, this Amendment shall not by implication or otherwise limit, impair, constitute a waiver of or otherwise affect the rights and remedies of the Purchasers, the Principal Purchaser or the Company under any Note Document.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This Amendment shall constitute a Note Document for all purposes of the Note Purchase Agreement and the other Note Documents.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b/>
          <w:sz w:val="20"/>
        </w:rPr>
        <w:t>Miscellaneous.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Sections 13.2, 13.8 and 13.9 of the Note Purchase Agreement are hereby incorporated herein by reference,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undersigned Purchasers, constituting all of the Purchasers, hereby ratify and confirm this Amendment.</w:t>
      </w:r>
    </w:p>
    <w:p>
      <w:pPr>
        <w:pStyle w:val="TextBody"/>
        <w:bidi w:val="0"/>
        <w:spacing w:before="0" w:after="200"/>
        <w:ind w:left="0"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40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their duly authorized officers to execute and deliver this Amendment as of the date first above written.</w:t>
      </w:r>
    </w:p>
    <w:tbl>
      <w:tblPr>
        <w:tblW w:w="8459" w:type="dxa"/>
        <w:jc w:val="left"/>
        <w:tblInd w:w="0" w:type="dxa"/>
        <w:tblLayout w:type="fixed"/>
        <w:tblCellMar>
          <w:top w:w="0" w:type="dxa"/>
          <w:left w:w="0" w:type="dxa"/>
          <w:bottom w:w="0" w:type="dxa"/>
          <w:right w:w="0" w:type="dxa"/>
        </w:tblCellMar>
      </w:tblPr>
      <w:tblGrid>
        <w:gridCol w:w="1170"/>
        <w:gridCol w:w="7011"/>
        <w:gridCol w:w="278"/>
      </w:tblGrid>
      <w:tr>
        <w:trPr/>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42950" cy="175260"/>
                      <wp:effectExtent l="0" t="0" r="0" b="0"/>
                      <wp:wrapNone/>
                      <wp:docPr id="272" name="Frame272"/>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51985" cy="175260"/>
                      <wp:effectExtent l="0" t="0" r="0" b="0"/>
                      <wp:wrapNone/>
                      <wp:docPr id="273" name="Frame273"/>
                      <a:graphic xmlns:a="http://schemas.openxmlformats.org/drawingml/2006/main">
                        <a:graphicData uri="http://schemas.microsoft.com/office/word/2010/wordprocessingShape">
                          <wps:wsp>
                            <wps:cNvSpPr txBox="1"/>
                            <wps:spPr>
                              <a:xfrm>
                                <a:off x="0" y="0"/>
                                <a:ext cx="445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MILESTONE PHARMACEUTICALS INC.</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Amit Hasija</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Amit Hasija</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RTW INVESTMENTS, LP,</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the Principal Purchaser</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Roderick Wong, M.D.</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Roderick Wong, M.D.</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Partner</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45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Amendment is hereby accepted and agreed to as of the date hereof by the undersigned Purchasers.</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RTW MASTER FUND, LTD.</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Darshan Patel</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Darshan Patel</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RTW INNOVATION MASTER FUND, LTD.</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Darshan Patel</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Darshan Patel</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RTW BIOTECH OPPORTUNITIES LTD</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(F/K/A RTW VENTURE FUND LIMITED)</w:t>
            </w:r>
          </w:p>
        </w:tc>
        <w:tc>
          <w:tcPr>
            <w:tcW w:w="278" w:type="dxa"/>
            <w:tcBorders/>
            <w:vAlign w:val="center"/>
          </w:tcPr>
          <w:p>
            <w:pPr>
              <w:pStyle w:val="TableContents"/>
              <w:bidi w:val="0"/>
              <w:spacing w:before="0" w:after="0"/>
              <w:ind w:left="0" w:right="0" w:hanging="0"/>
              <w:jc w:val="left"/>
              <w:rPr/>
            </w:pPr>
            <w:r>
              <w:rPr/>
              <w:t>​</w:t>
            </w:r>
          </w:p>
        </w:tc>
      </w:tr>
      <w:tr>
        <w:trPr/>
        <w:tc>
          <w:tcPr>
            <w:tcW w:w="8181" w:type="dxa"/>
            <w:gridSpan w:val="2"/>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RTW Investments, LP, its Investment Manager</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pPr>
            <w:r>
              <w:rPr/>
              <w:t>​</w:t>
            </w:r>
          </w:p>
        </w:tc>
        <w:tc>
          <w:tcPr>
            <w:tcW w:w="7011"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pPr>
            <w:r>
              <w:rPr/>
              <w:t>​</w:t>
            </w:r>
          </w:p>
        </w:tc>
        <w:tc>
          <w:tcPr>
            <w:tcW w:w="7011"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Roderick Wong, M.D.</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Roderick Wong, M.D.</w:t>
            </w:r>
          </w:p>
        </w:tc>
        <w:tc>
          <w:tcPr>
            <w:tcW w:w="278" w:type="dxa"/>
            <w:tcBorders/>
            <w:vAlign w:val="center"/>
          </w:tcPr>
          <w:p>
            <w:pPr>
              <w:pStyle w:val="TableContents"/>
              <w:bidi w:val="0"/>
              <w:spacing w:before="0" w:after="0"/>
              <w:ind w:left="0" w:right="0" w:hanging="0"/>
              <w:jc w:val="left"/>
              <w:rPr/>
            </w:pPr>
            <w:r>
              <w:rPr/>
              <w:t>​</w:t>
            </w:r>
          </w:p>
        </w:tc>
      </w:tr>
      <w:tr>
        <w:trPr/>
        <w:tc>
          <w:tcPr>
            <w:tcW w:w="1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Partner</w:t>
            </w:r>
          </w:p>
        </w:tc>
        <w:tc>
          <w:tcPr>
            <w:tcW w:w="27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8" w:name="mist-20260630xex31d1.htm"/>
      <w:bookmarkStart w:id="1069" w:name="ksmist20260630xex31d1"/>
      <w:bookmarkEnd w:id="1068"/>
      <w:bookmarkEnd w:id="1069"/>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Joseph Oliveto, certify that: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Milestone Pharmaceuticals Inc.;</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xml:space="preserve">4.           The registrant’s other certifying officer(s) and I are responsible for establishing and maintaining disclosure controls and procedures (as defined in </w:t>
      </w:r>
      <w:bookmarkStart w:id="1070" w:name="_Hlk67479206"/>
      <w:bookmarkEnd w:id="1070"/>
      <w:r>
        <w:rPr>
          <w:rFonts w:ascii="Times New Roman;Times;serif" w:hAnsi="Times New Roman;Times;serif"/>
          <w:sz w:val="20"/>
        </w:rPr>
        <w:t>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bookmarkStart w:id="1071" w:name="_Hlk67479029"/>
      <w:bookmarkEnd w:id="1071"/>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748" w:right="0" w:hanging="69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162" w:type="dxa"/>
        <w:jc w:val="left"/>
        <w:tblInd w:w="0" w:type="dxa"/>
        <w:tblLayout w:type="fixed"/>
        <w:tblCellMar>
          <w:top w:w="0" w:type="dxa"/>
          <w:left w:w="0" w:type="dxa"/>
          <w:bottom w:w="0" w:type="dxa"/>
          <w:right w:w="0" w:type="dxa"/>
        </w:tblCellMar>
      </w:tblPr>
      <w:tblGrid>
        <w:gridCol w:w="1951"/>
        <w:gridCol w:w="3211"/>
      </w:tblGrid>
      <w:tr>
        <w:trPr/>
        <w:tc>
          <w:tcPr>
            <w:tcW w:w="195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32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 Oliveto</w:t>
            </w:r>
          </w:p>
        </w:tc>
      </w:tr>
      <w:tr>
        <w:trPr/>
        <w:tc>
          <w:tcPr>
            <w:tcW w:w="195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Oliveto</w:t>
            </w:r>
          </w:p>
        </w:tc>
      </w:tr>
      <w:tr>
        <w:trPr/>
        <w:tc>
          <w:tcPr>
            <w:tcW w:w="195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72" w:name="mist-20260630xex31d2.htm"/>
      <w:bookmarkStart w:id="1073" w:name="ksmist20260630xex31d2"/>
      <w:bookmarkEnd w:id="1072"/>
      <w:bookmarkEnd w:id="1073"/>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Amit Hasija, certify that: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Milestone Pharmaceuticals Inc.;</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748" w:right="0" w:hanging="69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7112" w:type="dxa"/>
        <w:jc w:val="left"/>
        <w:tblInd w:w="0" w:type="dxa"/>
        <w:tblLayout w:type="fixed"/>
        <w:tblCellMar>
          <w:top w:w="0" w:type="dxa"/>
          <w:left w:w="0" w:type="dxa"/>
          <w:bottom w:w="0" w:type="dxa"/>
          <w:right w:w="0" w:type="dxa"/>
        </w:tblCellMar>
      </w:tblPr>
      <w:tblGrid>
        <w:gridCol w:w="1951"/>
        <w:gridCol w:w="5161"/>
      </w:tblGrid>
      <w:tr>
        <w:trPr/>
        <w:tc>
          <w:tcPr>
            <w:tcW w:w="195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516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51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Amit Hasija</w:t>
            </w:r>
          </w:p>
        </w:tc>
      </w:tr>
      <w:tr>
        <w:trPr/>
        <w:tc>
          <w:tcPr>
            <w:tcW w:w="195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Amit Hasija</w:t>
            </w:r>
          </w:p>
        </w:tc>
      </w:tr>
      <w:tr>
        <w:trPr/>
        <w:tc>
          <w:tcPr>
            <w:tcW w:w="195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NewRomanPSMT" w:hAnsi="TimesNewRomanPSMT"/>
                <w:sz w:val="20"/>
              </w:rPr>
            </w:pPr>
            <w:r>
              <w:rPr>
                <w:rFonts w:ascii="TimesNewRomanPSMT" w:hAnsi="TimesNewRomanPSMT"/>
                <w:sz w:val="20"/>
              </w:rPr>
              <w:t>(Principal Financial Officer and Principal Accounting</w:t>
            </w:r>
          </w:p>
          <w:p>
            <w:pPr>
              <w:pStyle w:val="TableContents"/>
              <w:bidi w:val="0"/>
              <w:spacing w:before="0" w:after="0"/>
              <w:ind w:left="0" w:right="0" w:hanging="0"/>
              <w:jc w:val="left"/>
              <w:rPr>
                <w:rFonts w:ascii="TimesNewRomanPSMT" w:hAnsi="TimesNewRomanPSMT"/>
                <w:sz w:val="20"/>
              </w:rPr>
            </w:pPr>
            <w:r>
              <w:rPr>
                <w:rFonts w:ascii="TimesNewRomanPSMT" w:hAnsi="TimesNewRomanPSMT"/>
                <w:sz w:val="20"/>
              </w:rPr>
              <w:t>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bookmarkStart w:id="1074" w:name="mist-20260630xex32d1.htm"/>
      <w:bookmarkStart w:id="1075" w:name="ksmist20260630xex32d1"/>
      <w:bookmarkEnd w:id="1074"/>
      <w:bookmarkEnd w:id="1075"/>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Joseph Oliveto, Chief Executive Officer of Milestone Pharmaceuticals Inc. (the “Company”), and Amit Hasija, Chief Financial Officer of the Company, each hereby certifies that, to the best of his or her knowledge:</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938" w:type="dxa"/>
        <w:jc w:val="left"/>
        <w:tblInd w:w="0" w:type="dxa"/>
        <w:tblLayout w:type="fixed"/>
        <w:tblCellMar>
          <w:top w:w="0" w:type="dxa"/>
          <w:left w:w="0" w:type="dxa"/>
          <w:bottom w:w="0" w:type="dxa"/>
          <w:right w:w="0" w:type="dxa"/>
        </w:tblCellMar>
      </w:tblPr>
      <w:tblGrid>
        <w:gridCol w:w="2446"/>
        <w:gridCol w:w="346"/>
        <w:gridCol w:w="5146"/>
      </w:tblGrid>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12, 2026</w:t>
            </w:r>
          </w:p>
        </w:tc>
        <w:tc>
          <w:tcPr>
            <w:tcW w:w="346" w:type="dxa"/>
            <w:tcBorders/>
            <w:vAlign w:val="center"/>
          </w:tcPr>
          <w:p>
            <w:pPr>
              <w:pStyle w:val="TableContents"/>
              <w:bidi w:val="0"/>
              <w:spacing w:before="0" w:after="0"/>
              <w:ind w:left="0" w:right="0" w:hanging="0"/>
              <w:jc w:val="left"/>
              <w:rPr/>
            </w:pPr>
            <w:r>
              <w:rPr/>
              <w:t>  ​ ​ ​</w:t>
            </w:r>
          </w:p>
        </w:tc>
        <w:tc>
          <w:tcPr>
            <w:tcW w:w="5146"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24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2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Joseph Oliveto</w:t>
            </w:r>
          </w:p>
        </w:tc>
        <w:tc>
          <w:tcPr>
            <w:tcW w:w="346" w:type="dxa"/>
            <w:tcBorders/>
            <w:vAlign w:val="center"/>
          </w:tcPr>
          <w:p>
            <w:pPr>
              <w:pStyle w:val="TableContents"/>
              <w:bidi w:val="0"/>
              <w:spacing w:before="0" w:after="0"/>
              <w:ind w:left="0" w:right="0" w:hanging="0"/>
              <w:jc w:val="left"/>
              <w:rPr/>
            </w:pPr>
            <w:r>
              <w:rPr/>
              <w:t>​</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Amit Hasija</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Oliveto</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Amit Hasija</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font-style:italic"/>
    <w:charset w:val="01"/>
    <w:family w:val="auto"/>
    <w:pitch w:val="default"/>
  </w:font>
  <w:font w:name="Times New Roman">
    <w:altName w:val="font-weight:bold"/>
    <w:charset w:val="01"/>
    <w:family w:val="auto"/>
    <w:pitch w:val="default"/>
  </w:font>
  <w:font w:name="Times New Roman">
    <w:altName w:val="font-size:10pt"/>
    <w:charset w:val="01"/>
    <w:family w:val="auto"/>
    <w:pitch w:val="default"/>
  </w:font>
  <w:font w:name="TimesNewRomanPSM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8443/000110465919029792/a18-41190_11ex3d1.htm" TargetMode="External"/><Relationship Id="rId3" Type="http://schemas.openxmlformats.org/officeDocument/2006/relationships/hyperlink" Target="https://www.sec.gov/Archives/edgar/data/1408443/000110465919029792/a18-41190_11ex3d2.htm" TargetMode="External"/><Relationship Id="rId4" Type="http://schemas.openxmlformats.org/officeDocument/2006/relationships/hyperlink" Target="https://www.sec.gov/Archives/edgar/data/1408443/000110465926059752/mist-20260331xex10d3.htm" TargetMode="External"/><Relationship Id="rId5" Type="http://schemas.openxmlformats.org/officeDocument/2006/relationships/hyperlink" Target="https://www.sec.gov/Archives/edgar/data/1408443/000110465926059752/mist-20260331xex10d3.htm" TargetMode="External"/><Relationship Id="rId6" Type="http://schemas.openxmlformats.org/officeDocument/2006/relationships/hyperlink" Target="https://www.sec.gov/Archives/edgar/data/1408443/000110465926059752/mist-20260331xex10d3.htm" TargetMode="External"/><Relationship Id="rId7" Type="http://schemas.openxmlformats.org/officeDocument/2006/relationships/hyperlink" Target="https://www.sec.gov/Archives/edgar/data/1408443/000110465926074025/tm2617859d1_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26704</Words>
  <Characters>149476</Characters>
  <CharactersWithSpaces>178127</CharactersWithSpaces>
  <Paragraphs>5597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