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116205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138430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310" w:right="660" w:hanging="3310"/>
        <w:spacing w:after="0" w:line="376" w:lineRule="auto"/>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98"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5" w:lineRule="exact"/>
        <w:rPr>
          <w:sz w:val="24"/>
          <w:szCs w:val="24"/>
          <w:color w:val="auto"/>
        </w:rPr>
      </w:pPr>
    </w:p>
    <w:p>
      <w:pPr>
        <w:jc w:val="center"/>
        <w:ind w:right="-9"/>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0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Commission File Number: 001-38899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148590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90"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0"/>
          <w:szCs w:val="40"/>
          <w:b w:val="1"/>
          <w:bCs w:val="1"/>
          <w:color w:val="auto"/>
        </w:rPr>
        <w:t>Milestone Pharmaceuticals Inc.</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133350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390" w:space="720"/>
            <w:col w:w="1340" w:space="720"/>
            <w:col w:w="3060"/>
          </w:cols>
          <w:pgMar w:left="830" w:top="661" w:right="839" w:bottom="1440" w:gutter="0" w:footer="0" w:header="0"/>
          <w:type w:val="continuous"/>
        </w:sectPr>
      </w:pPr>
    </w:p>
    <w:p>
      <w:pPr>
        <w:ind w:left="167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65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34" w:lineRule="exact"/>
        <w:rPr>
          <w:sz w:val="24"/>
          <w:szCs w:val="24"/>
          <w:color w:val="auto"/>
        </w:rPr>
      </w:pPr>
    </w:p>
    <w:p>
      <w:pPr>
        <w:sectPr>
          <w:pgSz w:w="11900" w:h="16838" w:orient="portrait"/>
          <w:cols w:equalWidth="0" w:num="2">
            <w:col w:w="6470" w:space="720"/>
            <w:col w:w="3040"/>
          </w:cols>
          <w:pgMar w:left="830" w:top="661" w:right="83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1111 Dr. Frederik-Philips Boulevard, Suite 420</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Montréal, Québec CA H4M 2X6</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(514) 336-0444</w:t>
      </w:r>
    </w:p>
    <w:p>
      <w:pPr>
        <w:spacing w:after="0" w:line="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207"/>
        </w:trPr>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Shares</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color w:val="auto"/>
              </w:rPr>
              <w:t>MIST</w:t>
            </w:r>
          </w:p>
        </w:tc>
        <w:tc>
          <w:tcPr>
            <w:tcW w:w="200" w:type="dxa"/>
            <w:vAlign w:val="bottom"/>
          </w:tcPr>
          <w:p>
            <w:pPr>
              <w:spacing w:after="0"/>
              <w:rPr>
                <w:sz w:val="17"/>
                <w:szCs w:val="17"/>
                <w:color w:val="auto"/>
              </w:rPr>
            </w:pPr>
          </w:p>
        </w:tc>
        <w:tc>
          <w:tcPr>
            <w:tcW w:w="32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2" w:lineRule="exact"/>
        <w:rPr>
          <w:sz w:val="24"/>
          <w:szCs w:val="24"/>
          <w:color w:val="auto"/>
        </w:rPr>
      </w:pPr>
    </w:p>
    <w:p>
      <w:pPr>
        <w:ind w:left="10" w:right="2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left="10" w:right="58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left="10" w:right="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57" w:lineRule="exact"/>
        <w:rPr>
          <w:sz w:val="24"/>
          <w:szCs w:val="24"/>
          <w:color w:val="auto"/>
        </w:rPr>
      </w:pPr>
    </w:p>
    <w:p>
      <w:pPr>
        <w:ind w:left="10" w:right="540"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50" w:right="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13, 2026, the registrant had 124,497,980 common shares,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497205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120015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2740" w:type="dxa"/>
            <w:vAlign w:val="bottom"/>
            <w:gridSpan w:val="2"/>
            <w:vMerge w:val="restart"/>
          </w:tcPr>
          <w:p>
            <w:pPr>
              <w:spacing w:after="0"/>
              <w:rPr>
                <w:sz w:val="14"/>
                <w:szCs w:val="14"/>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5660" w:type="dxa"/>
            <w:vAlign w:val="bottom"/>
            <w:tcBorders>
              <w:bottom w:val="single" w:sz="8" w:color="0000EE"/>
            </w:tcBorders>
            <w:gridSpan w:val="23"/>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00" w:type="dxa"/>
            <w:vAlign w:val="bottom"/>
            <w:gridSpan w:val="3"/>
          </w:tcPr>
          <w:p>
            <w:pPr>
              <w:spacing w:after="0"/>
              <w:rPr>
                <w:sz w:val="24"/>
                <w:szCs w:val="24"/>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74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Loss</w:t>
            </w:r>
          </w:p>
        </w:tc>
        <w:tc>
          <w:tcPr>
            <w:tcW w:w="44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Shareholders’ Equity</w:t>
            </w:r>
          </w:p>
        </w:tc>
        <w:tc>
          <w:tcPr>
            <w:tcW w:w="328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396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8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00" w:type="dxa"/>
            <w:vAlign w:val="bottom"/>
            <w:gridSpan w:val="4"/>
          </w:tcPr>
          <w:p>
            <w:pPr>
              <w:spacing w:after="0"/>
              <w:rPr>
                <w:sz w:val="17"/>
                <w:szCs w:val="17"/>
                <w:color w:val="auto"/>
              </w:rPr>
            </w:pPr>
          </w:p>
        </w:tc>
        <w:tc>
          <w:tcPr>
            <w:tcW w:w="7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00" w:type="dxa"/>
            <w:vAlign w:val="bottom"/>
            <w:gridSpan w:val="4"/>
          </w:tcPr>
          <w:p>
            <w:pPr>
              <w:spacing w:after="0"/>
              <w:rPr>
                <w:sz w:val="17"/>
                <w:szCs w:val="17"/>
                <w:color w:val="auto"/>
              </w:rPr>
            </w:pPr>
          </w:p>
        </w:tc>
        <w:tc>
          <w:tcPr>
            <w:tcW w:w="43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24"/>
                <w:szCs w:val="24"/>
                <w:color w:val="auto"/>
              </w:rPr>
            </w:pPr>
          </w:p>
        </w:tc>
        <w:tc>
          <w:tcPr>
            <w:tcW w:w="56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80" w:type="dxa"/>
            <w:vAlign w:val="bottom"/>
            <w:gridSpan w:val="2"/>
          </w:tcPr>
          <w:p>
            <w:pPr>
              <w:spacing w:after="0"/>
              <w:rPr>
                <w:sz w:val="17"/>
                <w:szCs w:val="17"/>
                <w:color w:val="auto"/>
              </w:rPr>
            </w:pPr>
          </w:p>
        </w:tc>
        <w:tc>
          <w:tcPr>
            <w:tcW w:w="7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3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00" w:type="dxa"/>
            <w:vAlign w:val="bottom"/>
            <w:gridSpan w:val="4"/>
          </w:tcPr>
          <w:p>
            <w:pPr>
              <w:spacing w:after="0"/>
              <w:rPr>
                <w:sz w:val="17"/>
                <w:szCs w:val="17"/>
                <w:color w:val="auto"/>
              </w:rPr>
            </w:pPr>
          </w:p>
        </w:tc>
        <w:tc>
          <w:tcPr>
            <w:tcW w:w="7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17"/>
                <w:szCs w:val="17"/>
                <w:color w:val="auto"/>
              </w:rPr>
            </w:pPr>
          </w:p>
        </w:tc>
        <w:tc>
          <w:tcPr>
            <w:tcW w:w="536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0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36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445"/>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“Milestone Pharmaceuticals” and the Milestone logo appearing in this Quarterly Report on Form 10-Q are unregistered trademarks of Milestone Pharmaceuticals Inc. All other trademarks, trade names and service marks appearing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references to United States dollars and Canadian dollars. All dollar amounts referenced, unless otherwise indicated, are expressed in United States dollars. References to “$” are to United States dollars and references to “C$” are to Canadian dollars.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Quarterly Report on Form 10-Q, regarding, among other things:</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commercialization of CARDAMYST™ (etripamil) nasal spray for the conversion of acute symptomatic episodes of paroxysmal supraventricular tachycardia, or “PSVT,” to sinus rhythm in adults as well as our plans to develop and commercialize our product candidates;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clinical trials of etripamil, including our Phase 3 clinical trial of etripamil for the treatment of atrial fibrillation and rapid ventricular rate, and of our research and development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by regulatory authorities, commercialize etripamil in China, Hong Kong, Macau, and Taiwan through our license agreement with our partner Everest Medicines, formerly partnered with Corxel Pharmaceuticals;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or obtain additional funding;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products for new indications and/or of our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etripamil and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 and expectations regarding the sufficiency of our capital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etripamil, and any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serve;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international trade policies, including tariffs, sanctions, and trade barriers;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foregoing list of risks is not exhaustive. Other sections of this Quarterly Report on Form 10-Q and the section titled “Risk Factors” </w:t>
      </w:r>
      <w:r>
        <w:rPr>
          <w:rFonts w:ascii="Times New Roman" w:cs="Times New Roman" w:eastAsia="Times New Roman" w:hAnsi="Times New Roman"/>
          <w:sz w:val="18"/>
          <w:szCs w:val="18"/>
          <w:color w:val="333333"/>
        </w:rPr>
        <w:t>previously disclosed in Part I, Item 1A.</w:t>
      </w:r>
      <w:r>
        <w:rPr>
          <w:rFonts w:ascii="Times New Roman" w:cs="Times New Roman" w:eastAsia="Times New Roman" w:hAnsi="Times New Roman"/>
          <w:sz w:val="18"/>
          <w:szCs w:val="18"/>
          <w:color w:val="auto"/>
        </w:rPr>
        <w:t xml:space="preserve"> in our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w:t>
      </w:r>
      <w:r>
        <w:rPr>
          <w:rFonts w:ascii="Times New Roman" w:cs="Times New Roman" w:eastAsia="Times New Roman" w:hAnsi="Times New Roman"/>
          <w:sz w:val="18"/>
          <w:szCs w:val="18"/>
          <w:color w:val="333333"/>
        </w:rPr>
        <w:t>previously disclosed in Part I, Item 1A.</w:t>
      </w:r>
      <w:r>
        <w:rPr>
          <w:rFonts w:ascii="Times New Roman" w:cs="Times New Roman" w:eastAsia="Times New Roman" w:hAnsi="Times New Roman"/>
          <w:sz w:val="18"/>
          <w:szCs w:val="18"/>
          <w:color w:val="auto"/>
        </w:rPr>
        <w:t xml:space="preserve"> in our Annual Report on Form 10-K, filed with the SEC and under Milestone’s SEDAR+ profile at www.sedarplus.com on March 20, 2026,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data)</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ind w:left="5640"/>
              <w:spacing w:after="0"/>
              <w:rPr>
                <w:sz w:val="20"/>
                <w:szCs w:val="20"/>
                <w:color w:val="auto"/>
              </w:rPr>
            </w:pPr>
            <w:r>
              <w:rPr>
                <w:rFonts w:ascii="Times New Roman" w:cs="Times New Roman" w:eastAsia="Times New Roman" w:hAnsi="Times New Roman"/>
                <w:sz w:val="14"/>
                <w:szCs w:val="14"/>
                <w:i w:val="1"/>
                <w:i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i w:val="1"/>
                <w:iCs w:val="1"/>
                <w:color w:val="auto"/>
              </w:rPr>
              <w:t>​​​</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71,317</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License receivable</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Research and development tax credits receivable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192,253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193,734</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10,023</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secured convertible notes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58,192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Royalty financing obligation, long-term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157,685</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shares, no par value, unlimited shares authorized, 117,794,417 shares issued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373,702</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352,619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March 31, 2026, 106,236,344 shares issued and outstanding as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Pre-funded warrants - 16,412,925 issued and outstanding as of March 31, 2026, and 16,412,925</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55,649</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55,649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December 31, 2025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63,367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(456,669)</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36,049</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193,734</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 revenue, net</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License and other revenue</w:t>
            </w:r>
          </w:p>
        </w:tc>
        <w:tc>
          <w:tcPr>
            <w:tcW w:w="6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Research and development, net of tax credits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6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(23,663)</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(26,066)</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number of shares and pre-funded warrants outstanding, basic and diluted</w:t>
            </w: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130,286,033</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66,285,406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 per share, basic and diluted</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(Unaudited)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data)</w:t>
      </w:r>
    </w:p>
    <w:p>
      <w:pPr>
        <w:sectPr>
          <w:pgSz w:w="11900" w:h="16838" w:orient="portrait"/>
          <w:cols w:equalWidth="0" w:num="1">
            <w:col w:w="10440"/>
          </w:cols>
          <w:pgMar w:left="720" w:top="513"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during the three-month period ended March 31,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loss</w:t>
      </w:r>
    </w:p>
    <w:p>
      <w:pPr>
        <w:spacing w:after="0" w:line="233" w:lineRule="auto"/>
        <w:rPr>
          <w:sz w:val="20"/>
          <w:szCs w:val="20"/>
          <w:color w:val="auto"/>
        </w:rPr>
      </w:pPr>
      <w:r>
        <w:rPr>
          <w:rFonts w:ascii="Times New Roman" w:cs="Times New Roman" w:eastAsia="Times New Roman" w:hAnsi="Times New Roman"/>
          <w:sz w:val="11"/>
          <w:szCs w:val="11"/>
          <w:color w:val="auto"/>
        </w:rPr>
        <w:t>Share-based compensation</w:t>
      </w:r>
    </w:p>
    <w:p>
      <w:pPr>
        <w:spacing w:after="0" w:line="231" w:lineRule="auto"/>
        <w:rPr>
          <w:sz w:val="20"/>
          <w:szCs w:val="20"/>
          <w:color w:val="auto"/>
        </w:rPr>
      </w:pPr>
      <w:r>
        <w:rPr>
          <w:rFonts w:ascii="Times New Roman" w:cs="Times New Roman" w:eastAsia="Times New Roman" w:hAnsi="Times New Roman"/>
          <w:sz w:val="11"/>
          <w:szCs w:val="11"/>
          <w:color w:val="auto"/>
        </w:rPr>
        <w:t>Employee stock purchase plan purchases</w:t>
      </w:r>
    </w:p>
    <w:p>
      <w:pPr>
        <w:spacing w:after="0"/>
        <w:rPr>
          <w:sz w:val="20"/>
          <w:szCs w:val="20"/>
          <w:color w:val="auto"/>
        </w:rPr>
      </w:pPr>
      <w:r>
        <w:rPr>
          <w:rFonts w:ascii="Times New Roman" w:cs="Times New Roman" w:eastAsia="Times New Roman" w:hAnsi="Times New Roman"/>
          <w:sz w:val="11"/>
          <w:szCs w:val="11"/>
          <w:b w:val="1"/>
          <w:bCs w:val="1"/>
          <w:color w:val="auto"/>
        </w:rPr>
        <w:t>Balance as of March 31, 2025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0" w:type="dxa"/>
            <w:vAlign w:val="bottom"/>
          </w:tcPr>
          <w:p>
            <w:pPr>
              <w:spacing w:after="0"/>
              <w:rPr>
                <w:sz w:val="11"/>
                <w:szCs w:val="11"/>
                <w:color w:val="auto"/>
              </w:rPr>
            </w:pPr>
          </w:p>
        </w:tc>
        <w:tc>
          <w:tcPr>
            <w:tcW w:w="2220" w:type="dxa"/>
            <w:vAlign w:val="bottom"/>
            <w:tcBorders>
              <w:bottom w:val="single" w:sz="8" w:color="auto"/>
            </w:tcBorders>
            <w:gridSpan w:val="4"/>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220" w:type="dxa"/>
            <w:vAlign w:val="bottom"/>
          </w:tcPr>
          <w:p>
            <w:pPr>
              <w:spacing w:after="0"/>
              <w:rPr>
                <w:sz w:val="11"/>
                <w:szCs w:val="11"/>
                <w:color w:val="auto"/>
              </w:rPr>
            </w:pPr>
          </w:p>
        </w:tc>
        <w:tc>
          <w:tcPr>
            <w:tcW w:w="198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Pre-funded warrants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8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4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of warrants</w:t>
            </w: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gridSpan w:val="3"/>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53,353,984</w:t>
            </w:r>
          </w:p>
        </w:tc>
        <w:tc>
          <w:tcPr>
            <w:tcW w:w="220" w:type="dxa"/>
            <w:vAlign w:val="bottom"/>
          </w:tcPr>
          <w:p>
            <w:pPr>
              <w:spacing w:after="0"/>
              <w:rPr>
                <w:sz w:val="10"/>
                <w:szCs w:val="10"/>
                <w:color w:val="auto"/>
              </w:rPr>
            </w:pPr>
          </w:p>
        </w:tc>
        <w:tc>
          <w:tcPr>
            <w:tcW w:w="22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288,048</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12,910,590</w:t>
            </w:r>
          </w:p>
        </w:tc>
        <w:tc>
          <w:tcPr>
            <w:tcW w:w="200" w:type="dxa"/>
            <w:vAlign w:val="bottom"/>
          </w:tcPr>
          <w:p>
            <w:pPr>
              <w:spacing w:after="0"/>
              <w:rPr>
                <w:sz w:val="10"/>
                <w:szCs w:val="10"/>
                <w:color w:val="auto"/>
              </w:rPr>
            </w:pPr>
          </w:p>
        </w:tc>
        <w:tc>
          <w:tcPr>
            <w:tcW w:w="16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53,076</w:t>
            </w:r>
          </w:p>
        </w:tc>
        <w:tc>
          <w:tcPr>
            <w:tcW w:w="20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39,568</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(367,545)</w:t>
            </w:r>
          </w:p>
        </w:tc>
        <w:tc>
          <w:tcPr>
            <w:tcW w:w="120" w:type="dxa"/>
            <w:vAlign w:val="bottom"/>
          </w:tcPr>
          <w:p>
            <w:pPr>
              <w:spacing w:after="0"/>
              <w:rPr>
                <w:sz w:val="10"/>
                <w:szCs w:val="10"/>
                <w:color w:val="auto"/>
              </w:rPr>
            </w:pPr>
          </w:p>
        </w:tc>
        <w:tc>
          <w:tcPr>
            <w:tcW w:w="60" w:type="dxa"/>
            <w:vAlign w:val="bottom"/>
            <w:tcBorders>
              <w:top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9"/>
              </w:rPr>
              <w:t>13,147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0"/>
              </w:rPr>
              <w:t>(20,761)</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1,351</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110,289</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53,464,273</w:t>
            </w:r>
          </w:p>
        </w:tc>
        <w:tc>
          <w:tcPr>
            <w:tcW w:w="220" w:type="dxa"/>
            <w:vAlign w:val="bottom"/>
          </w:tcPr>
          <w:p>
            <w:pPr>
              <w:spacing w:after="0"/>
              <w:rPr>
                <w:sz w:val="10"/>
                <w:szCs w:val="10"/>
                <w:color w:val="auto"/>
              </w:rPr>
            </w:pP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288,188</w:t>
            </w:r>
          </w:p>
        </w:tc>
        <w:tc>
          <w:tcPr>
            <w:tcW w:w="220" w:type="dxa"/>
            <w:vAlign w:val="bottom"/>
          </w:tcPr>
          <w:p>
            <w:pPr>
              <w:spacing w:after="0"/>
              <w:rPr>
                <w:sz w:val="10"/>
                <w:szCs w:val="10"/>
                <w:color w:val="auto"/>
              </w:rPr>
            </w:pPr>
          </w:p>
        </w:tc>
        <w:tc>
          <w:tcPr>
            <w:tcW w:w="86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12,910,590</w:t>
            </w:r>
          </w:p>
        </w:tc>
        <w:tc>
          <w:tcPr>
            <w:tcW w:w="200" w:type="dxa"/>
            <w:vAlign w:val="bottom"/>
          </w:tcPr>
          <w:p>
            <w:pPr>
              <w:spacing w:after="0"/>
              <w:rPr>
                <w:sz w:val="10"/>
                <w:szCs w:val="10"/>
                <w:color w:val="auto"/>
              </w:rPr>
            </w:pPr>
          </w:p>
        </w:tc>
        <w:tc>
          <w:tcPr>
            <w:tcW w:w="16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53,076</w:t>
            </w: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40,919</w:t>
            </w:r>
          </w:p>
        </w:tc>
        <w:tc>
          <w:tcPr>
            <w:tcW w:w="220" w:type="dxa"/>
            <w:vAlign w:val="bottom"/>
          </w:tcPr>
          <w:p>
            <w:pPr>
              <w:spacing w:after="0"/>
              <w:rPr>
                <w:sz w:val="10"/>
                <w:szCs w:val="10"/>
                <w:color w:val="auto"/>
              </w:rPr>
            </w:pPr>
          </w:p>
        </w:tc>
        <w:tc>
          <w:tcPr>
            <w:tcW w:w="120" w:type="dxa"/>
            <w:vAlign w:val="bottom"/>
          </w:tcPr>
          <w:p>
            <w:pPr>
              <w:jc w:val="right"/>
              <w:ind w:right="4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(388,306)</w:t>
            </w:r>
          </w:p>
        </w:tc>
        <w:tc>
          <w:tcPr>
            <w:tcW w:w="140" w:type="dxa"/>
            <w:vAlign w:val="bottom"/>
            <w:gridSpan w:val="2"/>
          </w:tcPr>
          <w:p>
            <w:pPr>
              <w:spacing w:after="0"/>
              <w:rPr>
                <w:sz w:val="10"/>
                <w:szCs w:val="10"/>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(6,123)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-513715</wp:posOffset>
            </wp:positionV>
            <wp:extent cx="663511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8572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-342265</wp:posOffset>
            </wp:positionV>
            <wp:extent cx="6635115" cy="77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5115" cy="7747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-187960</wp:posOffset>
            </wp:positionV>
            <wp:extent cx="663511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5115" cy="768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380"/>
            <w:col w:w="6980"/>
          </w:cols>
          <w:pgMar w:left="720" w:top="513" w:right="739" w:bottom="1440" w:gutter="0" w:footer="0" w:header="0"/>
          <w:type w:val="continuous"/>
        </w:sectPr>
      </w:pPr>
    </w:p>
    <w:tbl>
      <w:tblPr>
        <w:tblLayout w:type="fixed"/>
        <w:tblInd w:w="0" w:type="dxa"/>
        <w:tblCellMar>
          <w:top w:w="0" w:type="dxa"/>
          <w:left w:w="0" w:type="dxa"/>
          <w:bottom w:w="0" w:type="dxa"/>
          <w:right w:w="0" w:type="dxa"/>
        </w:tblCellMar>
      </w:tblPr>
      <w:tr>
        <w:trPr>
          <w:trHeight w:val="102"/>
        </w:trPr>
        <w:tc>
          <w:tcPr>
            <w:tcW w:w="20" w:type="dxa"/>
            <w:vAlign w:val="bottom"/>
            <w:vMerge w:val="restart"/>
          </w:tcPr>
          <w:p>
            <w:pPr>
              <w:spacing w:after="0"/>
              <w:rPr>
                <w:sz w:val="8"/>
                <w:szCs w:val="8"/>
                <w:color w:val="auto"/>
              </w:rPr>
            </w:pPr>
          </w:p>
        </w:tc>
        <w:tc>
          <w:tcPr>
            <w:tcW w:w="3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106,236,344</w:t>
            </w:r>
          </w:p>
        </w:tc>
        <w:tc>
          <w:tcPr>
            <w:tcW w:w="620" w:type="dxa"/>
            <w:vAlign w:val="bottom"/>
            <w:gridSpan w:val="2"/>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352,619</w:t>
            </w:r>
          </w:p>
        </w:tc>
        <w:tc>
          <w:tcPr>
            <w:tcW w:w="2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16,412,925</w:t>
            </w:r>
          </w:p>
        </w:tc>
        <w:tc>
          <w:tcPr>
            <w:tcW w:w="520" w:type="dxa"/>
            <w:vAlign w:val="bottom"/>
            <w:gridSpan w:val="2"/>
          </w:tcPr>
          <w:p>
            <w:pPr>
              <w:jc w:val="right"/>
              <w:ind w:right="2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55,649</w:t>
            </w:r>
          </w:p>
        </w:tc>
        <w:tc>
          <w:tcPr>
            <w:tcW w:w="460" w:type="dxa"/>
            <w:vAlign w:val="bottom"/>
            <w:gridSpan w:val="2"/>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64,104</w:t>
            </w:r>
          </w:p>
        </w:tc>
        <w:tc>
          <w:tcPr>
            <w:tcW w:w="360" w:type="dxa"/>
            <w:vAlign w:val="bottom"/>
            <w:gridSpan w:val="2"/>
          </w:tcPr>
          <w:p>
            <w:pPr>
              <w:jc w:val="right"/>
              <w:ind w:right="73"/>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(430,603)</w:t>
            </w:r>
          </w:p>
        </w:tc>
        <w:tc>
          <w:tcPr>
            <w:tcW w:w="12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w w:val="93"/>
              </w:rPr>
              <w:t>$ 41,769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Transactions during the three-month period ended March 31, 2026</w:t>
            </w: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(26,066)</w:t>
            </w:r>
          </w:p>
        </w:tc>
        <w:tc>
          <w:tcPr>
            <w:tcW w:w="12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(26,066)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1,282</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shares, vesting of restricted stock units</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237,677</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2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shares, net of issuance costs</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5,526,590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10,891</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10,891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Series A common stock warrants, net of issuance costs</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5,666,666</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9,529</w:t>
            </w:r>
          </w:p>
        </w:tc>
        <w:tc>
          <w:tcPr>
            <w:tcW w:w="2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Employee stock purchase plan purchases</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127,140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183</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117,794,417</w:t>
            </w:r>
          </w:p>
        </w:tc>
        <w:tc>
          <w:tcPr>
            <w:tcW w:w="2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2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373,702</w:t>
            </w:r>
          </w:p>
        </w:tc>
        <w:tc>
          <w:tcPr>
            <w:tcW w:w="2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16,412,925</w:t>
            </w:r>
          </w:p>
        </w:tc>
        <w:tc>
          <w:tcPr>
            <w:tcW w:w="20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55,649</w:t>
            </w:r>
          </w:p>
        </w:tc>
        <w:tc>
          <w:tcPr>
            <w:tcW w:w="2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63,367</w:t>
            </w: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(456,669)</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88"/>
              </w:rPr>
              <w:t>$ 36,049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1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(26,066)</w:t>
            </w: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debt costs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Accretion of investment discount</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interest expense related to senior secured convertible note</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interest expense related to royalty financing obligation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Research and development tax credits receivable</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 lease assets and liabilities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(16,053)</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short-term investments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(79,985)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Redemption of short-term investments</w:t>
            </w:r>
          </w:p>
        </w:tc>
        <w:tc>
          <w:tcPr>
            <w:tcW w:w="10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34,466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(80,030)</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Royalty Financing Arrangement</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net of issuance costs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series A warrants, net of issuance costs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employee stock purchase plan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property and equipment financing</w:t>
            </w:r>
          </w:p>
        </w:tc>
        <w:tc>
          <w:tcPr>
            <w:tcW w:w="10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financing activities</w:t>
            </w:r>
          </w:p>
        </w:tc>
        <w:tc>
          <w:tcPr>
            <w:tcW w:w="10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94,354</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 Beginning of period</w:t>
            </w:r>
          </w:p>
        </w:tc>
        <w:tc>
          <w:tcPr>
            <w:tcW w:w="10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73,046</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12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71,317</w:t>
            </w: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Milestone Pharmaceuticals Inc., or “Milestone,” or the “Company,” is a biopharmaceutical company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Milestone’s headquarters is currently located in Montréal (Québec), Canada. The Company’s common shares began trading on The Nasdaq Global Select Market on May 9, 2019, and trade under the symbol “MIST”. Milestone is focused on the development and commercialization of innovative cardiovascular medicines. Milestone’s lead product candidate, etripamil, is a novel, potent rapid-onset calcium channel blocker that the Company designed and is developing as a rapid-onset nasal spray to be administered by patients. On December 12, 2025, CARDAMYST™ (etripamil) was approved by the U.S. Food and Drug Administration, or “FDA,” to treat paroxysmal supraventricular tachycardia, or “PSVT.” The Company is also developing etripamil for the treatment of atrial fibrillation with rapid ventricular rate, or “AFib-RVR,” and other cardiovascular indications.</w:t>
      </w:r>
    </w:p>
    <w:p>
      <w:pPr>
        <w:spacing w:after="0" w:line="198" w:lineRule="exact"/>
        <w:rPr>
          <w:sz w:val="20"/>
          <w:szCs w:val="20"/>
          <w:color w:val="auto"/>
        </w:rPr>
      </w:pPr>
    </w:p>
    <w:p>
      <w:pPr>
        <w:ind w:left="60" w:right="5419" w:hanging="10"/>
        <w:spacing w:after="0" w:line="503" w:lineRule="auto"/>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 Basis of Consolidation</w:t>
      </w: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Milestone Pharmaceuticals USA, Inc. All intercompany transactions and balances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Basis of Presentation and Use of Accounting Estimates and Significant Accounting Policies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in accordance with accounting principles generally accepted in the United States of America, or “U.S. GAAP,” pursuant to the rules and regulations of the Securities and Exchange Commission (SEC) for interim financial information, and on a basis consistent with those accounting principles followed by the Company and disclosed in Note 2, “Summary of Significant Accounting Policies,” of its most recent annual consolidated financial statements. Certain information, in particular the accompanying notes normally included in the annual financial statements prepared in accordance with U.S. GAAP, has been omitted or condensed. Accordingly, these unaudited interim condensed consolidated financial statements do not include all the information required for full annual financial statements, and therefore, should be read in conjunction with the annual consolidated financial statements and the notes thereto for the year ended December 31, 2025.</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interim condensed consolidated financial statements contain all adjustments, consisting of only normal recurring adjustments, necessary for a fair statement of its condensed consolidated balance sheet as of March 31, 2026, and its condensed consolidated statements of loss and shareholders’ equity for the three-months ended March 31, 2026 and 2025, and its condensed consolidated statements of cash flows for the three-months ended March 31, 2026 and 2025.</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was derived from the audited annual consolidated financial statements, but does not contain all the footnote disclosures required by U.S. GAAP. Commencing in the three months ended March 31, 2026, amounts previously presented as “Accounts payable and accrued liabilities” on the Condensed Consolidated Balance Sheets are presented separately as “Accounts payable” and “Accrued liabilities.” Comparative amounts have been reclassified to conform with the current period presentation.</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are presented in US dollars, which is the Company’s functional currency.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unaudited interim condensed consolidated financial statements in conformity with U.S. GAAP requires the Company to make estimates and judgments that affect certain reported amounts of assets and liabilities and disclosure of contingent assets and liabilities at the date of the consolidated financial statements and the reported amounts of revenue and expenses during the period. The Company bases its estimates and assumptions on current facts, historical experience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various other factors that it believes are reasonable under the circumstances, to determine the carrying values of assets and liabilities that are not readily apparent from other sources. Significant estimates and judgments include, but are not limited to,</w:t>
      </w:r>
    </w:p>
    <w:p>
      <w:pPr>
        <w:spacing w:after="0" w:line="176" w:lineRule="exact"/>
        <w:rPr>
          <w:sz w:val="20"/>
          <w:szCs w:val="20"/>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percentage of work completed of the total work over the life of the individual trial in accordance with agreements established with clinical research organizations, or “CROs,” contract manufacturing organizations, or “CMOs,” and clinical trial sites which in turn impact the research and development, or “R&amp;D,” expenses.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grant date fair value of share options granted to employees, consultants, and directors, and the resulting share-based compensation expense, using the Black-Scholes option pricing model.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transaction price when recognizing revenue. Net revenue from sales of CARDAMYST is recorded at net selling price (transaction price), which includes reserves for variable consideration.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timing and amount of future royalty payments to be generated from product sales over the expected repayment term, which are used to determine the effective interest rate and resulting interest expense and carrying amount of the royalty financing obligation.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condensed consolidated financial statements, the Company is not aware of any specific event or circumstance that would require the Company to update its estimates, assumptions and judgments.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Significant Risks and Uncertainties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is subject to challenges and risks specific to its business and its ability to execute on its strategy, as well as risks and uncertainties common to companies in the pharmaceutical industry, including, without limitation, risks and uncertainties associated with: commercializing CARDAMYST; procuring inventory given the Company’s reliance on a concentrated supplier base, delays or problems in the supply of its study drug or failure to comply with manufacturing regulations; identifying, acquiring or in-licensing product candidates; pharmaceutical product development and the inherent uncertainty of clinical success; and the challenges of protecting and enhancing its intellectual property rights; and complying with applicable regulatory requirements.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the Company may be impacted by general economic, political, and market conditions, including deteriorating market conditions due to investor concerns regarding inflation, armed conflicts, and overall fluctuations in the financial markets in the U.S. and abroad.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Recent Accounting Pronouncements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or “FASB,” issued Accounting Standards Update, or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after the effective date of this ASU or (2) retrospectively to all prior periods presented in the financial statements. The Company is currently evaluating this guidance to determine the impact it may have on its financial statement disclosures.</w:t>
      </w:r>
    </w:p>
    <w:p>
      <w:pPr>
        <w:spacing w:after="0" w:line="16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Induced Conversions of Convertible Debt Instruments,” </w:t>
      </w:r>
      <w:r>
        <w:rPr>
          <w:rFonts w:ascii="Times New Roman" w:cs="Times New Roman" w:eastAsia="Times New Roman" w:hAnsi="Times New Roman"/>
          <w:sz w:val="18"/>
          <w:szCs w:val="18"/>
          <w:color w:val="auto"/>
        </w:rPr>
        <w:t>which clarifies the requirements for determining whether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settlements of convertible debt instruments should be accounted for as induced conversions or as debt extinguishments. This ASU is effective for fiscal years beginning after December 15, 2025, including interim periods within those fiscal years. The amendments may be applied on either a prospective or retrospective basis. The Company adopted this standard and determined that it did not have a material impact with respect to the condensed consolidated financial statements.</w:t>
      </w:r>
    </w:p>
    <w:p>
      <w:pPr>
        <w:spacing w:after="0" w:line="18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for Accounts Receivable and Contract Assets,” </w:t>
      </w:r>
      <w:r>
        <w:rPr>
          <w:rFonts w:ascii="Times New Roman" w:cs="Times New Roman" w:eastAsia="Times New Roman" w:hAnsi="Times New Roman"/>
          <w:sz w:val="18"/>
          <w:szCs w:val="18"/>
          <w:color w:val="auto"/>
        </w:rPr>
        <w:t>which provides a practical expedient for estimating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current accounts receivable and current contract assets arising from transactions accounted for under ASC 606. This ASU is effective for fiscal years beginning after December 15, 2025, including interim periods within those fiscal years. The amendments are applied prospectively. The Company adopted this standard and determined that it did not have a material impact with respect to the condensed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 Sources of Liquidity and Funding Requirements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and experienced negative operating cash flows since its inception and expects to incur additional costs in connection with commercialization. To date the Company has, and intends to continue, financing commercialization and working capital needs from existing cash, proceeds from the commercialization of CARDAMYST, royalty revenue, the exercise of outstanding common stock options and warrants to purchase common stock, and existing and future licensing and commercial partnership agreements. As of March 31, 2026, the Company had cash, cash equivalents and short-term investments of $184.2 million and an accumulated deficit of $456.7 million. The Company believes that its cash, cash equivalents and short-term investments as of March 31, 2026, will be sufficient to allow the Company to fund its planned operations for at least the next 12 months from the date of these unaudited interim condensed consolidated financial statements.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sale of equity securities, convertible notes, short-term investments, and from cash received pursuant to its license agreement. Although the Company is now generating product revenues, management expects operating losses and negative cash flows from operations to continue for the foreseeable future.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Accounting Standards Codification (“ASC”) Topic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Revenue is recognized at a point in time when the customer obtains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promised goods or services in an amount that reflects the consideration to which the Company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product revenues for the three months ended March 31, 2026 relate to sales of CARDAMYST. The Company recognizes revenue on product sales when control of the promised goods is transferred to its customers in an amount that reflects the consideration expected to be received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When determining whether the customer has obtained control of the goods, the Company considers any future performance obligations.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Revenue is recorded net of variable consideration, which includes prompt pay discounts, distribution fees, returns, chargebacks, rebates, co-payment assistance, and patient assistance programs.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255"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245" w:lineRule="exact"/>
        <w:rPr>
          <w:sz w:val="20"/>
          <w:szCs w:val="20"/>
          <w:color w:val="auto"/>
        </w:rPr>
      </w:pPr>
    </w:p>
    <w:p>
      <w:pPr>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Prompt Pay</w:t>
      </w:r>
      <w:r>
        <w:rPr>
          <w:rFonts w:ascii="Times New Roman" w:cs="Times New Roman" w:eastAsia="Times New Roman" w:hAnsi="Times New Roman"/>
          <w:sz w:val="18"/>
          <w:szCs w:val="18"/>
          <w:color w:val="auto"/>
        </w:rPr>
        <w:t>: Customers receive a prompt pay discount for payments made within a contractually agreed number of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due date. The discounts are accounted for as a reduction of the transaction price and recorded as a contra-receivable.</w:t>
      </w:r>
    </w:p>
    <w:p>
      <w:pPr>
        <w:spacing w:after="0" w:line="173"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compensates its customers for distribution of its products and the use of data.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determined that such services received to date are not distinct from its sale of products and may not reasonably represent fair value for these services. Therefore, estimates of these payments are recorded as a reduction of revenue based on contractual terms.</w:t>
      </w:r>
    </w:p>
    <w:p>
      <w:pPr>
        <w:spacing w:after="0" w:line="24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The Company records allowances for product returns as a reduction of revenue at the time product sales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Product returns are estimated based on forecasted sales and historical and industry data. Returns are permitted in accordance with the return of goods policy defined within each customer agreement. A returns reserve is recorded as an accrued liability.</w:t>
      </w:r>
    </w:p>
    <w:p>
      <w:pPr>
        <w:spacing w:after="0" w:line="24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estimates obligations resulting from contractual commitments with the government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sell products to qualified healthcare providers at prices 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8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requirements may receive co-payment assistance. Based upon the terms of the program and co-payment assistance utilization reports received, the Company estimates the co-payment assistance amounts, which are recorded in the same period in which the related revenue is recognized, resulting in a reduction of product revenue and establishment of a current liability.</w:t>
      </w:r>
    </w:p>
    <w:p>
      <w:pPr>
        <w:spacing w:after="0" w:line="183" w:lineRule="exact"/>
        <w:rPr>
          <w:sz w:val="20"/>
          <w:szCs w:val="20"/>
          <w:color w:val="auto"/>
        </w:rPr>
      </w:pPr>
    </w:p>
    <w:p>
      <w:pPr>
        <w:ind w:left="60" w:right="479"/>
        <w:spacing w:after="0" w:line="315" w:lineRule="auto"/>
        <w:rPr>
          <w:sz w:val="20"/>
          <w:szCs w:val="20"/>
          <w:color w:val="auto"/>
        </w:rPr>
      </w:pPr>
      <w:r>
        <w:rPr>
          <w:rFonts w:ascii="Times New Roman" w:cs="Times New Roman" w:eastAsia="Times New Roman" w:hAnsi="Times New Roman"/>
          <w:sz w:val="17"/>
          <w:szCs w:val="17"/>
          <w:i w:val="1"/>
          <w:iCs w:val="1"/>
          <w:color w:val="auto"/>
        </w:rPr>
        <w:t>Rebates</w:t>
      </w:r>
      <w:r>
        <w:rPr>
          <w:rFonts w:ascii="Times New Roman" w:cs="Times New Roman" w:eastAsia="Times New Roman" w:hAnsi="Times New Roman"/>
          <w:sz w:val="17"/>
          <w:szCs w:val="17"/>
          <w:color w:val="auto"/>
        </w:rPr>
        <w:t>: The Company’s rebates include amounts paid to managed care organizations, Medicaid, Medicare,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rebate programs. Reserves for rebates are recorded in the same period the related product revenue is recognized,</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resulting in a reduction of product revenues and a current liability that is included in accrued liabilities on the consolidated balance sheet. The Company’s estimate for rebates is based on statutory or contractual discount rates, expected utilization or an estimated number of patients on treatment, as applicable.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recorded no license revenue for either of the three months ended March 31, 2026 and 2025.</w:t>
      </w:r>
    </w:p>
    <w:p>
      <w:pPr>
        <w:spacing w:after="0" w:line="22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prior periods, the Company recognized license revenue upon achievement of milestones under its License and Collaboration Agreement, dated May 15, 2021 (the “Ji Xing License Agreement”), with Corxel Pharmaceuticals (formerly known as Ji Xing Pharmaceuticals Limited, “Ji Xing”). On March 23, 2026, Corxel announced that it had entered into an Asset Purchase Agreement with Everest Medicines (“Everest”), pursuant to which Everest acquired the rights to develop, manufacture and commercialize CARDAMYST™ (etripamil) nasal spray in Greater China, including mainland China, Hong Kong, Macau and Taiwan.</w:t>
      </w:r>
    </w:p>
    <w:p>
      <w:pPr>
        <w:spacing w:after="0" w:line="187" w:lineRule="exact"/>
        <w:rPr>
          <w:sz w:val="20"/>
          <w:szCs w:val="20"/>
          <w:color w:val="auto"/>
        </w:rPr>
      </w:pPr>
    </w:p>
    <w:p>
      <w:pPr>
        <w:jc w:val="both"/>
        <w:ind w:left="60" w:right="459"/>
        <w:spacing w:after="0" w:line="261" w:lineRule="auto"/>
        <w:rPr>
          <w:sz w:val="20"/>
          <w:szCs w:val="20"/>
          <w:color w:val="auto"/>
        </w:rPr>
      </w:pPr>
      <w:r>
        <w:rPr>
          <w:rFonts w:ascii="Times New Roman" w:cs="Times New Roman" w:eastAsia="Times New Roman" w:hAnsi="Times New Roman"/>
          <w:sz w:val="18"/>
          <w:szCs w:val="18"/>
          <w:color w:val="auto"/>
        </w:rPr>
        <w:t>No milestones were achieved under the Ji Xing License Agreement during either of the three months ended March 31, 2026 and 2025. For additional information regarding the license agreement, see Note 3, “Revenue,” to the Company’s audited consolidated financial statements included in the Company’s Annual Report on Form 10-K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 Cost of Product 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costs of producing inventory related to CARDAMYST, including manufacturing, freight, overhead, and any inventory valuation adjustments, and is recognized in the period in which the related product revenue is earned.</w:t>
      </w:r>
    </w:p>
    <w:p>
      <w:pPr>
        <w:spacing w:after="0" w:line="21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Prior to FDA approval of CARDAMYST on December 12, 2025, all manufacturing costs were expensed as research and development costs. As a result, inventory on hand at the time of approval had a zero-cost basis.</w:t>
      </w:r>
    </w:p>
    <w:p>
      <w:pPr>
        <w:spacing w:after="0" w:line="202"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2026, the Company recognized a de minimis amount of cost of product sales, consisting primarily of post-approval manufacturing activities, including final packaging costs. Accordingly, cost of product sales for the period may not be indicative of the full cost of units sold, and gross margin may not be representative of future periods. The Company recorded no cost of product sales for the three months ended March 31,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 Royalty Financing Obligation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royalty financing obligation is required to be repaid based on royalties from net sales of CARDAMYST in the United States under the Royalty Purchase Agreement with RTW – see Note 11, “Royalty Financing Obligation,” for further details on the Royalty Purchase Agreement. Interest expense is accrued using the effective interest rate method over the estimated period of royalty payments. This requires the Company to estimate the total amount of future royalty payments to be generated from product sales in the United States over the estimated repayment term of the obligation. The Company imputes interest on the carrying value of the royalty financing obligation and records interest expense using an imputed effective interest rate. The Company reassesses the expected royalty payments each reporting period and accounts for any changes through adjustments to the effective interest rate on a prospective basis. The assumptions used in determining the estimated repayment term of the debt require that the Company make estimates which could impact the carrying value of the obligation. A significant increase or decrease in forecasted net sales could materially impact the liability balance, interest expense, and the time period for repayment.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 Concentration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and cash equivalents and investment securities classified as held-to-maturity. The Company maintains deposits at major financial institutions and such amounts may exceed those amounts insured by the Federal Deposit Insurance Corporation, or the “FDIC.” The Company has not experienced any losses on its deposits since inception, and the Company believes that minimal credit risk exists with respect to these financial institutions. Additionally, the Company has adopted an investment policy that includes guidelines relative to credit quality, diversification of maturities and liquidity.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relies on a single source manufacturer for starting materials and active pharmaceutical ingredient, or “API,” packaging components, and packaged pharmaceutical product ready for commercial sale.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 Inventory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on a first-in, first-out, or “FIFO,” basis. Inventory costs include raw materials, work-in-process, finished goods, and applicable manufacturing overhead. Raw materials include starting materials used to manufacture the API. Work-in-process includes API, intermediate compounding steps, and bulk drug product. Finished goods include packaging components and the packaged pharmaceutical product ready for commercial sale.</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FDA’s approval of CARDAMYST on December 12, 2025, costs associated with manufacturing pre-approval commercial batches and clinical materials were expensed as research and development expenses in accordance with the Company’s accounting policy and SAB Topic 5A, as the product had not yet received regulatory approval and therefore did not meet the criteria for capitalization. Following FDA approval, the Company began capitalizing inventory related to CARDAMYST manufactured after the approval date. Inventory produced prior to approval and previously expensed as research and development remains recorded at a zero-cost basis and is excluded from the inventory balance.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the Company’s inventory is subject to expiration, the Company evaluates its carrying value each reporting period and records allowances for any estimated excess, obsolete, short-dated, or otherwise unmarketable inventory. In accordance with regulatory requirements and current Good Manufacturing Practices, or “cGMP,” the Company’s inventory is also subject to strict quality control and monitoring throughout the manufacturing process. If certain batches or units do not meet quality specifications, the Company would write down the related inventory to its estimated net realizable value and record the expense as a cost of production in the Consolidated Statement of Loss. Inventory valuation adjustments require judgment and consideration of various factors, including forecasted demand, remaining shelf life, and quality assessments, among others.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 Income Taxes</w:t>
      </w:r>
    </w:p>
    <w:p>
      <w:pPr>
        <w:spacing w:after="0" w:line="229"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The provision for income taxes is computed using the liability method. Under this method, deferred tax assets and liabilities are determined based on differences between financial reporting and tax bases of assets and liabilities. Deferred tax assets and liabilities are measured using enacted tax rates and laws that will be in effect when the differences are expected to reverse. A valuation allowance is recorded to reduce the carrying amount of deferred income tax assets until when it is more likely than not that these assets will be realized. Tax benefits related to tax positions not deemed to meet the “more likely than not” threshold are not permitted to be recognized in the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200" w:lineRule="exact"/>
        <w:rPr>
          <w:sz w:val="20"/>
          <w:szCs w:val="20"/>
          <w:color w:val="auto"/>
        </w:rPr>
      </w:pPr>
    </w:p>
    <w:p>
      <w:pPr>
        <w:spacing w:after="0" w:line="3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interim reporting, the Company estimates its annual effective tax rate, adjusted for discrete items, and applies that rate to its year-to-date pre-tax income (loss) to determine its income tax provision.</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2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 recorded product revenues from the U.S. sales of CARDAMYST of $0.2 million for the three months ended March 31, 2026, and no revenue for the three months ended March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recorded no license revenue for the three months ended March 31, 2026, and 2025, respectively.</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2026, short-term investments of $112.9 million were comprised of term deposits issued in U.S. currency, earning interest between 2.61% and 4.48%, maturing between April 21, 2026 and March 9, 2027. These short-term investments were in scope of ASC 320, </w:t>
      </w:r>
      <w:r>
        <w:rPr>
          <w:rFonts w:ascii="Times New Roman" w:cs="Times New Roman" w:eastAsia="Times New Roman" w:hAnsi="Times New Roman"/>
          <w:sz w:val="18"/>
          <w:szCs w:val="18"/>
          <w:i w:val="1"/>
          <w:iCs w:val="1"/>
          <w:color w:val="auto"/>
        </w:rPr>
        <w:t>Investments-Debt Securities</w:t>
      </w:r>
      <w:r>
        <w:rPr>
          <w:rFonts w:ascii="Times New Roman" w:cs="Times New Roman" w:eastAsia="Times New Roman" w:hAnsi="Times New Roman"/>
          <w:sz w:val="18"/>
          <w:szCs w:val="18"/>
          <w:color w:val="auto"/>
        </w:rPr>
        <w:t>. The short-term investments maturity is greater than 90 days but less than one year, and they were classified as held to maturity, recorded as current assets and were accounted for at amortized cost. Interest income earned on short-term investments is reported in interest income. The Company had short-term investments of $32.9 million as of December 31,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$0.9 million in short-term investments were pledged as collateral for a letter of credit.</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Company’s inventory consisted entirely of CARDAMYST related inventory. The Company’s inventories consisted of the following: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Work-in-process</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1"/>
        </w:trPr>
        <w:tc>
          <w:tcPr>
            <w:tcW w:w="360" w:type="dxa"/>
            <w:vAlign w:val="bottom"/>
          </w:tcPr>
          <w:p>
            <w:pPr>
              <w:spacing w:after="0"/>
              <w:rPr>
                <w:sz w:val="16"/>
                <w:szCs w:val="16"/>
                <w:color w:val="auto"/>
              </w:rPr>
            </w:pPr>
          </w:p>
        </w:tc>
        <w:tc>
          <w:tcPr>
            <w:tcW w:w="38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4"/>
        </w:trPr>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0"/>
        </w:trPr>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-591185</wp:posOffset>
            </wp:positionV>
            <wp:extent cx="564896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-307975</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2660" w:space="720"/>
            <w:col w:w="5639"/>
          </w:cols>
          <w:pgMar w:left="1440" w:top="513" w:right="1440" w:bottom="1440" w:gutter="0" w:footer="0" w:header="0"/>
          <w:type w:val="continuous"/>
        </w:sect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27, 2023, the Company entered into a note purchase agreement, or the “Note Purchase Agreement,” with RTW Investments LP and certain of its affiliates, or collectively, “RTW.” On March 29, 2023, the Company closed the transactions contemplated by the Note Purchase Agreement, and issued and sold $50.0 million principal amount of 6.0% Convertible Senior Notes due 2029, or the “2029 Convertible Notes,” to the holders. For more details on the agreement with RTW, see Note 11, “Debt,” to the Company’s audited consolidated financial statements, included in the Company’s Annual Report on Form 10-K for the year ended December 31, 2025.</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accounting for the issuance of the 2029 Convertible Notes, the Company determined there were no embedded features, which require bifurcation between debt and equity components. As a result, the 2029 Convertible Notes are accounted for as a liability. As of March 31, 2026, the estimated fair value of the 2029 Convertible Notes was approximately $58.4 million based on level 2 inputs, including volatility and credit spread.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carrying amount of the 2029 Convertible Notes are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Original principal</w:t>
      </w:r>
    </w:p>
    <w:p>
      <w:pPr>
        <w:spacing w:after="0" w:line="32" w:lineRule="exact"/>
        <w:rPr>
          <w:sz w:val="20"/>
          <w:szCs w:val="20"/>
          <w:color w:val="auto"/>
        </w:rPr>
      </w:pPr>
    </w:p>
    <w:p>
      <w:pPr>
        <w:ind w:left="60" w:right="1320"/>
        <w:spacing w:after="0" w:line="281" w:lineRule="auto"/>
        <w:rPr>
          <w:sz w:val="20"/>
          <w:szCs w:val="20"/>
          <w:color w:val="auto"/>
        </w:rPr>
      </w:pPr>
      <w:r>
        <w:rPr>
          <w:rFonts w:ascii="Times New Roman" w:cs="Times New Roman" w:eastAsia="Times New Roman" w:hAnsi="Times New Roman"/>
          <w:sz w:val="16"/>
          <w:szCs w:val="16"/>
          <w:color w:val="auto"/>
        </w:rPr>
        <w:t>Paid in kind (PIK) interest Unamortized debt discount Unamortized debt issuance costs Total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7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420" w:type="dxa"/>
            <w:vAlign w:val="bottom"/>
          </w:tcPr>
          <w:p>
            <w:pPr>
              <w:spacing w:after="0"/>
              <w:rPr>
                <w:sz w:val="17"/>
                <w:szCs w:val="17"/>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8,927</w:t>
            </w:r>
          </w:p>
        </w:tc>
      </w:tr>
      <w:tr>
        <w:trPr>
          <w:trHeight w:val="203"/>
        </w:trPr>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(349)</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0"/>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(1,269)</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02"/>
        </w:trPr>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58,192</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57,191</w:t>
            </w:r>
          </w:p>
        </w:tc>
      </w:tr>
      <w:tr>
        <w:trPr>
          <w:trHeight w:val="20"/>
        </w:trPr>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-694055</wp:posOffset>
            </wp:positionV>
            <wp:extent cx="56489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-419735</wp:posOffset>
            </wp:positionV>
            <wp:extent cx="564896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-162560</wp:posOffset>
            </wp:positionV>
            <wp:extent cx="564896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4819"/>
          </w:cols>
          <w:pgMar w:left="1440" w:top="513" w:right="1440" w:bottom="1440" w:gutter="0" w:footer="0" w:header="0"/>
          <w:type w:val="continuous"/>
        </w:sect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total amount of interest cost recognized relating to the 2029 Convertible Notes: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60" w:type="dxa"/>
            <w:vAlign w:val="bottom"/>
          </w:tcPr>
          <w:p>
            <w:pPr>
              <w:ind w:left="4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22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spacing w:after="0"/>
              <w:rPr>
                <w:sz w:val="17"/>
                <w:szCs w:val="17"/>
                <w:color w:val="auto"/>
              </w:rPr>
            </w:pPr>
          </w:p>
        </w:tc>
        <w:tc>
          <w:tcPr>
            <w:tcW w:w="720" w:type="dxa"/>
            <w:vAlign w:val="bottom"/>
            <w:gridSpan w:val="3"/>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1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are comprised of the following:</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gridSpan w:val="12"/>
          </w:tcPr>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March 31, 2026 December 31, 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 and benefits payable</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Accrued research and development liabilities</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commercial liabilities</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Accrued underwriting fees</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liabilities</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Revenue-related reserves for discounts and allowances</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60" w:type="dxa"/>
            <w:vAlign w:val="bottom"/>
            <w:gridSpan w:val="2"/>
          </w:tcPr>
          <w:p>
            <w:pPr>
              <w:spacing w:after="0"/>
              <w:rPr>
                <w:sz w:val="17"/>
                <w:szCs w:val="17"/>
                <w:color w:val="auto"/>
              </w:rPr>
            </w:pPr>
          </w:p>
        </w:tc>
        <w:tc>
          <w:tcPr>
            <w:tcW w:w="66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Shareholders’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authorized and issued common shares, voting and participating, without par value, of which unlimited shares were authorized, and 117,794,417 shares were issued and outstanding as of March 31, 2026.</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there were 2,774,440 common shares available for issuance under the Employee Stock Purchase Plan, or the “ESPP,” of which 2,145,794 are available for future purchases.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July 11, 2025, the Company entered into an underwriting agreement, or the “Underwriting Agreement,” related to an underwritten public offering, or the “2025 Offering,” of (i) 31,500,000 of the Company’s common shares, without par value, accompanying Series A common warrants, or the “Series A Common Warrants,” to purchase an aggregate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to purchase 3,502,335 common shares, or the “2025 Pre-Funded Warrants” and, together with the Series A Common Warrants and the Series B Common Warrants, the “Warrants,”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Shares and accompanying common warrants less the $0.001 per share exercise price for each such Pre-Funded Warrant. All the Securities sold in the 2025 Offering were sold by the Company.</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proceeds to the Company from the 2025 Offering were $48.6 million after deducting underwriting commissions and other offering expenses payable by the Company, in the amount of $3.9 million.</w:t>
      </w:r>
    </w:p>
    <w:p>
      <w:pPr>
        <w:spacing w:after="0" w:line="154"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On July 29, 2020, the Company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“Original Sale Agreement,” with respect to an at-the-market offering program, or the “ATM Program,” under which the Company could issue and sell its common shares having an aggregate offering price of up to $50.0 million. On March 18, 2025, the Company entered into an Amended and Restated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“Amended Agreement.” Under the Amended Agreement, the Company may issue and sell its common shares, no par value per share, for an aggregate offering price of up to $77.8 million (which includes the approximately $2.8 million of sales previously made pursuant to the Original Sale Agreement through the date the Amended Agreement was entered into), or the “ATM Shares.” As disclosed in Note 21, “Subsequent Events,” to the Company’s audited consolidated financial statements, included in the Company’s Annual Report on Form 10-K for the year ended December 31, 2025, the Company issued 5,526,590 shares under the amended agreement resulting in net proceeds of $10.9 million, after deducting sales agent commissions payable by the Company of $0.3 million during the three-month period ended March 31, 2026. On March 6, 2026, the Company terminated the Amended Agreement.</w:t>
      </w:r>
    </w:p>
    <w:p>
      <w:pPr>
        <w:spacing w:after="0" w:line="20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 with Characteristics of both Liabilities and 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480, warrants are considered liability classified if the warrants are mandatorily redeemable, obligate the issuer to settle the warrants or the underlying shares by paying cash or other assets, or must or may require settlement by issuing a variable number of shares.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The Company's outstanding common stock warrants are classified as equity and recorded in additional paid-in capital, or “APIC,” based on an allocation of the proceeds from the 2025 Offering, which was based on the relative fair value of the Series A and B Common Warrants at the issuance date and is not subject to change after the issuance date. The fair value used for the relative fair value allocation was calculated using the Black-Scholes Model for the Series A Warrants and the Monte-Carlo simulation method for the Series B Warrants.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5,666,666 Series A Common Warrants were exercised for net proceeds of $8.0 million, after deducting underwriting commissions paid and payable by the Company of $0.5 million. 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March 31, 2026, 15,705,662 Series A Common Warrants and 34,335,669 Series B Common Warrants remained outstanding.</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30" w:lineRule="auto"/>
        <w:rPr>
          <w:sz w:val="20"/>
          <w:szCs w:val="20"/>
          <w:color w:val="auto"/>
        </w:rPr>
      </w:pPr>
      <w:r>
        <w:rPr>
          <w:rFonts w:ascii="Times New Roman" w:cs="Times New Roman" w:eastAsia="Times New Roman" w:hAnsi="Times New Roman"/>
          <w:sz w:val="18"/>
          <w:szCs w:val="18"/>
          <w:color w:val="auto"/>
        </w:rPr>
        <w:t>Under the Company’s 2019 Equity Incentive Plan, or the “2019 Plan,” and the Company’s Stock Option Plan, or the “2011 Plan,” unless otherwise decided by the Company’s board of directors, options vest and are exercisable as follows: 25% vest and are exercisable on the one year anniversary of the grant date and one thirty-sixth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the remaining options vest and are exercisable each month thereafter, such that options are vested in full on four-year anniversary of the grant date.</w:t>
      </w:r>
    </w:p>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2019 Plan, 183,349 options have been forfeited or expired under the 2011 Plan since the adoption of the 2019 Plan and have become available for issuance under the 2019 Plan. Further, since the adoption of the plan, 561,000 of previously issued options were cancelled and were made available for future grants. As of March 31, 2026, there were 15,714,455 common shares available for issuance under the 2019 Plan, of which 1,482,710 common shares were available for future grants.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November 10, 2021, the Company established a 2021 Inducement Plan, or the “Inducement Plan.” This 2021 Inducement Plan is intended to help the Company provide an inducement for certain individuals to enter employment with the Company, incentives for such persons to exert maximum efforts for the success of the Company and a means by which employees may benefit from increases in value of the common shares. On March 17, 2026, the Company’s board of directors approved an increase to the 2021 Inducement Plan pool of 800,000 shares. As of March 31, 2026, there were 1,129,000 shares available for issuance under the 2021 Inducement Plan, of which 671,000 shares were available for future grants.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total outstanding and exercisable options from the 2011 Plan, 2019 Plan, and Inducement Plan as of and for the three-month periods ending March 31 were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2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2011 Plan</w:t>
            </w:r>
          </w:p>
        </w:tc>
        <w:tc>
          <w:tcPr>
            <w:tcW w:w="1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beginning of period - 2011 Plan</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1,294,691</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1,294,691</w:t>
            </w:r>
          </w:p>
        </w:tc>
        <w:tc>
          <w:tcPr>
            <w:tcW w:w="2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49"/>
        </w:trPr>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Outstanding at beginning of period - 2019 Plan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8,591,306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8,591,306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Outstanding at beginning of period - Inducement Plan</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48"/>
        </w:trPr>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2,131,500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2"/>
        </w:trPr>
        <w:tc>
          <w:tcPr>
            <w:tcW w:w="31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end of period</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10,722,806</w:t>
            </w:r>
          </w:p>
        </w:tc>
        <w:tc>
          <w:tcPr>
            <w:tcW w:w="24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1,129,000</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1,294,691</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13,146,497</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Outstanding at end of period - Weighted average</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end of period</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8,034,214</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line="20" w:lineRule="exact"/>
              <w:rPr>
                <w:sz w:val="1"/>
                <w:szCs w:val="1"/>
                <w:color w:val="auto"/>
              </w:rPr>
            </w:pPr>
          </w:p>
        </w:tc>
      </w:tr>
      <w:tr>
        <w:trPr>
          <w:trHeight w:val="169"/>
        </w:trPr>
        <w:tc>
          <w:tcPr>
            <w:tcW w:w="31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6,260,668</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478,855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1,294,691</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Exercisable at end of period - Weighted average</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4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1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2011 Plan</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beginning of period - 2011 Plan</w:t>
            </w:r>
          </w:p>
        </w:tc>
        <w:tc>
          <w:tcPr>
            <w:tcW w:w="18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beginning of period - 2019 Plan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7,604,606</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7,604,606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beginning of period - Inducement Plan</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48"/>
        </w:trPr>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1,151,400</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1,151,400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2"/>
        </w:trPr>
        <w:tc>
          <w:tcPr>
            <w:tcW w:w="31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end of period</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8,756,006</w:t>
            </w:r>
          </w:p>
        </w:tc>
        <w:tc>
          <w:tcPr>
            <w:tcW w:w="2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740,000</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11,128,491</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Outstanding at end of period - Weighted average</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4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end of period</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7,777,923</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line="20" w:lineRule="exact"/>
              <w:rPr>
                <w:sz w:val="1"/>
                <w:szCs w:val="1"/>
                <w:color w:val="auto"/>
              </w:rPr>
            </w:pPr>
          </w:p>
        </w:tc>
      </w:tr>
      <w:tr>
        <w:trPr>
          <w:trHeight w:val="169"/>
        </w:trPr>
        <w:tc>
          <w:tcPr>
            <w:tcW w:w="31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5,795,146</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350,292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1,632,485</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Exercisable at end of period - Weighted average</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24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weighted average remaining contractual life was 6.9 and 6.9 years for outstanding options as of March 31, 2026 and 2025, respectively. The weighted average remaining contractual life was 5.5 and 6.0 years for vested options, as of March 31, 2026 and 2025,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$7.3 million and $7.4 million of total unrecognized compensation cost related to non-vested share options as of March 31, 2026 and 2025, respectively. The share options are expected to be recognized over a remaining weighted average vesting period of 2.97 years and 2.09 years as of March 31, 2026 and 2025, respectively.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Options granted are valued using the Black-Scholes option pricing model. This model also requires assumptions, including expected option life, volatility, risk-free interest rate, and dividend yield, which greatly affect the calculated values. Amortization of the fair value of the options over vesting years has been expensed and credited to additional paid-in capital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non-vested options as of and for the three-month period ending March 31 were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1200" w:type="dxa"/>
            <w:vAlign w:val="bottom"/>
            <w:gridSpan w:val="7"/>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8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2011 Plan</w:t>
            </w:r>
          </w:p>
        </w:tc>
        <w:tc>
          <w:tcPr>
            <w:tcW w:w="20" w:type="dxa"/>
            <w:vAlign w:val="bottom"/>
          </w:tcPr>
          <w:p>
            <w:pPr>
              <w:spacing w:after="0"/>
              <w:rPr>
                <w:sz w:val="12"/>
                <w:szCs w:val="12"/>
                <w:color w:val="auto"/>
              </w:rPr>
            </w:pPr>
          </w:p>
        </w:tc>
        <w:tc>
          <w:tcPr>
            <w:tcW w:w="2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3"/>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beginning of period - 2019 Plan</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2,953,423</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2,953,423</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Non-vested share options at beginning of period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301,917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301,917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2,131,500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2,131,500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2011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- 2019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(622,785)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(622,785)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Inducement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(70,772)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(70,772)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- 2011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- 2019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- 2019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end of period</w:t>
            </w: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4,462,138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650,145</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5,112,283</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79"/>
        </w:trPr>
        <w:tc>
          <w:tcPr>
            <w:tcW w:w="408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Non-vested share options at end of period - Weighted average fair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6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16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 Plan</w:t>
            </w:r>
          </w:p>
        </w:tc>
        <w:tc>
          <w:tcPr>
            <w:tcW w:w="12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​​​Inducement Plan</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​​​2011 Plan</w:t>
            </w:r>
          </w:p>
        </w:tc>
        <w:tc>
          <w:tcPr>
            <w:tcW w:w="20" w:type="dxa"/>
            <w:vAlign w:val="bottom"/>
          </w:tcPr>
          <w:p>
            <w:pPr>
              <w:spacing w:after="0"/>
              <w:rPr>
                <w:sz w:val="9"/>
                <w:szCs w:val="9"/>
                <w:color w:val="auto"/>
              </w:rPr>
            </w:pPr>
          </w:p>
        </w:tc>
        <w:tc>
          <w:tcPr>
            <w:tcW w:w="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7"/>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beginning of period - 2019 Plan</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2,754,054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2,754,054</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Non-vested share options at beginning of period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176,709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176,709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1,151,400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1,151,400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244,000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- 2019 Plan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(944,594)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(944,594)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9"/>
        </w:trPr>
        <w:tc>
          <w:tcPr>
            <w:tcW w:w="4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Inducement 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(31,001)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(31,001)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end of period</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2,960,860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389,708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3,350,568</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Non-vested share options at end of period - Weighted average fair</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0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tcPr>
          <w:p>
            <w:pPr>
              <w:spacing w:after="0"/>
              <w:rPr>
                <w:sz w:val="6"/>
                <w:szCs w:val="6"/>
                <w:color w:val="auto"/>
              </w:rPr>
            </w:pPr>
          </w:p>
        </w:tc>
        <w:tc>
          <w:tcPr>
            <w:tcW w:w="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6"/>
                <w:szCs w:val="6"/>
                <w:color w:val="auto"/>
              </w:rPr>
            </w:pPr>
          </w:p>
        </w:tc>
        <w:tc>
          <w:tcPr>
            <w:tcW w:w="5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options granted for the 2011 Plan, 2019 Plan and Inducement Plan were estimated using the Black-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Scholes option pricing model, resulting in the following weighted average assumptions for the options granted: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3"/>
                <w:szCs w:val="13"/>
                <w:color w:val="auto"/>
              </w:rPr>
            </w:pPr>
          </w:p>
        </w:tc>
      </w:tr>
      <w:tr>
        <w:trPr>
          <w:trHeight w:val="173"/>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r>
      <w:tr>
        <w:trPr>
          <w:trHeight w:val="19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60" w:type="dxa"/>
            <w:vAlign w:val="bottom"/>
            <w:tcBorders>
              <w:top w:val="single" w:sz="8" w:color="CCEEFF"/>
            </w:tcBorders>
            <w:shd w:val="clear" w:color="auto" w:fill="CCEEFF"/>
          </w:tcPr>
          <w:p>
            <w:pPr>
              <w:spacing w:after="0"/>
              <w:rPr>
                <w:sz w:val="17"/>
                <w:szCs w:val="17"/>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price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6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126 %</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100 %</w:t>
            </w: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89"/>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 years</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years</w:t>
            </w:r>
          </w:p>
        </w:tc>
        <w:tc>
          <w:tcPr>
            <w:tcW w:w="460" w:type="dxa"/>
            <w:vAlign w:val="bottom"/>
            <w:shd w:val="clear" w:color="auto" w:fill="CCEEFF"/>
          </w:tcPr>
          <w:p>
            <w:pPr>
              <w:spacing w:after="0"/>
              <w:rPr>
                <w:sz w:val="17"/>
                <w:szCs w:val="17"/>
                <w:color w:val="auto"/>
              </w:rPr>
            </w:pP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w:t>
            </w:r>
          </w:p>
        </w:tc>
        <w:tc>
          <w:tcPr>
            <w:tcW w:w="240" w:type="dxa"/>
            <w:vAlign w:val="bottom"/>
          </w:tcPr>
          <w:p>
            <w:pPr>
              <w:spacing w:after="0"/>
              <w:rPr>
                <w:sz w:val="18"/>
                <w:szCs w:val="18"/>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0 %</w:t>
            </w:r>
          </w:p>
        </w:tc>
        <w:tc>
          <w:tcPr>
            <w:tcW w:w="320" w:type="dxa"/>
            <w:vAlign w:val="bottom"/>
          </w:tcPr>
          <w:p>
            <w:pPr>
              <w:spacing w:after="0"/>
              <w:rPr>
                <w:sz w:val="18"/>
                <w:szCs w:val="18"/>
                <w:color w:val="auto"/>
              </w:rPr>
            </w:pPr>
          </w:p>
        </w:tc>
        <w:tc>
          <w:tcPr>
            <w:tcW w:w="15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0 %</w:t>
            </w:r>
          </w:p>
        </w:tc>
      </w:tr>
    </w:tbl>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Expected volatility is determined using the Company’s historical volatility. Prior to establishing sufficient historical volatility, the Company used comparable companies for which the information is publicly available. The risk-free interest rate is determined based on the U.S. sovereign rates benchmark in effect at the time of grant with a remaining term equal to the expected life of the option. Expected option life is determined based on the simplified method as the Company does not have sufficient historical exercise data to provide a reasonable basis upon which to estimate expected term. The simplified method is an average of the contractual term of the options and its ordinary vesting period. Dividend yield is based on the share option’s exercise price and expected annual dividend rate at the time of grant. The total grant date fair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value for options granted during the three-months ended March 31, 2026 and 2025 was $4.4 million and $2.3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May 6, 2024, the Company, pursuant to the 2019 Plan, awarded 924,000 performance stock options to employees. The performance stock options were granted “at-the-money” and have a term of 10 years.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original grant-date fair value of each option was estimated on the date of grant using the same option valuation model used for the options outlined above. The original grant-date fair value of $1.3 million was determined using an expected volatility of 98.5%, term of 5.82 years, strike price of $1.74, and risk-free rate of 4.43%. Compensation expense for performance-based stock options is only recognized when management determines it is probable that the awards will vest.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vesting of the performance-based stock options was conditional upon the FDA approval of etripamil. Subject to the option-holder’s continuous service as of each such date, 50% of the option shares will vest on the six-month anniversary of the approval date and the remaining 50% of the option shares will vest on the one-year anniversary of such approval date. The weighted average grant date fair value of the performance stock options awarded was $1.38 per option. The Company recorded $0.1 million of expense related to the performance-based stock options during the three months ended March 31, 2026, as the performance conditions were met with FDA approval of etripamil for the treatment of PSVT on December 12, 2025. The Company did not record any expense related to the performance-based stock options during the three months ended March 31, 2025 as the performance conditions were not deemed probable of being met. No performance stock options were awarded for the three months ended March 31, 2026 and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July 15, 2022, the Company offered an ESPP, in which participation is available to the Company’s employees in the United States and Canada who meet certain service eligibility requirements. Eligible employees may authorize an amount up to 15% of their salary to purchase common shares at the lower of a 15% discount to the beginning price of the participation period or a 15% discount to the ending price of each six-month purchase interval. The ESPP also provides for an automatic reset feature to start participants on a new twelve-month participation period in the event that the common share market value on a purchase date is less than the common shares value on the first day of the twelve-month offering period.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1, 2026, the number of common shares reserved for issuance under the ESPP automatically increased by 487,837 shares. During the three months ended March 31, 2026, the Company terminated the ongoing ESPP offering effective in March after the completion of the first purchase period and recognized a de minimis amount of incremental stock-based compensation expense related to the unamortized compensation costs of the cancelled period. Compensation expense for purchase rights under the ESPP related to the purchase discount and the “look-back” option was determined using a Black-Scholes option pricing model. As of March 31, 2026, 628,646 common shares have been issued under the ESPP.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6, 2024, the Company, pursuant to the 2019 Plan, awarded 924,000 Performance Share Units, or “PSUs,” to employees. The PSUs vest subject to the satisfaction of certain performance conditions established by the Company’s Compensation Committee. The FDA approval of etripamil represents the performance condition for the vesting of these PSUs. As a result of the FDA approval on December 12, 2025, 100% of the outstanding PSUs vested at a grant date fair value of $1.74 per share. No additional PSUs were awarded for the three months ended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2019 Plan, the Company issues restricted stock units, or “RSUs,” to employees which vest based on a service criteria. When vested, the RSUs represent the right to be issued a number of shares of the Company’s common shares equal to the number of RSUs granted. The grant date fair value for RSUs is based on the market price of the Company’s common shares on the date of the grant. The fair value is then amortized to compensation expense over the requisite service period or vesting term.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outstanding RSUs from the 2019 Plan as of and for the three-month period ending March 31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2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40" w:type="dxa"/>
            <w:vAlign w:val="bottom"/>
          </w:tcPr>
          <w:p>
            <w:pPr>
              <w:spacing w:after="0"/>
              <w:rPr>
                <w:sz w:val="10"/>
                <w:szCs w:val="10"/>
                <w:color w:val="auto"/>
              </w:rPr>
            </w:pP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500" w:type="dxa"/>
            <w:vAlign w:val="bottom"/>
          </w:tcPr>
          <w:p>
            <w:pPr>
              <w:ind w:left="4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5"/>
                <w:szCs w:val="15"/>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4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beginning of period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950,700</w:t>
            </w: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3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1,591,650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988,850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200" w:type="dxa"/>
            <w:vAlign w:val="bottom"/>
            <w:gridSpan w:val="3"/>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(237,677)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end of period</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2,304,673</w:t>
            </w:r>
          </w:p>
        </w:tc>
        <w:tc>
          <w:tcPr>
            <w:tcW w:w="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988,850</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total unrecognized compensation cost related to the non-vested RSUs as of March 31, 2026, was $4.4 million and will be recognized over a weighted average period of approximately 3.50 years. The total unrecognized compensation cost related to the non-vested RSUs as of March 31, 2025 was $1.9 million and will be recognized over a weighted average period of approximately 3.8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recognized total share-based compensation expense for all plans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50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54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7"/>
                <w:szCs w:val="17"/>
                <w:color w:val="auto"/>
              </w:rPr>
            </w:pPr>
          </w:p>
        </w:tc>
        <w:tc>
          <w:tcPr>
            <w:tcW w:w="6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Administration</w:t>
            </w:r>
          </w:p>
        </w:tc>
        <w:tc>
          <w:tcPr>
            <w:tcW w:w="11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activities</w:t>
            </w:r>
          </w:p>
        </w:tc>
        <w:tc>
          <w:tcPr>
            <w:tcW w:w="1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34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 Net Loss Per Share</w:t>
      </w:r>
    </w:p>
    <w:p>
      <w:pPr>
        <w:spacing w:after="0" w:line="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Basic and diluted net loss per common share is determined by dividing net loss applicable to common shareholders by the weighted average number of common shares and pre-funded warrants outstanding during the period. In addition to the conversion feature on the 2029 Convertible Notes and common warrants described in Note 8, “Shareholders’ Equity,” which the Company reviewed and concluded would be anti-dilutive if converted or exercised due to the facts surrounding the instruments, the following potentially dilutive securities have also been excluded from the computation of diluted weighted average shares outstanding as of March 31, as they would be anti-dilutive: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60" w:type="dxa"/>
            <w:vAlign w:val="bottom"/>
            <w:gridSpan w:val="2"/>
          </w:tcPr>
          <w:p>
            <w:pPr>
              <w:ind w:left="69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RSUs</w:t>
            </w: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15,451,170</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13,041,341</w:t>
            </w:r>
          </w:p>
        </w:tc>
      </w:tr>
    </w:tbl>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Amounts above reflect the common share equivalents of the noted instruments.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Royalty Financing Obligation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27, 2023, the Company entered into a purchase and sale agreement, or the “Royalty Purchase Agreement,” with RTW and certain of its affiliates.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Royalty Purchase Agreement, RTW agreed to purchase, following the FDA approval of etripamil (subject to certain conditions), at a purchase price of $75.0 million, the right to receive a tiered quarterly royalty payments, or the “Royalty Interest,” on the net product sales of etripamil in the United States in an amount equal to: (i) 7%, or the “Initial Tier Royalty,” of annual net sales up to $500 million, (ii) 4% of annual net sales greater than $500 million and less than or equal to $800 million, and (iii) 1% of annual net sales greater than $800 million. If certain revenue thresholds for aggregate annual net sales are not met, the Initial Tier Royalty will increase to 9.5% beginning on January 1 of the following calendar year until a subsequent sales threshold is attained, at which time the Initial Tier Royalty would revert back to 7%.</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12, 2026, the Company closed the sale of the Royalty Interest under the Royalty Purchase Agreement and received the $75.0 million purchase price.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 is recorded in “Royalty financing obligation” on the Company’s Condensed Consolidated Balance Sheets. Upon initial recognition, the royalty financing obligation was recorded based on the proceeds received. The Company subsequently measures the royalty financing obligation at amortized cost using the effective interest method. As of March 31, 2026, the carrying value of the royalty financing obligations under the Royalty Purchase Agreement approximated its fair value. The estimated fair value of the royalty financing obligations was based on the Company’s current estimates of future payments to RTW over the estimated term of the obligation, which are considered Level 3 inputs.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utilizes the prospective method to account for subsequent changes in the estimated future royalties to be paid by the Company to the counterparty over the estimated term of the obligation.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If the amount or timing of expected royalty payments differs from prior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needs to be reduced relative to the current outstanding liability. In such case of excess payments relative to interest accretion for the next twelve months, the excess payments are considered to be a short-term liability and classified within current liabilities on the Company’s Condensed Consolidated Balance Sheets.</w:t>
      </w:r>
    </w:p>
    <w:p>
      <w:pPr>
        <w:spacing w:after="0" w:line="200" w:lineRule="exact"/>
        <w:rPr>
          <w:sz w:val="20"/>
          <w:szCs w:val="20"/>
          <w:color w:val="auto"/>
        </w:rPr>
      </w:pP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significant changes to the amount and timing of expected royalties under the Royalty Purchase Agreement based on the Company’s latest forecasts subsequent to the initial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11"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The following table shows the royalty financing obligation activity for the three months ended March 31, 2026 as well as the effective interest rate as of March 31, 2026:</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9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financing obligation</w:t>
            </w:r>
          </w:p>
        </w:tc>
        <w:tc>
          <w:tcPr>
            <w:tcW w:w="7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0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Interest expense on Royalty financing obligation</w:t>
            </w:r>
          </w:p>
        </w:tc>
        <w:tc>
          <w:tcPr>
            <w:tcW w:w="7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revenues paid and payable</w:t>
            </w:r>
          </w:p>
        </w:tc>
        <w:tc>
          <w:tcPr>
            <w:tcW w:w="7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7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78,111</w:t>
            </w:r>
          </w:p>
        </w:tc>
      </w:tr>
      <w:tr>
        <w:trPr>
          <w:trHeight w:val="183"/>
        </w:trPr>
        <w:tc>
          <w:tcPr>
            <w:tcW w:w="5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r>
      <w:tr>
        <w:trPr>
          <w:trHeight w:val="210"/>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w:t>
            </w:r>
          </w:p>
        </w:tc>
        <w:tc>
          <w:tcPr>
            <w:tcW w:w="7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bl>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Other Receivables</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receivables are comprised of the following:</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366"/>
        </w:trPr>
        <w:tc>
          <w:tcPr>
            <w:tcW w:w="4560" w:type="dxa"/>
            <w:vAlign w:val="bottom"/>
          </w:tcPr>
          <w:p>
            <w:pPr>
              <w:spacing w:after="0"/>
              <w:rPr>
                <w:sz w:val="24"/>
                <w:szCs w:val="24"/>
                <w:color w:val="auto"/>
              </w:rPr>
            </w:pPr>
          </w:p>
        </w:tc>
        <w:tc>
          <w:tcPr>
            <w:tcW w:w="4340" w:type="dxa"/>
            <w:vAlign w:val="bottom"/>
            <w:gridSpan w:val="6"/>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b w:val="1"/>
                <w:bCs w:val="1"/>
                <w:color w:val="auto"/>
              </w:rPr>
              <w:t xml:space="preserve">March 31, 2026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b w:val="1"/>
                <w:bCs w:val="1"/>
                <w:color w:val="auto"/>
              </w:rPr>
              <w:t>December 31, 2025</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withholding taxes receivable</w:t>
            </w: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receivable</w:t>
            </w:r>
          </w:p>
        </w:tc>
        <w:tc>
          <w:tcPr>
            <w:tcW w:w="1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0"/>
        </w:trPr>
        <w:tc>
          <w:tcPr>
            <w:tcW w:w="4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while focusing on the development and commercialization of innovative cardiovascular medicines. These operations, which are reported on a consolidated basis, are focused on a single product. The accounting policies of the single operating segment are the same as those described in the summary of significant accounting policies. The chief operating decision maker, or “CODM,” assesses performance of the Company’s single operating segment based on consolidated net loss. Net loss is used by the CODM to evaluate budget to actual analytics, which are used to monitor expenditures and ensure the Company is meeting established budgets. The CODM is the principal officer group, which includes the Company’s chief executive officer and chief financial officer.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3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significant segment expenses, as provided to the Company’s CODM, and includes a reconciliation to consolidated net loss: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2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net of tax credits, excluding share-based compensation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share-based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excluding share-based compensation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financing interest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 interest expense</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of financial instruments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accounting guidance for fair value measurement and its subsequent updates, fair value is defined as the price that would be received to sell an asset or paid to transfer a liability (i.e. the exit price) in an orderly transaction between market participants at the measurement date. The accounting guidance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assumptions market participants would use in pricing the asset or liability based on the best information available in the circumstances.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hierarchy is broken down into the three input levels summarized below:</w:t>
      </w:r>
    </w:p>
    <w:p>
      <w:pPr>
        <w:spacing w:after="0" w:line="239" w:lineRule="exact"/>
        <w:rPr>
          <w:sz w:val="20"/>
          <w:szCs w:val="20"/>
          <w:color w:val="auto"/>
        </w:rPr>
      </w:pPr>
    </w:p>
    <w:p>
      <w:pPr>
        <w:jc w:val="both"/>
        <w:ind w:left="820" w:right="79" w:hanging="755"/>
        <w:spacing w:after="0" w:line="261" w:lineRule="auto"/>
        <w:rPr>
          <w:sz w:val="20"/>
          <w:szCs w:val="20"/>
          <w:color w:val="auto"/>
        </w:rPr>
      </w:pPr>
      <w:r>
        <w:rPr>
          <w:rFonts w:ascii="Times New Roman" w:cs="Times New Roman" w:eastAsia="Times New Roman" w:hAnsi="Times New Roman"/>
          <w:sz w:val="18"/>
          <w:szCs w:val="18"/>
          <w:color w:val="auto"/>
        </w:rPr>
        <w:t>Level 1— Valuations are based on quoted prices in active markets for identical assets or liabilities and readily accessible by the Company at the reporting date.</w:t>
      </w:r>
    </w:p>
    <w:p>
      <w:pPr>
        <w:jc w:val="both"/>
        <w:ind w:left="820" w:right="79" w:hanging="755"/>
        <w:spacing w:after="0" w:line="250" w:lineRule="auto"/>
        <w:rPr>
          <w:sz w:val="20"/>
          <w:szCs w:val="20"/>
          <w:color w:val="auto"/>
        </w:rPr>
      </w:pPr>
      <w:r>
        <w:rPr>
          <w:rFonts w:ascii="Times New Roman" w:cs="Times New Roman" w:eastAsia="Times New Roman" w:hAnsi="Times New Roman"/>
          <w:sz w:val="18"/>
          <w:szCs w:val="18"/>
          <w:color w:val="auto"/>
        </w:rPr>
        <w:t>Level 2— Valuations based on inputs other than the quoted prices in active markets that are observable either directly or indirectly in active markets.</w:t>
      </w:r>
    </w:p>
    <w:p>
      <w:pPr>
        <w:spacing w:after="0" w:line="1" w:lineRule="exact"/>
        <w:rPr>
          <w:sz w:val="20"/>
          <w:szCs w:val="20"/>
          <w:color w:val="auto"/>
        </w:rPr>
      </w:pPr>
    </w:p>
    <w:p>
      <w:pPr>
        <w:jc w:val="both"/>
        <w:ind w:left="820" w:right="79" w:hanging="755"/>
        <w:spacing w:after="0" w:line="260" w:lineRule="auto"/>
        <w:rPr>
          <w:sz w:val="20"/>
          <w:szCs w:val="20"/>
          <w:color w:val="auto"/>
        </w:rPr>
      </w:pPr>
      <w:r>
        <w:rPr>
          <w:rFonts w:ascii="Times New Roman" w:cs="Times New Roman" w:eastAsia="Times New Roman" w:hAnsi="Times New Roman"/>
          <w:sz w:val="18"/>
          <w:szCs w:val="18"/>
          <w:color w:val="auto"/>
        </w:rPr>
        <w:t>Level 3— Valuations based on unobservable inputs in which there is little or no market data, which requires the Company to develop its own assumptions.</w:t>
      </w:r>
    </w:p>
    <w:p>
      <w:pPr>
        <w:spacing w:after="0" w:line="11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financial instruments measured at fair value on a recurring or non-recurring basis. The carrying amounts of certain financial instruments, including cash and cash equivalents, short-term investments, accounts receivable, accounts payable and accrued expenses approximate their fair values due to the short-term nature of such instruments. Refer to Note 6, “Debt,” for disclosure of the fair value of the 2029 Convertible Notes and Note 11, “Royalty Financing Obligation,” for disclosures about the royalty financing obligation. The estimated fair value of the royalty financing obligations is based on the Company’s current estimates of future payments to RTW over the estimated term of the obligation, which are considered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where noted and for share and per share data)</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 Exercised</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Subsequent to the three-month period ended March 31, 2026, through to the date of issuance of the condensed consolidated financial statements, the Company raised aggregate gross proceeds of $10.0 million from the exercise of Series A Common Warrants previously issued in connection with the 2025 Offering. Specifically, 6,678,642 Series A Warrants were exercised for net proceeds of $9.4 million, after deducting underwriting commissions payable by the Company of $0.6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Controlled Equity Offering</w:t>
      </w:r>
    </w:p>
    <w:p>
      <w:pPr>
        <w:spacing w:after="0" w:line="235"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On May 13, 2026,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as sales agent, or the "Sales Agent," pursuant to which the Company may, from time to time, sell common shares, without par value per share, through the Sales Agent, or the “ATM Offering”. The Company will pay the Sales Agent a commission for its services as Sales Agent of 3.0% of the aggregate gross proceeds from each sale of the common shares sold through the Sales Agent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2. Management’s Discussion and Analysis of Financial Condition and Results of Operations.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interim condensed consolidated financial statements and the notes thereto included in this Quarterly Report on Form 10-Q and the audited annual consolidated financial statements and the notes thereto included in our Annual Report on Form 10-K for the year ended December 31, 2025, which was filed with the Securities And Exchange Commission, or “SEC,” on March 20, 2026. Our actual results may differ materially from those anticipated in these forward-looking statements as a result of various factors, including those discussed in “Risk Factors” and in other parts of this Quarterly Report on Form 10-Q.</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cardiovascular medicines. Our approved product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is available in the United States and is the first and only U.S. Food and Drug Administration, or the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spacing w:after="0" w:line="188" w:lineRule="exact"/>
        <w:rPr>
          <w:sz w:val="20"/>
          <w:szCs w:val="20"/>
          <w:color w:val="auto"/>
        </w:rPr>
      </w:pPr>
    </w:p>
    <w:p>
      <w:pPr>
        <w:jc w:val="both"/>
        <w:ind w:left="60" w:right="59"/>
        <w:spacing w:after="0" w:line="228" w:lineRule="auto"/>
        <w:rPr>
          <w:sz w:val="20"/>
          <w:szCs w:val="20"/>
          <w:color w:val="auto"/>
        </w:rPr>
      </w:pPr>
      <w:r>
        <w:rPr>
          <w:rFonts w:ascii="Times New Roman" w:cs="Times New Roman" w:eastAsia="Times New Roman" w:hAnsi="Times New Roman"/>
          <w:sz w:val="18"/>
          <w:szCs w:val="18"/>
          <w:color w:val="auto"/>
        </w:rPr>
        <w:t>We are currently focusing our efforts and financial resources on (i) the commercialization of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for the treatment of PSVT, (ii) the development of etripamil for the treatment of AFib-RVR and (iii) corporate development activities that have the potential to increase company value through strategic collaborations.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Market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December 12, 2025, we announced the FDA approved our first commercial product, CARDAMYST™ (etripamil) nasal spray, a prescription medication for the conversion of acute symptomatic episodes of PSVT to sinus rhythm in adults. We have currently begun focusing on the commercialization of CARDAMYST, which became available in retail pharmacies in the first quarter of 2026. 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time, as they are inconsistently managed (cycling in and out of the healthcare system). Furthermore, PSVT is expected to 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versus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Continued Development Highlights</w:t>
      </w:r>
    </w:p>
    <w:p>
      <w:pPr>
        <w:spacing w:after="0" w:line="216" w:lineRule="exact"/>
        <w:rPr>
          <w:sz w:val="20"/>
          <w:szCs w:val="20"/>
          <w:color w:val="auto"/>
        </w:rPr>
      </w:pPr>
    </w:p>
    <w:p>
      <w:pPr>
        <w:ind w:left="60" w:right="79"/>
        <w:spacing w:after="0" w:line="219" w:lineRule="auto"/>
        <w:rPr>
          <w:sz w:val="20"/>
          <w:szCs w:val="20"/>
          <w:color w:val="auto"/>
        </w:rPr>
      </w:pPr>
      <w:r>
        <w:rPr>
          <w:rFonts w:ascii="Times New Roman" w:cs="Times New Roman" w:eastAsia="Times New Roman" w:hAnsi="Times New Roman"/>
          <w:sz w:val="18"/>
          <w:szCs w:val="18"/>
          <w:color w:val="auto"/>
        </w:rPr>
        <w:t>In November 2025, we submitted our marketing authorization application, or “MAA,” to the European Medicines Agency, or “EMA,” for review for approval to market etripamil nasal spray, under the trade name TACHYMIST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in the European Union. The MAA utilizes much of the clinical, manufacturing and quality data package that was submitted in the NDA which led to the US FDA approval.</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January 2025, our licensing partner, Corxel Pharmaceuticals, or “Corxel,” formerly Ji Xing Pharmaceuticals Limited, JIXING, announced that the Center for Drug Evaluation, or “CDE,” of the National Medical Products Administration, or “NMPA,” of the People’s Republic of China has accepted the New Drug Application, or “NDA,” for etripamil nasal spray for the treatment of PSVT. The NDA to the NMPA included data from the successful Phase 3 JX02002 clinical trial of etripamil nasal spray in patients with PSVT in China in addition to data included in the NDA that Milestone submitted to the FDA.</w:t>
      </w:r>
    </w:p>
    <w:p>
      <w:pPr>
        <w:spacing w:after="0" w:line="187" w:lineRule="exact"/>
        <w:rPr>
          <w:sz w:val="20"/>
          <w:szCs w:val="20"/>
          <w:color w:val="auto"/>
        </w:rPr>
      </w:pPr>
    </w:p>
    <w:p>
      <w:pPr>
        <w:ind w:left="60" w:right="319"/>
        <w:spacing w:after="0" w:line="242" w:lineRule="auto"/>
        <w:rPr>
          <w:sz w:val="20"/>
          <w:szCs w:val="20"/>
          <w:color w:val="auto"/>
        </w:rPr>
      </w:pPr>
      <w:r>
        <w:rPr>
          <w:rFonts w:ascii="Times New Roman" w:cs="Times New Roman" w:eastAsia="Times New Roman" w:hAnsi="Times New Roman"/>
          <w:sz w:val="18"/>
          <w:szCs w:val="18"/>
          <w:color w:val="auto"/>
        </w:rPr>
        <w:t>On March 23, 2026, Corxel announced that it had entered into an Asset Purchase Agreement with Everest Medicines, or “Everest”, a biopharmaceutical company focused on the development, manufacturing, and commercialization of pharmaceutical products and vaccines, with an established commercial infrastructure in Greater China. Pursuant to that Asset Purchase Agreement, Everest acquired the rights to develop, manufacture, and commercialize CARDAMYST™ (etripamil) nasal spray in Greater China, including mainland China, Hong Kong, Macau, and Taiwan.</w:t>
      </w:r>
    </w:p>
    <w:p>
      <w:pPr>
        <w:spacing w:after="0" w:line="185"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500-patient Phase 3 trial (JX02002) met its primary endpoint, with a Kaplan Meier analysis showing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Etripamil Nasal Spray for the Treatment of AFib-RVR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initiated a Phase 3 registrational program to evaluate self-administered etripamil as a potential treatment for patients with AFib-RVR and are currently onboarding clinical sites. We expect to enroll the first patient in the trial in the second half of 2026. We intend to follow the supplemental New Drug Application, or “sNDA,” regulatory approval pathway and expect to leverage the initial PSVT indication and its safety database along with the results from the planned single Phase 3 study in AFib-RVR.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AFib-RVR Market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with an oral rate-control drug; however, such agents often fail to provide immediate or dependable ventricular rate control because they have a 30- to 90-minute delayed onset of action. As a result, many patients require faster and more reliable rate reduction and symptom resolution, leading them to seek acute medical care in the emergency department for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w:t>
      </w:r>
    </w:p>
    <w:p>
      <w:pPr>
        <w:spacing w:after="0" w:line="19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emergency department due to AFib symptoms. Initial data suggests that approximately 60% of all AFib emergency department visits were attributable to AFib-RVR, as symptoms driving patients to seek care generally become more pronounced at higher heart rates. Treatment for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AFib-RVR Clinical Development Highlights</w:t>
      </w:r>
    </w:p>
    <w:p>
      <w:pPr>
        <w:spacing w:after="0" w:line="14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 w:cs="Times New Roman" w:eastAsia="Times New Roman" w:hAnsi="Times New Roman"/>
          <w:sz w:val="18"/>
          <w:szCs w:val="18"/>
          <w:i w:val="1"/>
          <w:iCs w:val="1"/>
          <w:color w:val="auto"/>
        </w:rPr>
        <w:t>Circulation: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Arrhythmia and Electrophysiology</w:t>
      </w:r>
      <w:r>
        <w:rPr>
          <w:rFonts w:ascii="Times New Roman" w:cs="Times New Roman" w:eastAsia="Times New Roman" w:hAnsi="Times New Roman"/>
          <w:sz w:val="18"/>
          <w:szCs w:val="18"/>
          <w:color w:val="auto"/>
        </w:rPr>
        <w:t>. The randomized, double-blinded, placebo-controlled ReVeRA trial of etripamil nasal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spray enrolled 87 patients and dosed 56 patients aged 18 years and older with AFib who urgently presented experiencing AFib and a ventricular rate of 110 or more beats per minute, or “bpm.” The trial was designed to assess the magnitude, rapidity, and duration of reduction and the patient satisfaction with treatment using an established patient reported outcome, or “PRO,” tool. Data showed that delivery of etripamil nasal spray (70 mg) significantly and rapidly reduced ventricular rate, in a pattern consistent with the drug’s pharmacologic profile. Etripamil achieved the primary endpoint with a high degree of statistical significance; patients experienced a ventricular rate reduction of 29.91 bpm (95% confidence interval: -40.31, -19.52; p&lt;0.0001) in the etripamil arm relative to placebo. The absolute maximum reduction in rate in the etripamil arm was 34.97 bpm. Using the Treatment Satisfaction Questionnaire 9, or “TSQM-9,” PRO, compared to placebo, patients treated with etripamil demonstrated significant improvements in two satisfaction ratings: effectiveness (p&lt;0.0001) and relief of symptoms (p=0.0002), with the degrees of improvement consistent with those customarily described as clinically meaningful. Treatment-emergent serious adverse events, or “TESAEs,” were rare and the most common (≥ 5%) adverse events were mild or moderate in intensity and included nasal discomfort, rhinorrhea, increased lacrimation, throat irritation and dizziness. Further trial details are below in this document.</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could use a PRO measure, and various PROs were discussed with the FDA. We have finalized the Phase 3 study protocol following FDA’s review and obtained concurrence with the FDA to proceed.</w:t>
      </w:r>
    </w:p>
    <w:p>
      <w:pPr>
        <w:spacing w:after="0" w:line="16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Phase 3 study has been initiated and will be conducted in a medically unmonitored setting (e.g., at-home) in a manner very similar to the conduct of our Phase 3 development program for PSVT. The Phase 3 AFib-RVR study will enroll patients with a history of symptomatic AFib episodes, and will use a self-administered, repeat-dose regimen of 70 mg per dose (the dose and dosing approach that was studied in the RAPID trial in patients with PSVT). The Phase 3 study’s target population will be patients with verified history of AFib-RVR, and the ITT population will be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 ​</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0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Since the commencement of our operations in 2003, we have devoted substantially all of our resources to performing research and development activities in support of our product development efforts, hiring personnel, raising capital to support and expand such activities, providing general and administrative support for these operations and, more recently, preparing for commercialization. We have historically operated our business using a significant outsourcing model. As such, our team is currently composed of a relatively smaller core of employees who direct a significantly larger number of team members who are outsourced in the forms of vendors and consultants to enable execution of our operational plans. On December 12, 2025, we announced that the FDA approved our first commercial product, CARDAMYST™ (etripamil) nasal spray, a prescription medication for the conversion of acute symptomatic episodes of paroxysmal supraventricular tachycardia, or “PSVT,” to sinus rhythm in adults. As a result, we expect our future commercial expenses will increase as we invest in the infrastructure, personnel, and operational expenses required to commercialize CARDAMYST in the United States. We also expect inventory balances to increase as we capitalize costs related to the production of CARDAMYST for commercial sale in the United States. In addition, we expect to continue to incur significant research and development and general administrative expenses related to our operations as we advance etripamil nasal spray for the treatment of AFib-RVR and continue to invest in the resources needed to support a developing commercialized public company.</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For the three months ended March 31, 2026 and 2025, we recorded net losses of $26.1 million and $20.8 million, respectively. As of March 31, 2026, we had an accumulated deficit of $456.7 million. We expect to continue to incur significant losses for the foreseeable future. We anticipate that a substantial portion of our capital resources and efforts in the foreseeable future will be focused on commercialization of CARDAMYST and the development of an additional etripamil indication. We had $71.3 million of cash and cash equivalents and $112.9 million of short-term investments as of March 31, 2026.</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Our net losses may fluctuate significantly from period to period, depending on the timing of our planned clinical trials and expenditures on other research and development activities. We expect our expenses will increase over time as we:</w:t>
      </w:r>
    </w:p>
    <w:p>
      <w:pPr>
        <w:spacing w:after="0" w:line="176" w:lineRule="exact"/>
        <w:rPr>
          <w:sz w:val="20"/>
          <w:szCs w:val="20"/>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development of etripamil, including future Phase 3 clinical trials for the treatment of AFib-RVR and potential Phase 4 clinical trials for treatment of PSVT;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either directly or through collaboration with our partners, marketing approval for etripamil nasal spray for the treatment of PSVT from regulatory agencies responsible for regions outside the United States;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etripamil for the treatment of AFib-RVR and other cardiovascular indications;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marketing, manufacturing, and distribution capability, either directly or indirectly through third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portfolio of product candidates through development, or the acquisition of in-license of drugs, product candidates or technologies;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or other general &amp; administrative personnel, including personnel to support our product development and potential expansion of our future commercialization efforts; and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insurance and other expenses associated with operating as a public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1"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On May 13, 2026,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as sales agent, or the "Sales Agent," pursuant to which we may, from time to time, sell common shares, without par value per share, through the Sales Agent, or the “ATM Offering”. We are not obligated to, and cannot provide any assurances that we will make any sales of our shares under the Sales Agreement. For more details on the Sales Agreement, see Item 5. Other Information.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Macroeconomic Climate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Inflation rates may materially adversely affect our business and corresponding financial position and cash flows. Inflationary factors, changes to interest rates, and overhead costs may adversely affect our operating results. Interest and inflation rates also present a recent challenge impacting the U.S. economy and could make it more difficult for us to obtain traditional financing on acceptable terms, if at all, in the future. Additionally, geopolitical events, including war and terrorism, banking instabilities, ongoing changes to U.S. and international tariffs and other trade restrictions and trade barriers, renegotiation of international trade agreements, or further escalations of trade tensions, and other U.S. geopolitical issues affecting other territories and employee availability and wage increases, and economic markets all of which may result in additional stress on our working capital resources. The ongoing trade tensions between the U.S. and other jurisdictions have resulted in multiple rounds of tariffs and anticipated tariffs affecting pharmaceuticals and pharmaceutical ingredients, including finished drug products, manufacturing equipment, and related supplies. In any event, the dynamic and unpredictable tariff and trade landscape may create substantial uncertainty and planning challenges for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26, 2026, CARDAMYST (etripamil) nasal spray for the management of PSVT became available in the United States through retail pharmacies and our national sales force was deployed mid-February 2026. We initiated shipments of CARDAMYST to customers in the United States, which include major wholesalers, in January 2026. We recognize revenue for products received by our customers net of allowances for customer discounts, service fees, estimated returns, and estimated rebates. Product revenues were $0.2 million during the three months ended March 31, 2026. We earned no product revenue during the three months ended March 31,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earn license revenue when milestones are reached pursuant to our License and Collaboration Agreement, dated May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 2021, with Corxel. During the three months ended March 31, 2026 and 2025, no milestones were achieved, and no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was recorded under the Ji Xing License Agreement. On March 23, 2026, Corxel announced that it had entered into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Asset Purchase Agreement with Everest. Pursuant to that Asset Purchase Agreement, Everest acquired the rights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 manufacture, and commercialize CARDAMYST™ (etripamil) nasal spray in Greater China, including mainland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China, Hong Kong, Macau, and Taiwan.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product sales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costs of producing inventory related to CARDAMYST including manufacturing, freight, overhead, and any inventory valuation adjustments. Cost of product sales is recognized in the period in which the related product revenue is earned.</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Prior to FDA approval on December 12, 2025, all manufacturing costs for CARDAMYST were expensed as research and development costs. As a result, inventory on hand at the time of approval had a zero-cost basis.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we recognized a de minimis amount of cost of product sales, consisting primarily of post-approval manufacturing activities, including final packaging costs. Accordingly, cost of product sales does not reflect the full cost of units sold, and gross margin is not representative of our expected long-term cost structure. We expect cost of product sales to increase in future periods as we sell inventory manufactured after FDA approval. We recorded no cost of product sales for the three months ended March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fees paid to external service providers, as well as personnel costs, including share-based compensation expense, and other related compensation expenses. We expense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 date, the majority of our research and development expenses have been related to the preclinical and clinical development of etripamil inclusive of manufacturing costs pre-FDA approval. As we advance etripamil or other product candidates for other indications, we expect to allocate our direct external research and development costs across each of the indications or product candidates. Further, we expect our research and development costs to increase for the development of etripamil in AFib-RVR, and we expect our research and development expenses related to the development of etripamil for PSVT to decrease as a percentage of our total research and development expenses.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process of conducting the necessary clinical research to obtain regulatory approval is costly and time-consuming and is subject to uncertainties and delays. As a result of the uncertainties discussed above, we are unable to determine the duration and completion costs of our research and development projects or when and to what extent we will generate revenue from the commercialization and sale of our product candidates, if at all.</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recognize the benefit of Canadian research and development tax credits as a reduction of research and development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for fully refundable investment tax credits.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personnel and related compensation costs, expenses for outside professional services, lease expenses, insurance expenses, and other general administrative expenses. Personnel costs consist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119"/>
        <w:spacing w:after="0" w:line="275" w:lineRule="auto"/>
        <w:rPr>
          <w:sz w:val="20"/>
          <w:szCs w:val="20"/>
          <w:color w:val="auto"/>
        </w:rPr>
      </w:pPr>
      <w:r>
        <w:rPr>
          <w:rFonts w:ascii="Times New Roman" w:cs="Times New Roman" w:eastAsia="Times New Roman" w:hAnsi="Times New Roman"/>
          <w:sz w:val="18"/>
          <w:szCs w:val="18"/>
          <w:color w:val="auto"/>
        </w:rPr>
        <w:t>salaries, bonuses, benefits, related payroll taxes, and share-based compensation. Outside professional services consist of legal, accounting, and audit services and other consulting fees. ​</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to continue to incur expenses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Commercial Expenses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Commercial expenses consist primarily of personnel and related compensation costs, market and health economic research, and market development activities for PSVT and, to a lesser extent, AFib-RVR. The focus of these expenses is three-fold: first, we want to leverage rigorous primary and secondary research to fully understand our target disease states from the perspective of the patient, healthcare provider, and payor; second, we want to understand and document the burden of disease posed by PSVT and AFib-RVR from an epidemiology, healthcare resource use, and cost perspective; and third, we want to engage our target patient, physician, and payor stakeholders with evidence-based and compliant educational materials that serve to increase the awareness and understanding of the impact of PSVT and AFib-RVR on patients and the overall healthcare system.</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anticipate our commercial expenses will increase as we invest in the infrastructure, personnel, and operational expenses required to commercialize CARDAMYST in the United States.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 primarily consists of interest income from our cash and cash equivalents and short-term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contractual debt interest expense, amortization of debt costs, and interest related to the royalty financing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and changes: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1"/>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26, 2026, CARDAMYST (etripamil) nasal spray for the management of PSVT in the United States became available through U.S. retail pharmacies and our national sales force was deployed mid-February 2026. We initiated shipments of CARDAMYST to customers in the United States, which include major wholesalers, in January 2026. We recognize revenue for product received by our customers net of allowances for customer discounts, service fees, estimated returns, and estimated rebates. Product revenues were $0.2 million during the three months ended March 31, 2026. We earned no product revenue during the three months ended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milestones were achieved, and no revenue was recorded.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 of Tax Credits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type of activity for the periods indicated:</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Borders>
              <w:bottom w:val="single" w:sz="8" w:color="auto"/>
            </w:tcBorders>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2026</w:t>
            </w: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Change</w:t>
            </w:r>
          </w:p>
        </w:tc>
      </w:tr>
      <w:tr>
        <w:trPr>
          <w:trHeight w:val="196"/>
        </w:trPr>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$ 1,427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$ 1,749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Drug manufacturing and formulation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 and other costs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Less: R&amp;D tax credits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196"/>
        </w:trPr>
        <w:tc>
          <w:tcPr>
            <w:tcW w:w="5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R&amp;D expenses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$ 3,251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$ 4,978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net of tax credits, decreased by $1.7 million for the three months ended March 31, 2026, compared to the three months ended March 31, 2025, primarily due to a decrease in outside service costs related to drug development and research.</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recognize the benefit of Canadian research and development tax credits as a reduction of research and development costs for fully refundable investment tax credits.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or 6.6%, for the three months ended March 31, 2026, compared to the three months ended March 31, 2025, primarily due to a decrease in professional costs partially offset by an increase in personnel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ind w:left="60" w:right="299"/>
        <w:spacing w:after="0" w:line="257" w:lineRule="auto"/>
        <w:rPr>
          <w:sz w:val="20"/>
          <w:szCs w:val="20"/>
          <w:color w:val="auto"/>
        </w:rPr>
      </w:pPr>
      <w:r>
        <w:rPr>
          <w:rFonts w:ascii="Times New Roman" w:cs="Times New Roman" w:eastAsia="Times New Roman" w:hAnsi="Times New Roman"/>
          <w:sz w:val="18"/>
          <w:szCs w:val="18"/>
          <w:color w:val="auto"/>
        </w:rPr>
        <w:t>Commercial expenses increased by $5.4 million, or 52.4%, for the three months ended March 31, 2026, compared to the same period in 2025. This increase is primarily a result of additional personnel costs, professional costs, and other operational expenses related to the launch of CARDAMYST.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income was $1.7 million and $0.7 million for the three months ended March 31, 2026 and 2025, respectively. The increase in interest income was primarily due to higher average cash, cash equivalents, and short-term investment balances during the three months ended March 31, 2026 compared to the same period in 2025, driven by proceeds from the July 2025 underwritten public offering, or the “2025 Offering,” and the purchase and sale agreement, or the “Royalty Purchase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expense increased by $3.2 million, or 342.3%, for the three months ended March 31, 2026 compared to the same period in 2025, primarily a result of $3.1 million of interest expense recognized on the royalty financing obligation during the three months ended March 31, 2026 (see Note 11, “Royalty Financing Obligation” in the accompanying notes to our interim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and experienced negative operating cash flows since our inception, and we anticipate continuing to incur losses for the foreseeable future. As of March 31, 2026, we had cash, cash equivalents, and short-term investments of $184.2 million and an accumulated deficit of $456.7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11, 2025, we entered into an underwriting agreement, or the “Underwriting Agreement,” related to an underwritten public offering, or the “2025 Offering,” of (i) 31,500,000 of our common shares,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or the “2025 Pre-Funded Warrants” and, together with the Series A Common Warrants and the Series B Common Warrants, the “Warrants,” to purchase 3,502,335 common shares,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Common Shares and accompanying Common Warrants less the $0.001 per share exercise price for each such Pre-Funded Warrant.</w:t>
      </w:r>
    </w:p>
    <w:p>
      <w:pPr>
        <w:spacing w:after="0" w:line="19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proceeds to the Company from the 2025 Offering were $48.6 million after deducting underwriting commissions and other offering expenses payable by us, in the amount of $3.9 million.</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5,666,666 Series A Common Warrants were exercised for net proceeds of $8.0 million, after deducting underwriting commissions paid and payable of $0.5 million.</w:t>
      </w:r>
    </w:p>
    <w:p>
      <w:pPr>
        <w:spacing w:after="0" w:line="154"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On July 29, 2020, we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“Original Sale Agreement,” with respect to an at-the-market offering program, or the “ATM Program,” under which we could issue and sell our common shares having an aggregate offering price of up to $50.0 million through Jefferies LLC, or “Jefferies,” as sales agent or principal. On March 18, 2025, we entered into an Amended and Restated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“Amended Agreement,” with Jefferies. The Amended Agreement amends and restates, in its entirety, the Original Sale Agreement. Under the Amended Agreement, we were able to sell our common shares, no par value per share, for an aggregate offering price of up to $77.8 million (which includes the $2.8 million of sales previously made pursuant to the Original Sale Agreement through the date the Amended Agreement was entered into), or the “ATM Shares.” The ATM Shares will be sold pursuant to our shelf registration statement on Form S-3 (File No. 333-283162). We previously issued 361,236 common shares under the Original Sale Agreement, resulting in net proceeds of approximately $2.6 million (net of issuance costs of approximately $0.1 million). We issued 5,526,590 shares under the amended agreement resulting in net proceeds of $10.9 million, after deducting sales agent commissions payable by us of $0.3 million during the three-month period ended March 31, 2026. On March 6, 2026, we terminated the Amended Agreement.</w:t>
      </w:r>
    </w:p>
    <w:p>
      <w:pPr>
        <w:spacing w:after="0" w:line="20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expect our existing cash and cash equivalents and short-term investments to be sufficient to fund our operations for at least the next 12 months from the date of issuance of this Form 10-Q for the quarter ending March 31, 2026. We believe there are currently no events or conditions that may cast substantial doubt on our ability to continue as a going concern for at least the next 12 months from the date of this filing.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Royalty Purchase Agreement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27, 2023, we entered into the Royalty Purchase Agreement with RTW Royalty I DAC, an affiliate of RTW Investments, LP, or “RTW,” pursuant to which RTW agreed to purchase, following U.S. Food and Drug Administration approval of etripamil for the treatment of PSVT (subject to certain conditions), at a purchase price of $75.0 million, the right to receive tiered quarterly royalty payments, or the “royalty interest,” on net product sales of CARDAMYST (etripamil) in the United States.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12, 2026, the Company closed the sale of the royalty interest under the Royalty Purchase Agreement and received cash of $75.0 million from RTW in exchange for future royalty payments (see Note 11, “Royalty Financing Obligation” in the accompanying notes to our interim condensed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anticipate that we will use our cash and cash equivalents primarily to fund commercialization and research and development expenditures. We expect our expenses to increase as we continue the development of etripamil and invest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infrastructure, personnel, and operational expenses required to commercialize CARDAMYST in the United States. We expect to incur increasing operating losses for the foreseeable future as we continue the clinical development of subsequent etripamil indications or any future product candidates. At this time, due to the inherently unpredictable nature of clinical development, we cannot reasonably estimate the costs we will incur and the timelines that will be required to complete development, obtain marketing approval, and commercialize subsequent etripamil indications or any future product candidates, if at all. For the same reasons, we are also unable to predict when, if ever, we may achieve profitability generated from product sales. Clinical and preclinical development timelines, the probability of success, and development costs can differ materially from expectations.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have exclusive development and commercialization rights for etripamil for all indications that we may pursue, and as such, have the potential to license development and or commercialization rights for etripamil to a potential partner in regions outside of Greater China. We have established commercialization and marketing capabilities using a direct sales force to commercialize CARDAMYST in the United States. Outside of the United States, we are considering commercialization strategies that may include collaborations with other companies.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For other new product candidates, our efforts are focused on licensing development and/or commercialization rights from potential partners. In the case of either in-licensing or out-licensing, we cannot forecast when such arrangements will be secured, if at all, and to what degree such arrangements would affect our development and commercialization plans and capital requirements.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225" w:lineRule="exact"/>
        <w:rPr>
          <w:sz w:val="20"/>
          <w:szCs w:val="20"/>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ongoing and planned clinical trials and other development activities of etripamil in AFib-RVR and in other cardiovascular indications;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etripamil for additional indications or any future product candidates that we may pursue;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collaborations on favorable terms, if at all;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vendors and third-party service providers to accurately forecast expenses and deliver on expectations;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subsequent etripamil indications and any future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CARDAMYST commercialization activities, including product manufacturing, marketing, sales, and distribution for CARDAMYST and any future product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shareholders. The incurrence of debt financing would result in debt service obligations and the instruments governing such debt could provide for operating and financing covenants that restrict our operations or our ability to incur additional indebtedness or pay dividends, among other items. If we are not able to secure adequate additional funding, we may be forced to make reductions in spending, extend payment terms with suppliers, liquidate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assets where possible, and/or suspend or curtail planned programs. Any of these actions could materially and adversely affect our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3"/>
        </w:trPr>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(13,952)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Investing activities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03"/>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Financing activities</w:t>
            </w: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94,354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94,214</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67295.7%</w:t>
            </w:r>
          </w:p>
        </w:tc>
      </w:tr>
      <w:tr>
        <w:trPr>
          <w:trHeight w:val="196"/>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 during the period</w:t>
            </w: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$16.1 million, which consisted primarily of a net loss of $26.1 million, offset by a net cash increase of $4.5 million related to the change in assets and liabilities, non-cash charges of $1.3 million related to share-based compensation, and non-cash interest charges and debt costs of $4.1 million related to the 2029 Convertible Notes and royalty financing obligation.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was $14.0 million, which consisted primarily of a net loss of $20.8 million, offset by a net cash increase of $4.6 million related to the change in assets and liabilities, non-cash charges of $1.4 million related to share-based compensation, and non-cash interest charges of $0.9 million related to the 2029 Convertible 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we acquired $80.0 million of short-term investments. In the three months ended March 31, 2025, we acquired $0.9 million of short-term investments, and we redeemed $34.5 million in short-term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2026, our financing activities provided cash proceeds of $94.4 million. These proceeds were primarily a result of the $75.0 million received from the Royalty Purchase Agreement, $8.3 million, net of issuance costs, from the exercise of Series A Common Warrants under the 2025 Offering, and $10.9 million net of issuance costs, for shares sold under the ATM Program.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our financing activities provided cash proceeds of $0.1 million. These proceeds were primarily a result of common shares issued pursuant to our employee stock purchase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described under Management’s Discussion and Analysis of Financial Condition and Results of Operations in our Annual Report on Form 10-K, filed with the SEC on March 20, 2026.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consolidated financial statements as of March 31, 2026, which have been prepared in accordance with United States generally accepted accounting principles, or “U.S. GAAP,” and on a basis consistent with those accounting principles followed by us. The preparation of these consolidated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Significant estimates and judgments include, but are not limited to:</w:t>
      </w:r>
    </w:p>
    <w:p>
      <w:pPr>
        <w:spacing w:after="0" w:line="194" w:lineRule="exact"/>
        <w:rPr>
          <w:sz w:val="20"/>
          <w:szCs w:val="20"/>
          <w:color w:val="auto"/>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percentage of work completed of the total work over the life of the individual trial in accordance with agreements established with contract research organizations, or “CROs,” contract manufacturing organizations, or “CMOs,” and clinical trial sites which in turn impact the research and development expenses.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grant date fair value of share options granted to employees, consultants and directors, and the resulting share-based compensation expense, using the Black-Scholes option-pricing model.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transaction price when recognizing revenue. Net revenue from sales of CARDAMYST is recorded at net selling price (transaction price), which includes reserves for variable consideration.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timing and amount of future royalty payments to be generated from product sales over the expected repayment term, which are used to determine the effective interest rate and resulting interest expense and carrying amount of the royalty financing obligation.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Accordingly,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Research and Development Expenses — Accruals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charged against income in the period of expenditure. Our research and development costs consist primarily of salaries and fees paid to CROs and to CMOs for clinical trial expenses and manufacturing costs prior to FDA approval.</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Clinical trial expenses include direct costs associated with CROs, direct CMO costs for the formulation and packaging of clinical trial material, as well as investigator and patient-related costs at sites at which our trials are being conducted. Direct costs associated with our CROs and CMOs are generally payable on a time-and-materials basis, or when milestones are achieved. The invoicing from clinical trial sites can lag several months. We record expenses for our clinical trial activities performed by third parties based upon estimates of the percentage of work completed of the total work over the life of the individual trial in accordance with agreements established with CROs and clinical trial sites. We determine the estimates through discussions with internal clinical personnel, CROs, and CMOs as to the progress or stage of completion of trials or services and the agreed-upon fee to be paid for such services based on facts and circumstances known to us as of each consolidated balance sheet date. The actual costs and timing of clinical trials are highly uncertain, subject to risks and may change depending upon a number of factors, including our clinical development plan. If the actual timing of the performance of services and of the level of effort varies from the estimate, we will adjust the accrual accordingly. Adjustments to prior period estimates have not been material. We recognize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Share-Based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recognize compensation costs related to share options granted to employees, consultants, and directors based on the estimated fair value of the awards on the date of grant. We estimate the grant date fair value, and the resulting share-based compensation expense, using the Black Scholes option pricing model. This Black Scholes option pricing model uses various inputs to measure fair value, including estimated fair value of our underlying common shares at the grant date, expected term, estimated volatility, risk-free interest rate, and expected dividend yields of our common shares. The estimated volatility creates a critical estimate because we have not been a public company long enough to demonstrate our own historical volatility. The grant date fair value of the share-based awards is recognized on a straight-line basis over the requisite service periods, which are generally the vesting period of the respective awards. Forfeitures are accounted for as they occur.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Gross-to-net revenue adjustments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revenue from sales of CARDAMYST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estimated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Royalty financing obligation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accounting for our royalty financing obligation involves significant judgment and estimates and is therefore considered a critical accounting estimate. The obligation is accounted for as debt and measured at amortized cost using the effective interest method. At inception, and in subsequent periods, the carrying value of the royalty financing obligation and the related interest expense depend on estimates of the timing and amount of future royalty payments expected to be generated from product sales over the life of the arrangement, as well as the expected repayment term. These estimates are used to determine the effective interest rate applied to accrete the obligation over time.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estimation of future royalty payments is inherently uncertain and requires management judgment regarding key assumptions, including expected future net product sales, the timing of commercial production, and the duration of the underlying patent subject to the royalty. Actual royalty payments may differ materially from management’s estimates due to changes in production levels, operational performance, or other factors beyond our control.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Changes in the estimated amount or timing of future royalty payments result in a prospective adjustment to the effective interest rate and the pattern of interest expense recognized over the remaining term of the obligation. As a result, revisions to these estimates could have a material impact on future interest expense and the carrying value of the royalty financing obligation. We periodically review and update our estimates based on available information; however, actual results may differ materially from those estimates.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our interim condensed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 For the three-month period ended March 31, 2026, we had cash and cash equivalents of $71.3 million and short-term investments of $112.9 million. These cash and cash equivalents and short-term investments consist primarily of bank deposits, guaranteed investment certificates, and U.S. treasury bills.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or decrease in interest rates would have a material effect on the fair market value of our portfolio, and accordingly we do not expect our operating results or cash flows to be materially affected by a sudden change in market interest rates.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undertake certain transactions in Canadian dollars and as such are subject to risk due to fluctuations in exchange rates. Canadian dollar denominated payables are paid at the converted rate as due. We do not use derivative instruments or have a formal hedging program to hedge exposure to foreign exchange rate risk due to the low volume of transactions denominated in foreign currencies. At March 31, 2026, our net monetary exposure denominated in Canadian dollars was $3.6 million.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U.S. dollars in our consolidated financial statements. The fluctuation of the Canadian dollar in relation to the U.S. dollar might, consequently, have an impact upon our loss and may also affect the value of our assets and the amount of shareholders’ equity.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Based upon the evaluation,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333333"/>
        </w:rPr>
        <w:t xml:space="preserve">There have been no material changes from the risk factors previously disclosed in Part I, Item 1A. </w:t>
      </w:r>
      <w:r>
        <w:rPr>
          <w:rFonts w:ascii="Times New Roman" w:cs="Times New Roman" w:eastAsia="Times New Roman" w:hAnsi="Times New Roman"/>
          <w:sz w:val="18"/>
          <w:szCs w:val="18"/>
          <w:color w:val="000000"/>
        </w:rPr>
        <w:t>in our Annual Report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Form 10-K, filed with the SEC and under Milestone’s SEDAR+ profile at www.sedarplus.com on March 20, 2026.</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(as defined in Rule 16a-1(f) under the Exchange Act) adopted, modified or terminated a “Rule 10b5-1 trading arrangement” or “non-Rule-10b5-1 trading arrangement,” as each term is defined in Item 408(a) of Regulation S-K, during the three months ended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Controlled Equity Offering</w:t>
      </w:r>
    </w:p>
    <w:p>
      <w:pPr>
        <w:spacing w:after="0" w:line="221" w:lineRule="exact"/>
        <w:rPr>
          <w:sz w:val="20"/>
          <w:szCs w:val="20"/>
          <w:color w:val="auto"/>
        </w:rPr>
      </w:pPr>
    </w:p>
    <w:p>
      <w:pPr>
        <w:jc w:val="both"/>
        <w:ind w:left="60" w:right="59"/>
        <w:spacing w:after="0" w:line="232" w:lineRule="auto"/>
        <w:rPr>
          <w:sz w:val="20"/>
          <w:szCs w:val="20"/>
          <w:color w:val="auto"/>
        </w:rPr>
      </w:pPr>
      <w:r>
        <w:rPr>
          <w:rFonts w:ascii="Times New Roman" w:cs="Times New Roman" w:eastAsia="Times New Roman" w:hAnsi="Times New Roman"/>
          <w:sz w:val="18"/>
          <w:szCs w:val="18"/>
          <w:color w:val="auto"/>
        </w:rPr>
        <w:t>On May 13, 2026,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as sales agent, or the "Sales Agent," pursuant to which we may, from time to time, sell common shares, without par value per share, through the Sales Agent, or the “ATM Offering”. We are not obligated to, and cannot provide any assurances that we will make any sales of our shares under the Sales Agreement.</w:t>
      </w:r>
    </w:p>
    <w:p>
      <w:pPr>
        <w:spacing w:after="0" w:line="19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Sales Agent may sell the shares by methods deemed to be an "at-the-market" offering as defined in Rule 415(a)(4) promulgated under the Securities Act. Subject to the terms and conditions of the Sales Agreement, the Sales Agent will use commercially reasonable efforts consistent with its normal trading and sales practices to sell the shares from time to time, based upon our instructions. The Sales Agreement contains customary representations, warranties and agreements, indemnification rights and obligations of the parties. We will pay the Sales Agent a commission for its services as Sales Agent of 3.0% of the aggregate gross proceeds from each sale of the common shares sold through the Sales Agent pursuant to the Sales Agreement.</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common shares being offered pursuant to the Sales Agreement will be offered and sold pursuant to a shelf registration statement on Form S-3 and prospectus relating to the ATM Offering that we will file with the SEC.</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offering of shares pursuant to the Sales Agreement will terminate upon the termination of the Sales Agreement in accordance with its terms.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the Sales Agreement, a copy of which is filed as Exhibit 10.3 to this Quarterly Report on Form 10-Q.</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80" w:type="dxa"/>
            <w:vAlign w:val="bottom"/>
            <w:gridSpan w:val="14"/>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80" w:type="dxa"/>
            <w:vAlign w:val="bottom"/>
            <w:gridSpan w:val="14"/>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440" w:type="dxa"/>
            <w:vAlign w:val="bottom"/>
            <w:tcBorders>
              <w:top w:val="single" w:sz="8" w:color="auto"/>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60" w:type="dxa"/>
            <w:vAlign w:val="bottom"/>
            <w:tcBorders>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Articles of Incorporation of the Company (incorporated herein by reference to Exhibit</w:t>
              </w:r>
            </w:hyperlink>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3.1 to the Company’s Current Report on Form 8-K (File No. 001-38899), filed with the SEC on</w:t>
              </w:r>
            </w:hyperlink>
          </w:p>
        </w:tc>
        <w:tc>
          <w:tcPr>
            <w:tcW w:w="10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May 15, 2019).</w:t>
              </w:r>
            </w:hyperlink>
          </w:p>
        </w:tc>
        <w:tc>
          <w:tcPr>
            <w:tcW w:w="0" w:type="dxa"/>
            <w:vAlign w:val="bottom"/>
          </w:tcPr>
          <w:p>
            <w:pPr>
              <w:spacing w:after="0"/>
              <w:rPr>
                <w:sz w:val="1"/>
                <w:szCs w:val="1"/>
                <w:color w:val="auto"/>
              </w:rPr>
            </w:pPr>
          </w:p>
        </w:tc>
      </w:tr>
      <w:tr>
        <w:trPr>
          <w:trHeight w:val="20"/>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960" w:type="dxa"/>
            <w:vAlign w:val="bottom"/>
            <w:tcBorders>
              <w:bottom w:val="single" w:sz="8" w:color="0000EE"/>
            </w:tcBorders>
            <w:gridSpan w:val="10"/>
          </w:tcPr>
          <w:p>
            <w:pPr>
              <w:spacing w:after="0" w:line="169"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Amended and Restated Bylaws of the Company (incorporated herein by reference to Exhibit 3.2</w:t>
              </w:r>
            </w:hyperlink>
          </w:p>
        </w:tc>
        <w:tc>
          <w:tcPr>
            <w:tcW w:w="10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to the Company’s Current Report on Form 8-K (File No. 001-38899), filed with the SEC on</w:t>
              </w:r>
            </w:hyperlink>
          </w:p>
        </w:tc>
        <w:tc>
          <w:tcPr>
            <w:tcW w:w="10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May 15, 2019).</w:t>
              </w:r>
            </w:hyperlink>
          </w:p>
        </w:tc>
        <w:tc>
          <w:tcPr>
            <w:tcW w:w="0" w:type="dxa"/>
            <w:vAlign w:val="bottom"/>
          </w:tcPr>
          <w:p>
            <w:pPr>
              <w:spacing w:after="0"/>
              <w:rPr>
                <w:sz w:val="1"/>
                <w:szCs w:val="1"/>
                <w:color w:val="auto"/>
              </w:rPr>
            </w:pPr>
          </w:p>
        </w:tc>
      </w:tr>
      <w:tr>
        <w:trPr>
          <w:trHeight w:val="20"/>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6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Non-Employee Director Compensation Policy, as amended.</w:t>
            </w:r>
          </w:p>
        </w:tc>
        <w:tc>
          <w:tcPr>
            <w:tcW w:w="0" w:type="dxa"/>
            <w:vAlign w:val="bottom"/>
          </w:tcPr>
          <w:p>
            <w:pPr>
              <w:spacing w:after="0"/>
              <w:rPr>
                <w:sz w:val="1"/>
                <w:szCs w:val="1"/>
                <w:color w:val="auto"/>
              </w:rPr>
            </w:pPr>
          </w:p>
        </w:tc>
      </w:tr>
      <w:tr>
        <w:trPr>
          <w:trHeight w:val="21"/>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top w:val="single" w:sz="8" w:color="0000EE"/>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960" w:type="dxa"/>
            <w:vAlign w:val="bottom"/>
            <w:tcBorders>
              <w:bottom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Employment Agreement, dated January 19, 2026, between David Sandoval and Milestone</w:t>
            </w:r>
          </w:p>
        </w:tc>
        <w:tc>
          <w:tcPr>
            <w:tcW w:w="10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Pharmaceuticals Inc.</w:t>
            </w:r>
          </w:p>
        </w:tc>
        <w:tc>
          <w:tcPr>
            <w:tcW w:w="0" w:type="dxa"/>
            <w:vAlign w:val="bottom"/>
          </w:tcPr>
          <w:p>
            <w:pPr>
              <w:spacing w:after="0"/>
              <w:rPr>
                <w:sz w:val="1"/>
                <w:szCs w:val="1"/>
                <w:color w:val="auto"/>
              </w:rPr>
            </w:pPr>
          </w:p>
        </w:tc>
      </w:tr>
      <w:tr>
        <w:trPr>
          <w:trHeight w:val="21"/>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right w:val="single" w:sz="8" w:color="auto"/>
            </w:tcBorders>
            <w:vMerge w:val="restart"/>
          </w:tcPr>
          <w:p>
            <w:pPr>
              <w:ind w:left="10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4"/>
            <w:vMerge w:val="restart"/>
          </w:tcPr>
          <w:p>
            <w:pPr>
              <w:spacing w:after="0" w:line="169" w:lineRule="exact"/>
              <w:rPr>
                <w:sz w:val="20"/>
                <w:szCs w:val="20"/>
                <w:color w:val="auto"/>
              </w:rPr>
            </w:pPr>
            <w:r>
              <w:rPr>
                <w:rFonts w:ascii="Times New Roman" w:cs="Times New Roman" w:eastAsia="Times New Roman" w:hAnsi="Times New Roman"/>
                <w:sz w:val="18"/>
                <w:szCs w:val="18"/>
                <w:color w:val="0000EE"/>
                <w:w w:val="99"/>
              </w:rPr>
              <w:t>Controlled Equity Offering</w:t>
            </w:r>
          </w:p>
        </w:tc>
        <w:tc>
          <w:tcPr>
            <w:tcW w:w="220" w:type="dxa"/>
            <w:vAlign w:val="bottom"/>
            <w:tcBorders>
              <w:bottom w:val="single" w:sz="8" w:color="0000EE"/>
            </w:tcBorders>
            <w:gridSpan w:val="2"/>
          </w:tcPr>
          <w:p>
            <w:pPr>
              <w:spacing w:after="0" w:line="102" w:lineRule="exact"/>
              <w:rPr>
                <w:sz w:val="20"/>
                <w:szCs w:val="20"/>
                <w:color w:val="auto"/>
              </w:rPr>
            </w:pPr>
            <w:r>
              <w:rPr>
                <w:rFonts w:ascii="Times New Roman" w:cs="Times New Roman" w:eastAsia="Times New Roman" w:hAnsi="Times New Roman"/>
                <w:sz w:val="11"/>
                <w:szCs w:val="11"/>
                <w:color w:val="0000EE"/>
              </w:rPr>
              <w:t>SM</w:t>
            </w:r>
          </w:p>
        </w:tc>
        <w:tc>
          <w:tcPr>
            <w:tcW w:w="4780" w:type="dxa"/>
            <w:vAlign w:val="bottom"/>
            <w:gridSpan w:val="5"/>
            <w:vMerge w:val="restart"/>
          </w:tcPr>
          <w:p>
            <w:pPr>
              <w:spacing w:after="0" w:line="169" w:lineRule="exact"/>
              <w:rPr>
                <w:sz w:val="20"/>
                <w:szCs w:val="20"/>
                <w:color w:val="auto"/>
              </w:rPr>
            </w:pPr>
            <w:r>
              <w:rPr>
                <w:rFonts w:ascii="Times New Roman" w:cs="Times New Roman" w:eastAsia="Times New Roman" w:hAnsi="Times New Roman"/>
                <w:sz w:val="18"/>
                <w:szCs w:val="18"/>
                <w:color w:val="0000EE"/>
              </w:rPr>
              <w:t>dated May 13, 2026, by and between Milestone Pharmaceuticals</w:t>
            </w:r>
          </w:p>
        </w:tc>
        <w:tc>
          <w:tcPr>
            <w:tcW w:w="80" w:type="dxa"/>
            <w:vAlign w:val="bottom"/>
            <w:tcBorders>
              <w:right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440" w:type="dxa"/>
            <w:vAlign w:val="bottom"/>
            <w:tcBorders>
              <w:left w:val="single" w:sz="8" w:color="auto"/>
              <w:right w:val="single" w:sz="8" w:color="auto"/>
            </w:tcBorders>
            <w:vMerge w:val="continue"/>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0000EE"/>
            </w:tcBorders>
            <w:gridSpan w:val="4"/>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780" w:type="dxa"/>
            <w:vAlign w:val="bottom"/>
            <w:tcBorders>
              <w:bottom w:val="single" w:sz="8" w:color="0000EE"/>
            </w:tcBorders>
            <w:gridSpan w:val="5"/>
            <w:vMerge w:val="continue"/>
          </w:tcPr>
          <w:p>
            <w:pPr>
              <w:spacing w:after="0"/>
              <w:rPr>
                <w:sz w:val="2"/>
                <w:szCs w:val="2"/>
                <w:color w:val="auto"/>
              </w:rPr>
            </w:pPr>
          </w:p>
        </w:tc>
        <w:tc>
          <w:tcPr>
            <w:tcW w:w="8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Inc. and Cantor Fitzgerald &amp; Co.</w:t>
            </w:r>
          </w:p>
        </w:tc>
        <w:tc>
          <w:tcPr>
            <w:tcW w:w="0" w:type="dxa"/>
            <w:vAlign w:val="bottom"/>
          </w:tcPr>
          <w:p>
            <w:pPr>
              <w:spacing w:after="0"/>
              <w:rPr>
                <w:sz w:val="1"/>
                <w:szCs w:val="1"/>
                <w:color w:val="auto"/>
              </w:rPr>
            </w:pPr>
          </w:p>
        </w:tc>
      </w:tr>
      <w:tr>
        <w:trPr>
          <w:trHeight w:val="21"/>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tcBorders>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w:t>
            </w: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Securities Exchange Act of 1934, as Adopted Pursuant to Section 302 of the Sarbanes-Oxley</w:t>
            </w:r>
          </w:p>
        </w:tc>
        <w:tc>
          <w:tcPr>
            <w:tcW w:w="10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75"/>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top w:val="single" w:sz="8" w:color="0000EE"/>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5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40" w:type="dxa"/>
            <w:vAlign w:val="bottom"/>
            <w:tcBorders>
              <w:top w:val="single" w:sz="8" w:color="auto"/>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960" w:type="dxa"/>
            <w:vAlign w:val="bottom"/>
            <w:tcBorders>
              <w:top w:val="single" w:sz="8" w:color="auto"/>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w:t>
            </w:r>
          </w:p>
        </w:tc>
        <w:tc>
          <w:tcPr>
            <w:tcW w:w="100" w:type="dxa"/>
            <w:vAlign w:val="bottom"/>
            <w:tcBorders>
              <w:top w:val="single" w:sz="8" w:color="auto"/>
              <w:right w:val="single" w:sz="8" w:color="auto"/>
            </w:tcBorders>
          </w:tcPr>
          <w:p>
            <w:pPr>
              <w:spacing w:after="0"/>
              <w:rPr>
                <w:sz w:val="16"/>
                <w:szCs w:val="16"/>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w:t>
            </w:r>
          </w:p>
        </w:tc>
        <w:tc>
          <w:tcPr>
            <w:tcW w:w="100" w:type="dxa"/>
            <w:vAlign w:val="bottom"/>
            <w:tcBorders>
              <w:right w:val="single" w:sz="8" w:color="auto"/>
            </w:tcBorders>
          </w:tcPr>
          <w:p>
            <w:pPr>
              <w:spacing w:after="0"/>
              <w:rPr>
                <w:sz w:val="17"/>
                <w:szCs w:val="17"/>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74"/>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top w:val="single" w:sz="8" w:color="0000EE"/>
              <w:bottom w:val="single" w:sz="8" w:color="auto"/>
            </w:tcBorders>
          </w:tcPr>
          <w:p>
            <w:pPr>
              <w:spacing w:after="0"/>
              <w:rPr>
                <w:sz w:val="6"/>
                <w:szCs w:val="6"/>
                <w:color w:val="auto"/>
              </w:rPr>
            </w:pPr>
          </w:p>
        </w:tc>
        <w:tc>
          <w:tcPr>
            <w:tcW w:w="5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r>
      <w:tr>
        <w:trPr>
          <w:trHeight w:val="169"/>
        </w:trPr>
        <w:tc>
          <w:tcPr>
            <w:tcW w:w="144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94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w:t>
            </w:r>
          </w:p>
        </w:tc>
        <w:tc>
          <w:tcPr>
            <w:tcW w:w="120" w:type="dxa"/>
            <w:vAlign w:val="bottom"/>
            <w:tcBorders>
              <w:right w:val="single" w:sz="8" w:color="auto"/>
            </w:tcBorders>
            <w:gridSpan w:val="2"/>
          </w:tcPr>
          <w:p>
            <w:pPr>
              <w:spacing w:after="0"/>
              <w:rPr>
                <w:sz w:val="14"/>
                <w:szCs w:val="14"/>
                <w:color w:val="auto"/>
              </w:rPr>
            </w:pPr>
          </w:p>
        </w:tc>
      </w:tr>
      <w:tr>
        <w:trPr>
          <w:trHeight w:val="196"/>
        </w:trPr>
        <w:tc>
          <w:tcPr>
            <w:tcW w:w="1440" w:type="dxa"/>
            <w:vAlign w:val="bottom"/>
            <w:tcBorders>
              <w:left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r>
      <w:tr>
        <w:trPr>
          <w:trHeight w:val="74"/>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top w:val="single" w:sz="8" w:color="0000EE"/>
              <w:bottom w:val="single" w:sz="8" w:color="auto"/>
            </w:tcBorders>
          </w:tcPr>
          <w:p>
            <w:pPr>
              <w:spacing w:after="0"/>
              <w:rPr>
                <w:sz w:val="6"/>
                <w:szCs w:val="6"/>
                <w:color w:val="auto"/>
              </w:rPr>
            </w:pPr>
          </w:p>
        </w:tc>
        <w:tc>
          <w:tcPr>
            <w:tcW w:w="5780" w:type="dxa"/>
            <w:vAlign w:val="bottom"/>
            <w:tcBorders>
              <w:top w:val="single" w:sz="8" w:color="0000EE"/>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91"/>
        </w:trPr>
        <w:tc>
          <w:tcPr>
            <w:tcW w:w="14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60" w:type="dxa"/>
            <w:vAlign w:val="bottom"/>
            <w:tcBorders>
              <w:right w:val="single" w:sz="8" w:color="auto"/>
            </w:tcBorders>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March 31, 2026, formatted in Inline XBRL.</w:t>
            </w: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sz w:val="20"/>
          <w:szCs w:val="20"/>
          <w:color w:val="auto"/>
        </w:rPr>
      </w:pPr>
    </w:p>
    <w:p>
      <w:pPr>
        <w:jc w:val="both"/>
        <w:ind w:left="500" w:right="59" w:hanging="450"/>
        <w:spacing w:after="0" w:line="261" w:lineRule="auto"/>
        <w:tabs>
          <w:tab w:leader="none" w:pos="5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80"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jc w:val="both"/>
        <w:ind w:left="480" w:right="79" w:hanging="430"/>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25" w:lineRule="exact"/>
        <w:rPr>
          <w:sz w:val="20"/>
          <w:szCs w:val="20"/>
          <w:color w:val="auto"/>
        </w:rPr>
      </w:pPr>
    </w:p>
    <w:p>
      <w:pPr>
        <w:ind w:left="60"/>
        <w:spacing w:after="0"/>
        <w:tabs>
          <w:tab w:leader="none" w:pos="45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Joseph Oliveto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17145</wp:posOffset>
            </wp:positionV>
            <wp:extent cx="2588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Joseph Oliveto</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45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17145</wp:posOffset>
            </wp:positionV>
            <wp:extent cx="2588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Amit Hasija</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POLICY</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Milestone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also serving as an employee of the Company or any of its subsidiaries (each such member,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will receive the compensation described in this Non-Employee Director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An Eligible Director may decline all or any portion of his or her compensation by giving notice to the Company prior to the date cash is to be paid or equity awards are to be granted, as the case may be. This Policy may be amended at any time in the sole discretion of the Board or the Compensation Committee of the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to be paid thereafter. All annual cash fees are vested upon payment.</w:t>
      </w:r>
    </w:p>
    <w:p>
      <w:pPr>
        <w:spacing w:after="0" w:line="156"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$50,000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chairperson of the Board: $72,500 (inclusive of Annual Board Service Retainer)</w:t>
      </w:r>
    </w:p>
    <w:p>
      <w:pPr>
        <w:spacing w:after="0" w:line="20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$7,500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Clinical Affairs Committee: $6,000</w:t>
      </w:r>
    </w:p>
    <w:p>
      <w:pPr>
        <w:spacing w:after="0" w:line="20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 (inclusive of Committee Member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$20,000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$15,000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$10,000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Clinical Affairs Committee: $12,000</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also reimburse each of the Eligible Directors for his or her travel expenses incurred in connection with his or her attendance at Board and committee meetings. Such reimbursements shall be paid on the same date as the annual cash fees are 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Company’s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the approval of the Plan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For each Eligible Director who is first elected or appointed to the Board following the effective date of this Policy,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a number of shares of the Company’s common stock equal to 134,000 shares of the Company’s common stock. The shares subject to each such stock option will vest monthly over a three-year period, subject to the Eligible Director’s Continuous Service (as defined in the Plan) on each vesting date.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On the date of each annual shareholder meeting of the Company held after the Effective Date, each Eligible Director who continues to serve as a non-employee member of the Board following such shareholder meeting will be automatically, and without further action by the Board or Compensation Committee of the Board, granted a stock option to purchase 77,000 shares of the Company’s common stock (the “Annual Grant”). The shares subject to the Annual Grant will vest in equal monthly installments over the 12 months following the date of grant, provided that the Annual Grant will in any case be fully vested on the date of Company’s next annual shareholder meeting, subject to the Eligible Director’s Continuous Service (as defined in the Plan) through such vesting date and will vest in full upon a Change in Control (as defined in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April 26,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May 8,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May 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September 21,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March 24,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February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July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March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July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Amended and Restated: </w:t>
      </w:r>
      <w:r>
        <w:rPr>
          <w:rFonts w:ascii="Times New Roman" w:cs="Times New Roman" w:eastAsia="Times New Roman" w:hAnsi="Times New Roman"/>
          <w:sz w:val="18"/>
          <w:szCs w:val="18"/>
          <w:color w:val="auto"/>
        </w:rPr>
        <w:t>February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January 19,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Milestone Pharmaceuticals USA, Inc.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David Sandoval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17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Executive as its General Counsel and Chief Compliance Officer, and to enter into an agreement embodying the terms of such employment; and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Executive desires to accept such employment and enter into such an agreement.</w:t>
      </w:r>
    </w:p>
    <w:p>
      <w:pPr>
        <w:spacing w:after="0" w:line="16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A G R E E M E N T</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and for other good and valuable consideration, the Parties agree as follows:</w:t>
      </w:r>
    </w:p>
    <w:p>
      <w:pPr>
        <w:spacing w:after="0" w:line="13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As of the Effective Date, Executive will serve as General Counsel and Chief Compliance Officer of the Company reporting directly to the Chief Executive Officer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will render such business and professional services in the performance of Executive’s duties, consistent with Executive's position within the Company, as shall reasonably be assigned to Executive by the Company’s CEO. The period of Executive’s at-will employment under the terms of this Agreement is referred to herein as the “</w:t>
      </w:r>
      <w:r>
        <w:rPr>
          <w:rFonts w:ascii="Times New Roman" w:cs="Times New Roman" w:eastAsia="Times New Roman" w:hAnsi="Times New Roman"/>
          <w:sz w:val="22"/>
          <w:szCs w:val="22"/>
          <w:b w:val="1"/>
          <w:bCs w:val="1"/>
          <w:u w:val="single" w:color="auto"/>
          <w:color w:val="auto"/>
        </w:rPr>
        <w:t>Employment Term</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CEO. Notwithstanding the foregoing, Executive may (i) serve on the board of directors of one other non-competitive corporation or other business entity, subject to prior approval by the Board, which approval will not unreasonably be withheld, (ii) serve on civic or charitable boards or committees, and (iii) manage his personal investments, so long as such activities do not materially interfere with the performance of Executive’s responsibilities in accordance with this Agreement or otherwise violate the terms of this Agreement. Notwithstanding the foregoing, Executive may continue to own and operate KBZA Music, LLC so long as Executive’s ownership and operation of such limited liability company does not materially interfere with Executive’s duties for the Company.</w:t>
      </w:r>
    </w:p>
    <w:p>
      <w:pPr>
        <w:spacing w:after="0" w:line="14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Location.</w:t>
      </w:r>
      <w:r>
        <w:rPr>
          <w:rFonts w:ascii="Times New Roman" w:cs="Times New Roman" w:eastAsia="Times New Roman" w:hAnsi="Times New Roman"/>
          <w:sz w:val="22"/>
          <w:szCs w:val="22"/>
          <w:color w:val="auto"/>
        </w:rPr>
        <w:t xml:space="preserve"> Executive's work location will be at his residence in Washington, D.C., or other future office location that is within 20 miles from the Executive’s current residence, or to any other location mutually agreed upon by the Company and Executive.</w:t>
      </w:r>
    </w:p>
    <w:p>
      <w:pPr>
        <w:spacing w:after="0" w:line="146"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Subject to Sections 8, 9, and 10 below, the parties agree that Executive's employment with the Company will be “at-will” employment and may be terminated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9" w:name="page50"/>
    <w:bookmarkEnd w:id="49"/>
    <w:p>
      <w:pPr>
        <w:jc w:val="both"/>
        <w:spacing w:after="0" w:line="239" w:lineRule="auto"/>
        <w:rPr>
          <w:sz w:val="20"/>
          <w:szCs w:val="20"/>
          <w:color w:val="auto"/>
        </w:rPr>
      </w:pPr>
      <w:r>
        <w:rPr>
          <w:rFonts w:ascii="Times New Roman" w:cs="Times New Roman" w:eastAsia="Times New Roman" w:hAnsi="Times New Roman"/>
          <w:sz w:val="22"/>
          <w:szCs w:val="22"/>
          <w:color w:val="auto"/>
        </w:rPr>
        <w:t>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spacing w:after="0" w:line="140"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Term, the Company will pay Executive as compensation for Executive’s services a base salary at a rate of $400,000, annually, such amount to be reviewed annually and increased from time to time at the discretion of the Board or a duly constituted committee of the Board (the “</w:t>
      </w: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color w:val="auto"/>
        </w:rPr>
        <w:t>”). If required in the reasonable judgment of the Board due to business conditions at the time, Executive’s Base Salary may be temporarily reduced by no more than twenty percent if such reduction is part of an across-the-board reduction in the same percentage amount of all members of the Company’s senior management team.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future employment under this Agreement. The first and last payment will be adjusted, if necessary, to reflect a commencement or termination date other than the first or last working day of a pay period.</w:t>
      </w:r>
    </w:p>
    <w:p>
      <w:pPr>
        <w:spacing w:after="0" w:line="160"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Executive will also be eligible to earn an annual discretionary bonus (an “</w:t>
      </w:r>
      <w:r>
        <w:rPr>
          <w:rFonts w:ascii="Times New Roman" w:cs="Times New Roman" w:eastAsia="Times New Roman" w:hAnsi="Times New Roman"/>
          <w:sz w:val="21"/>
          <w:szCs w:val="21"/>
          <w:b w:val="1"/>
          <w:bCs w:val="1"/>
          <w:u w:val="single" w:color="auto"/>
          <w:color w:val="auto"/>
        </w:rPr>
        <w:t>Annual Bonus</w:t>
      </w:r>
      <w:r>
        <w:rPr>
          <w:rFonts w:ascii="Times New Roman" w:cs="Times New Roman" w:eastAsia="Times New Roman" w:hAnsi="Times New Roman"/>
          <w:sz w:val="21"/>
          <w:szCs w:val="21"/>
          <w:color w:val="auto"/>
        </w:rPr>
        <w:t>”) with a target amount equal to 35% of the Base Salary. The amount of the Annual Bonus, if any, will be determined in the sole discretion of the Board and based, in part, on Executive’s performance and the performance of the Company during the calendar year. The Company will pay Executive the Annual Bonus, if any, by no later than March 15th of the following calendar year. The Annual Bonus is not earned until paid and no pro-rated amount will be paid if Executive’s employment terminates for any reason prior to the payment date, provided, however, that if Executive’s employment is terminated by Company without Cause or if Executive resigns for Good Reason after the Annual Bonus is declared but before it is paid, then despite such termination Executive will be entitled to receive the declared Annual Bonus at the time it otherwise would have been paid. Any Annual Bonus for calendar year 2026 will be prorated from the Effective Date of this Agreement.</w:t>
      </w:r>
    </w:p>
    <w:p>
      <w:pPr>
        <w:spacing w:after="0" w:line="130" w:lineRule="exact"/>
        <w:rPr>
          <w:rFonts w:ascii="Times New Roman" w:cs="Times New Roman" w:eastAsia="Times New Roman" w:hAnsi="Times New Roman"/>
          <w:sz w:val="21"/>
          <w:szCs w:val="21"/>
          <w:color w:val="auto"/>
        </w:rPr>
      </w:pPr>
    </w:p>
    <w:p>
      <w:pPr>
        <w:jc w:val="both"/>
        <w:ind w:firstLine="1304"/>
        <w:spacing w:after="0" w:line="247" w:lineRule="auto"/>
        <w:tabs>
          <w:tab w:leader="none" w:pos="1944"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Subject to approval by the Board, the Company shall grant Executive an option (the “</w:t>
      </w:r>
      <w:r>
        <w:rPr>
          <w:rFonts w:ascii="Times New Roman" w:cs="Times New Roman" w:eastAsia="Times New Roman" w:hAnsi="Times New Roman"/>
          <w:sz w:val="21"/>
          <w:szCs w:val="21"/>
          <w:b w:val="1"/>
          <w:bCs w:val="1"/>
          <w:u w:val="single" w:color="auto"/>
          <w:color w:val="auto"/>
        </w:rPr>
        <w:t>Option</w:t>
      </w:r>
      <w:r>
        <w:rPr>
          <w:rFonts w:ascii="Times New Roman" w:cs="Times New Roman" w:eastAsia="Times New Roman" w:hAnsi="Times New Roman"/>
          <w:sz w:val="21"/>
          <w:szCs w:val="21"/>
          <w:color w:val="auto"/>
        </w:rPr>
        <w:t>”) to purchase 400,000 shares of the Company’s common stock, with an exercise price equal to the fair market value of a share of common stock as determined by the Board as of the date of grant, pursuant to the terms of the Company’s 2019 Equity Incentive Plan and the Company’s 2021 Inducement Plan (collectively, the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Option will be subject to the terms and conditions of the Plan and Executive’s grant agreement and will include a four-year vesting schedule, under which one-quarter of the Option will vest after 12 months of employment, with the remaining shares vesting in a series of 36 successive monthly installments thereafter, subject to Executive’s continuous service as of each such date or earlier vesting as set forth below.</w:t>
      </w:r>
    </w:p>
    <w:p>
      <w:pPr>
        <w:spacing w:after="0" w:line="131" w:lineRule="exact"/>
        <w:rPr>
          <w:rFonts w:ascii="Times New Roman" w:cs="Times New Roman" w:eastAsia="Times New Roman" w:hAnsi="Times New Roman"/>
          <w:sz w:val="21"/>
          <w:szCs w:val="21"/>
          <w:color w:val="auto"/>
        </w:rPr>
      </w:pPr>
    </w:p>
    <w:p>
      <w:pPr>
        <w:jc w:val="both"/>
        <w:ind w:firstLine="656"/>
        <w:spacing w:after="0" w:line="238"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Executive will be eligible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50" w:name="page51"/>
    <w:bookmarkEnd w:id="50"/>
    <w:p>
      <w:pPr>
        <w:jc w:val="both"/>
        <w:spacing w:after="0" w:line="238" w:lineRule="auto"/>
        <w:rPr>
          <w:sz w:val="20"/>
          <w:szCs w:val="20"/>
          <w:color w:val="auto"/>
        </w:rPr>
      </w:pPr>
      <w:r>
        <w:rPr>
          <w:rFonts w:ascii="Times New Roman" w:cs="Times New Roman" w:eastAsia="Times New Roman" w:hAnsi="Times New Roman"/>
          <w:sz w:val="22"/>
          <w:szCs w:val="22"/>
          <w:color w:val="auto"/>
        </w:rPr>
        <w:t>at any time. Reimbursements provided to Executive pursuant to this Agreement will be made in a timely manner and in accordance with the policies of the Company, but in no event later than December 31 of the year following the year in which Executive incurs such expense. The amount of expenses eligible for reimbursement during one year will not affect the expenses eligible for reimbursement in any other year, and is not subject to liquidation or exchange for another benefit.</w:t>
      </w:r>
    </w:p>
    <w:p>
      <w:pPr>
        <w:spacing w:after="0" w:line="150" w:lineRule="exact"/>
        <w:rPr>
          <w:sz w:val="20"/>
          <w:szCs w:val="20"/>
          <w:color w:val="auto"/>
        </w:rPr>
      </w:pPr>
    </w:p>
    <w:p>
      <w:pPr>
        <w:jc w:val="both"/>
        <w:ind w:firstLine="656"/>
        <w:spacing w:after="0" w:line="234"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will be eligible to accrue a maximum of twenty (20) days paid vacation per year in accordance with the Company’s vacation policy, which shall be taken subject to the demands of the Company’s business and Executive’s obligations as an employee of the Company with a substantial degree of responsibility. A maximum of ten (10) vacation days per year may be carried forward into the first six (6) months of the next calendar year. All vacation days that are not used shall be forfeited; provided, that if the Executive is denied the ability to take one or more available vacation days in a given calendar year at the direction or request of the Company, such unused vacation days may be carried forward for the duration of the next calendar year, and if Executive is terminated without Cause or resigns for Good Reason, Executive shall be paid for the unused days upon Executive’s termination or resignation, as applicable.</w:t>
      </w:r>
    </w:p>
    <w:p>
      <w:pPr>
        <w:spacing w:after="0" w:line="142"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During the Employment Term, the Company will reimburse Executive for reasonable business travel, entertainment or other business expenses incurred by Executive in the furtherance of or in connection with the performance of Executive’s duties hereunder, in accordance with the Company’s expense reimbursement policy as in effect from time to time.</w:t>
      </w:r>
    </w:p>
    <w:p>
      <w:pPr>
        <w:spacing w:after="0" w:line="139"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Preparation Expenses</w:t>
      </w:r>
      <w:r>
        <w:rPr>
          <w:rFonts w:ascii="Times New Roman" w:cs="Times New Roman" w:eastAsia="Times New Roman" w:hAnsi="Times New Roman"/>
          <w:sz w:val="22"/>
          <w:szCs w:val="22"/>
          <w:color w:val="auto"/>
        </w:rPr>
        <w:t>. Should the Executive be required or advised to file a Canadian tax return for any calendar year in which he receives income from the Company, the Company will reimburse Executive for tax preparation services associated with Executive’s Canadian tax return, subject to the following limitations: (i) Executive must submit proper documentation of any such expenses to the Company within 60 days of incurring such expense; and (ii) the Company will only reimburse Executive any such expenses up to a cap of $12,000 per calendar year. In no event will the reimbursements be paid later than December 31 of the year following the year in which Executive incurs such expense. The amount of tax preparation expenses eligible for reimbursement during one year will not affect the expenses eligible for reimbursement in any other year, and is not subject to liquidation or exchange for another benefit. The obligation of the Company will survive the termination of this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on Death or Disability</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Executive’s employment will terminate automatically upon Executive’s death or, upon fourteen (14) days prior written notice from the Company, in the event of Disability.</w:t>
      </w:r>
    </w:p>
    <w:p>
      <w:pPr>
        <w:spacing w:after="0" w:line="11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Upon any termination for death or Disability, Executive (or in the case of Executive’s death, Executive’s heirs) shall be entitled to: (i) Executive’s Base Salary through the effective date of termination; (ii) the right to continue health care benefits under Title X of the Consolidated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at Executive’s cost, to the extent required and available by law; (iii) reimbursement of expenses for which Executive is entitled to be reimbursed pursuant to Sections 6 or 7 above, but for which Executive has not yet been reimbursed; and (iv) no other severance or benefits of any kind, unless required by law or pursuant to any other written Company plans or policies,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1" w:name="page52"/>
    <w:bookmarkEnd w:id="51"/>
    <w:p>
      <w:pPr>
        <w:ind w:left="1300" w:hanging="644"/>
        <w:spacing w:after="0"/>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for Cause; Resignation Without Good Reason</w:t>
      </w:r>
      <w:r>
        <w:rPr>
          <w:rFonts w:ascii="Times New Roman" w:cs="Times New Roman" w:eastAsia="Times New Roman" w:hAnsi="Times New Roman"/>
          <w:sz w:val="22"/>
          <w:szCs w:val="22"/>
          <w:i w:val="1"/>
          <w:iCs w:val="1"/>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Notwithstanding any other provision of this Agreement, the Company may terminate Executive’s employment at any time for Cause or Executive may resign from Executive’s employment with the Company at any time without Good Reason. Termination for Cause, or Executive’s resignation without Good Reason, shall be effective on the date either Party gives notice to the other Party of such termination in accordance with this Agreement unless otherwise agreed by the Parties. In the event that the Company accelerates the effective date of a resignation, such acceleration shall not be construed as a termination of Executive’s employment by the Company or deemed Good Reason for such resignation.</w:t>
      </w:r>
    </w:p>
    <w:p>
      <w:pPr>
        <w:spacing w:after="0" w:line="142"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4"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In the case of the Company’s termination of Executive’s employment for Cause, or Executive’s resignation without Good Reason, Executive shall be entitled to receive: (i) Base Salary through the effective date of the termination or resignation, as applicable; (ii) reimbursement of all business expenses for which Executive is entitled to be reimbursed pursuant to Sections 6 or 7 above, but for which Executive has not yet been reimbursed (Sections (9(b)(i)-(ii) the “</w:t>
      </w:r>
      <w:r>
        <w:rPr>
          <w:rFonts w:ascii="Times New Roman" w:cs="Times New Roman" w:eastAsia="Times New Roman" w:hAnsi="Times New Roman"/>
          <w:sz w:val="21"/>
          <w:szCs w:val="21"/>
          <w:b w:val="1"/>
          <w:bCs w:val="1"/>
          <w:u w:val="single" w:color="auto"/>
          <w:color w:val="auto"/>
        </w:rPr>
        <w:t>Accrued Obligations</w:t>
      </w:r>
      <w:r>
        <w:rPr>
          <w:rFonts w:ascii="Times New Roman" w:cs="Times New Roman" w:eastAsia="Times New Roman" w:hAnsi="Times New Roman"/>
          <w:sz w:val="21"/>
          <w:szCs w:val="21"/>
          <w:color w:val="auto"/>
        </w:rPr>
        <w:t>”); (iii) the right to continue health care benefits under COBRA, at Executive’s cost, to the extent required and available by law; and</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severance or benefits of any kind, unless required by law or pursuant to this Agreement or any other written Company plans as then in effect.</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Without Cause; Resignation for Good Reason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The Company shall be entitled to terminate Executive with or without Cause at any time, subject to the following:</w:t>
      </w:r>
    </w:p>
    <w:p>
      <w:pPr>
        <w:spacing w:after="0" w:line="117"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Without Cause; Resignation for Good Reason Not In Connection With A Change of Control</w:t>
      </w:r>
      <w:r>
        <w:rPr>
          <w:rFonts w:ascii="Times New Roman" w:cs="Times New Roman" w:eastAsia="Times New Roman" w:hAnsi="Times New Roman"/>
          <w:sz w:val="22"/>
          <w:szCs w:val="22"/>
          <w:color w:val="auto"/>
        </w:rPr>
        <w:t>. If Executive is terminated by the Company involuntarily without Cause (excluding any termination due to death or Disability) or Executive resigns for Good Reason and not in connection with a Change of Control, then, subject to the limitations of Sections 10(b) and 26 below, Executive shall be entitled to receive:</w:t>
      </w:r>
    </w:p>
    <w:p>
      <w:pPr>
        <w:spacing w:after="0" w:line="13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4"/>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179"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4"/>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severance pay at a rate equal to one hundred percent (100%) of Executive’s Base Salary , as then in effect (less applicable withholding), for a period of nine (9) months (the “</w:t>
      </w:r>
      <w:r>
        <w:rPr>
          <w:rFonts w:ascii="Times New Roman" w:cs="Times New Roman" w:eastAsia="Times New Roman" w:hAnsi="Times New Roman"/>
          <w:sz w:val="22"/>
          <w:szCs w:val="22"/>
          <w:b w:val="1"/>
          <w:bCs w:val="1"/>
          <w:u w:val="single" w:color="auto"/>
          <w:color w:val="auto"/>
        </w:rPr>
        <w:t>Severance Period</w:t>
      </w:r>
      <w:r>
        <w:rPr>
          <w:rFonts w:ascii="Times New Roman" w:cs="Times New Roman" w:eastAsia="Times New Roman" w:hAnsi="Times New Roman"/>
          <w:sz w:val="22"/>
          <w:szCs w:val="22"/>
          <w:color w:val="auto"/>
        </w:rPr>
        <w:t>”) from the date of such termination, to be paid periodically in accordance with the Company’s normal payroll practices (the “</w:t>
      </w:r>
      <w:r>
        <w:rPr>
          <w:rFonts w:ascii="Times New Roman" w:cs="Times New Roman" w:eastAsia="Times New Roman" w:hAnsi="Times New Roman"/>
          <w:sz w:val="22"/>
          <w:szCs w:val="22"/>
          <w:b w:val="1"/>
          <w:bCs w:val="1"/>
          <w:u w:val="single" w:color="auto"/>
          <w:color w:val="auto"/>
        </w:rPr>
        <w:t>Base Salary Severance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7" w:right="999" w:bottom="1440" w:gutter="0" w:footer="0" w:header="0"/>
        </w:sectPr>
      </w:pPr>
    </w:p>
    <w:bookmarkStart w:id="52" w:name="page53"/>
    <w:bookmarkEnd w:id="52"/>
    <w:p>
      <w:pPr>
        <w:jc w:val="both"/>
        <w:ind w:firstLine="2600"/>
        <w:spacing w:after="0" w:line="244" w:lineRule="auto"/>
        <w:tabs>
          <w:tab w:leader="none" w:pos="3240"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timely elects continued coverage under COBRA for himself and his covered dependents or under Executive’s prior employer’s group health plans or under the Company’s group health plans following such termination, then the Company shall pay Executive that portion of Executive’s COBRA premiums it was paying prior to the Separation Date or would have been paying if executive had been enrolled in the Company’s plan at the time of termination necessary to continue Executive’s and his covered dependents’ health insurance coverage in effect for himself (and his covered dependents) on the termination date until the earliest of: (i) the last day of the Severance Period; (ii) the date when Executive becomes eligible for substantially equivalent health insurance coverage in connection with new employment or self-employment; or</w:t>
      </w:r>
    </w:p>
    <w:p>
      <w:pPr>
        <w:spacing w:after="0" w:line="3" w:lineRule="exact"/>
        <w:rPr>
          <w:rFonts w:ascii="Times New Roman" w:cs="Times New Roman" w:eastAsia="Times New Roman" w:hAnsi="Times New Roman"/>
          <w:sz w:val="21"/>
          <w:szCs w:val="21"/>
          <w:color w:val="auto"/>
        </w:rPr>
      </w:pPr>
    </w:p>
    <w:p>
      <w:pPr>
        <w:jc w:val="both"/>
        <w:ind w:firstLine="8"/>
        <w:spacing w:after="0" w:line="231" w:lineRule="auto"/>
        <w:tabs>
          <w:tab w:leader="none" w:pos="40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22"/>
          <w:szCs w:val="22"/>
          <w:b w:val="1"/>
          <w:bCs w:val="1"/>
          <w:u w:val="single" w:color="auto"/>
          <w:color w:val="auto"/>
        </w:rPr>
        <w:t>COBRA Payment Period</w:t>
      </w:r>
      <w:r>
        <w:rPr>
          <w:rFonts w:ascii="Times New Roman" w:cs="Times New Roman" w:eastAsia="Times New Roman" w:hAnsi="Times New Roman"/>
          <w:sz w:val="22"/>
          <w:szCs w:val="22"/>
          <w:color w:val="auto"/>
        </w:rPr>
        <w:t>,” and any such payment(s) under this Section 10(a)(i)(C) the “</w:t>
      </w:r>
      <w:r>
        <w:rPr>
          <w:rFonts w:ascii="Times New Roman" w:cs="Times New Roman" w:eastAsia="Times New Roman" w:hAnsi="Times New Roman"/>
          <w:sz w:val="22"/>
          <w:szCs w:val="22"/>
          <w:b w:val="1"/>
          <w:bCs w:val="1"/>
          <w:u w:val="single" w:color="auto"/>
          <w:color w:val="auto"/>
        </w:rPr>
        <w:t>COBRA Severance</w:t>
      </w:r>
      <w:r>
        <w:rPr>
          <w:rFonts w:ascii="Times New Roman" w:cs="Times New Roman" w:eastAsia="Times New Roman" w:hAnsi="Times New Roman"/>
          <w:sz w:val="22"/>
          <w:szCs w:val="22"/>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(the Base Salary Severance and COBRA Severance, together the “</w:t>
      </w: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 Nothing in this Agreement shall deprive Executive of his rights under COBRA or ERISA for benefits under plans and policies arising under his employment by the Company; and</w:t>
      </w:r>
    </w:p>
    <w:p>
      <w:pPr>
        <w:spacing w:after="0" w:line="159" w:lineRule="exact"/>
        <w:rPr>
          <w:rFonts w:ascii="Times New Roman" w:cs="Times New Roman" w:eastAsia="Times New Roman" w:hAnsi="Times New Roman"/>
          <w:sz w:val="22"/>
          <w:szCs w:val="22"/>
          <w:color w:val="auto"/>
        </w:rPr>
      </w:pPr>
    </w:p>
    <w:p>
      <w:pPr>
        <w:ind w:firstLine="2600"/>
        <w:spacing w:after="0" w:line="258" w:lineRule="auto"/>
        <w:tabs>
          <w:tab w:leader="none" w:pos="324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severance or benefits of any kind, unless required by law or pursuant to any written Company plans or policies, as then in effect.</w:t>
      </w:r>
    </w:p>
    <w:p>
      <w:pPr>
        <w:spacing w:after="0" w:line="11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Involuntary Termination Without Cause; Resignation for Good Reason In Connection With A Change of Control.</w:t>
      </w:r>
      <w:r>
        <w:rPr>
          <w:rFonts w:ascii="Times New Roman" w:cs="Times New Roman" w:eastAsia="Times New Roman" w:hAnsi="Times New Roman"/>
          <w:sz w:val="21"/>
          <w:szCs w:val="21"/>
          <w:color w:val="auto"/>
        </w:rPr>
        <w:t xml:space="preserve"> If Executive is terminated by the Company involuntarily without Cause (excluding any termination due to death or Disability) or Executive resigns for Good Reason, upon the occurrence of, or within thirty (30) days prior to, or within twelve (12) months following, the effective date of a Change of Control, then, subject to the limitations of Sections 10(b) and 26 below, Executive shall be entitled to receive:</w:t>
      </w:r>
    </w:p>
    <w:p>
      <w:pPr>
        <w:spacing w:after="0" w:line="1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(A)the Accrued Obligations.</w:t>
      </w:r>
    </w:p>
    <w:p>
      <w:pPr>
        <w:spacing w:after="0" w:line="166" w:lineRule="exact"/>
        <w:rPr>
          <w:sz w:val="20"/>
          <w:szCs w:val="20"/>
          <w:color w:val="auto"/>
        </w:rPr>
      </w:pPr>
    </w:p>
    <w:p>
      <w:pPr>
        <w:ind w:left="2280" w:hanging="4"/>
        <w:spacing w:after="0" w:line="258" w:lineRule="auto"/>
        <w:tabs>
          <w:tab w:leader="none" w:pos="260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Severance Benefits set forth in Section 10(a)(i) above, for an extended Severance Period of twelve (12) months from the date of termination;</w:t>
      </w:r>
    </w:p>
    <w:p>
      <w:pPr>
        <w:spacing w:after="0" w:line="131" w:lineRule="exact"/>
        <w:rPr>
          <w:rFonts w:ascii="Times New Roman" w:cs="Times New Roman" w:eastAsia="Times New Roman" w:hAnsi="Times New Roman"/>
          <w:sz w:val="22"/>
          <w:szCs w:val="22"/>
          <w:color w:val="auto"/>
        </w:rPr>
      </w:pPr>
    </w:p>
    <w:p>
      <w:pPr>
        <w:ind w:left="2280" w:right="20" w:hanging="4"/>
        <w:spacing w:after="0" w:line="258" w:lineRule="auto"/>
        <w:tabs>
          <w:tab w:leader="none" w:pos="260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100% of Executive’s Annual Bonus for the year in which the termination occurs at the target level.</w:t>
      </w:r>
    </w:p>
    <w:p>
      <w:pPr>
        <w:spacing w:after="0" w:line="118" w:lineRule="exact"/>
        <w:rPr>
          <w:sz w:val="20"/>
          <w:szCs w:val="20"/>
          <w:color w:val="auto"/>
        </w:rPr>
      </w:pPr>
    </w:p>
    <w:p>
      <w:pPr>
        <w:ind w:left="2280"/>
        <w:spacing w:after="0" w:line="258" w:lineRule="auto"/>
        <w:rPr>
          <w:sz w:val="20"/>
          <w:szCs w:val="20"/>
          <w:color w:val="auto"/>
        </w:rPr>
      </w:pPr>
      <w:r>
        <w:rPr>
          <w:rFonts w:ascii="Times New Roman" w:cs="Times New Roman" w:eastAsia="Times New Roman" w:hAnsi="Times New Roman"/>
          <w:sz w:val="22"/>
          <w:szCs w:val="22"/>
          <w:color w:val="auto"/>
        </w:rPr>
        <w:t>(D)accelerated vesting of any then-unvested shares subject to the Option such that one hundred percent (100%) of such shares shall be deemed immediately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3" w:name="page54"/>
    <w:bookmarkEnd w:id="53"/>
    <w:p>
      <w:pPr>
        <w:ind w:left="2280" w:right="200"/>
        <w:spacing w:after="0" w:line="258" w:lineRule="auto"/>
        <w:rPr>
          <w:sz w:val="20"/>
          <w:szCs w:val="20"/>
          <w:color w:val="auto"/>
        </w:rPr>
      </w:pPr>
      <w:r>
        <w:rPr>
          <w:rFonts w:ascii="Times New Roman" w:cs="Times New Roman" w:eastAsia="Times New Roman" w:hAnsi="Times New Roman"/>
          <w:sz w:val="22"/>
          <w:szCs w:val="22"/>
          <w:color w:val="auto"/>
        </w:rPr>
        <w:t>vested and exercisable as of the later date of termination and the date of the Change in Control;</w:t>
      </w:r>
    </w:p>
    <w:p>
      <w:pPr>
        <w:spacing w:after="0" w:line="131" w:lineRule="exact"/>
        <w:rPr>
          <w:sz w:val="20"/>
          <w:szCs w:val="20"/>
          <w:color w:val="auto"/>
        </w:rPr>
      </w:pPr>
    </w:p>
    <w:p>
      <w:pPr>
        <w:ind w:left="2280"/>
        <w:spacing w:after="0" w:line="258" w:lineRule="auto"/>
        <w:rPr>
          <w:sz w:val="20"/>
          <w:szCs w:val="20"/>
          <w:color w:val="auto"/>
        </w:rPr>
      </w:pPr>
      <w:r>
        <w:rPr>
          <w:rFonts w:ascii="Times New Roman" w:cs="Times New Roman" w:eastAsia="Times New Roman" w:hAnsi="Times New Roman"/>
          <w:sz w:val="22"/>
          <w:szCs w:val="22"/>
          <w:color w:val="auto"/>
        </w:rPr>
        <w:t>and (E) no other severance or benefits of any kind, unless required by law or pursuant to any written Company plans or policies, as then in effect.</w:t>
      </w:r>
    </w:p>
    <w:p>
      <w:pPr>
        <w:spacing w:after="0" w:line="118" w:lineRule="exact"/>
        <w:rPr>
          <w:sz w:val="20"/>
          <w:szCs w:val="20"/>
          <w:color w:val="auto"/>
        </w:rPr>
      </w:pPr>
    </w:p>
    <w:p>
      <w:pPr>
        <w:jc w:val="both"/>
        <w:ind w:firstLine="1304"/>
        <w:spacing w:after="0" w:line="231"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Any severance payments contemplated by Section 10(a) above are conditional on Executive: (i) continuing to comply with the terms of this Agreement and the Confidential Information Agreement; and (ii) signing and not revoking a separation agreement and mutual release of known and unknown claims in the form provided by the Company (the “Release”), provided that the Release will not apply to claims, actions, causes of action and demands that the Company may have against the Executive under the Confidential Information Agreement (as defined below) and provided that such Release becomes effective and irrevocable no later than sixty (60) days following the termination date or such earlier date required by the release (such deadline, the “</w:t>
      </w:r>
      <w:r>
        <w:rPr>
          <w:rFonts w:ascii="Times New Roman" w:cs="Times New Roman" w:eastAsia="Times New Roman" w:hAnsi="Times New Roman"/>
          <w:sz w:val="22"/>
          <w:szCs w:val="22"/>
          <w:u w:val="single" w:color="auto"/>
          <w:color w:val="auto"/>
        </w:rPr>
        <w:t>Release Deadline</w:t>
      </w:r>
      <w:r>
        <w:rPr>
          <w:rFonts w:ascii="Times New Roman" w:cs="Times New Roman" w:eastAsia="Times New Roman" w:hAnsi="Times New Roman"/>
          <w:sz w:val="22"/>
          <w:szCs w:val="22"/>
          <w:color w:val="auto"/>
        </w:rPr>
        <w:t>”). If the Release does not become effective by the Release Deadline, Executive will forfeit any rights to severance or benefits under this Section 10 or elsewhere in this Agreement. Any severance payments or other benefits under this Agreement that would be considered Deferred Compensation Separation Benefits (as defined in Section 26) will be paid on, or, in the case of installments, will not commence until, the sixtieth (60th) day following Executive’s separation from service, or, if later, such time as required by Section 26(b). Except as required by Section 26(b), any installment payments that would have been made to Employee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 unless subject to the 6-month payment delay described herein. Any severance payments under this Agreement that would not be considered Deferred Compensation Separation Benefits will be paid on, or, in the case of installments, will not commence until, the first payroll date that occurs on or after the date the Release becomes effective and any installment payments that would have been made to Executive during the period prior to the date the Release becomes effective following Executive’s separation from service but for the preceding sentence will be paid to Executive on the first payroll date that occurs on or after the date the Release becomes effective. Notwithstanding the foregoing, this Section 10(b) shall not limit Executive’s ability to obtain expense reimbursements under Sections 6 or 7 or any other compensation or benefits otherwise required by law or in accordance with written Company plans or policies, as then in effect and shall not require Executive to waive claims for vested benefits under the Employee Retirement Income Security Act of 1974, as amended, claims as an option holder or shareholder, claims for post-employment indemnification, or the right to receive reimbursement hereunder for preparation of his Canadian tax returns.</w:t>
      </w:r>
    </w:p>
    <w:p>
      <w:pPr>
        <w:spacing w:after="0" w:line="16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Executive’s continued failure to substantially perform the material duties and obligations under this Agreement (for reasons other than death or Disability), which failure, if curable within the reasonable discretion of the Company, is not cured to the reasonable satisfaction of the Company within thirty (30) days after receipt of written notice from the Company of such failure; (ii) Executive’s material failure or refusal to comply with the policies, standards and regulations established by the Company from time to time which failure, if curable in the discretion of the Company, is not cured to the reasonable satisfaction of the Company within thirty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4" w:name="page55"/>
    <w:bookmarkEnd w:id="54"/>
    <w:p>
      <w:pPr>
        <w:jc w:val="both"/>
        <w:spacing w:after="0" w:line="235" w:lineRule="auto"/>
        <w:rPr>
          <w:sz w:val="20"/>
          <w:szCs w:val="20"/>
          <w:color w:val="auto"/>
        </w:rPr>
      </w:pPr>
      <w:r>
        <w:rPr>
          <w:rFonts w:ascii="Times New Roman" w:cs="Times New Roman" w:eastAsia="Times New Roman" w:hAnsi="Times New Roman"/>
          <w:sz w:val="22"/>
          <w:szCs w:val="22"/>
          <w:color w:val="auto"/>
        </w:rPr>
        <w:t>days after receipt of written notice of such failure from the Company; (iii) any act of personal dishonesty, fraud, embezzlement, misrepresentation, or other unlawful act committed by Executive that benefits Executive at the expense of the Company; (iv) the Executive’s violation of a federal or state law or regulation applicable to the Company’s business; (v) the Executive’s violation of, or a plea of nolo contendre or guilty to, a felony under the laws of the United States or any state; or (vi) the Executive’s material breach of the terms of this Agreement or the Confidential Information Agreement (defined below), which breach, if curable within the reasonable discretion of the Company, is not cured to the reasonable satisfaction of the Company within thirty (30) days after receipt of written notice from the Company of such failure.</w:t>
      </w:r>
    </w:p>
    <w:p>
      <w:pPr>
        <w:spacing w:after="0" w:line="151" w:lineRule="exact"/>
        <w:rPr>
          <w:sz w:val="20"/>
          <w:szCs w:val="20"/>
          <w:color w:val="auto"/>
        </w:rPr>
      </w:pPr>
    </w:p>
    <w:p>
      <w:pPr>
        <w:ind w:firstLine="1304"/>
        <w:spacing w:after="0" w:line="258"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have the meaning attributed to such term in the Company’s 2019 Equity Incentive Plan.</w:t>
      </w:r>
    </w:p>
    <w:p>
      <w:pPr>
        <w:spacing w:after="0" w:line="11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Executive, at the time notice is given, has been unable to substantially perform Executive’s duties under this Agreement for not less than one-hundred and twenty (120) consecutive work days within a twelve (12) consecutive month period as a result of Executive’s incapacity due to a physical or mental condition and, if reasonable accommodation is required by law, after any reasonable accommodation.</w:t>
      </w:r>
    </w:p>
    <w:p>
      <w:pPr>
        <w:spacing w:after="0" w:line="13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one or more of the following without Executive’s consent: (i) a material reduction of Executive’s duties, position or responsibilities (provided, however, that any change in duties, position, or responsibilities due to the Company becoming a subsidiary or division of another entity in connection with a Change of Control shall not be Good Reason); (ii) a material reduction in Executive’s Base Salary (other than a reduction of not more than 10% that is applicable to similarly situated executives of the Company); (iii) a material breach of this Agreement by the Company; or (iv) a material change in the geographic location of Executive’s primary work facility or location; provided, that a relocation of less than 50 miles from Executive’s then present location shall be considered a material change in geographic location for purposes of this Good Reason definition. Executive will not resign for Good Reason without first providing the Company with written notice of the acts or omissions constituting the grounds for “Good Reason” within 30 days of the initial existence of the grounds for “Good Reason,” and upon receipt of such notice, the Company will have thirty (30) days during which it may remedy the “Good Reason” condition. If the “Good Reason” condition is not remedied within such thirty (30) day period, Executive may resign based on the “Good Reason” condition specified in the notice effective immediately upon or within thirty (30) days after the expiration of the thirty (30) day cure period.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Matters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 and Inventions</w:t>
      </w:r>
      <w:r>
        <w:rPr>
          <w:rFonts w:ascii="Times New Roman" w:cs="Times New Roman" w:eastAsia="Times New Roman" w:hAnsi="Times New Roman"/>
          <w:sz w:val="22"/>
          <w:szCs w:val="22"/>
          <w:color w:val="auto"/>
        </w:rPr>
        <w:t>. In connection with Executive’s employment with the Company, Executive will receive and have access to Company confidential information and trade secrets. Accordingly, attached as Exhibit 1 to this Agreement is an Employee Confidential Information, Inventions, Non-Solicitation and Non-Competition Agreement (the “</w:t>
      </w:r>
      <w:r>
        <w:rPr>
          <w:rFonts w:ascii="Times New Roman" w:cs="Times New Roman" w:eastAsia="Times New Roman" w:hAnsi="Times New Roman"/>
          <w:sz w:val="22"/>
          <w:szCs w:val="22"/>
          <w:u w:val="single" w:color="auto"/>
          <w:color w:val="auto"/>
        </w:rPr>
        <w:t>Confidential Information Agreement</w:t>
      </w:r>
      <w:r>
        <w:rPr>
          <w:rFonts w:ascii="Times New Roman" w:cs="Times New Roman" w:eastAsia="Times New Roman" w:hAnsi="Times New Roman"/>
          <w:sz w:val="22"/>
          <w:szCs w:val="22"/>
          <w:color w:val="auto"/>
        </w:rPr>
        <w:t>”) which contains restrictive covenants and prohibits unauthorized use or disclosure of the Company’s confidential information and trade secrets, among other obligations. Executive agrees to review the Confidential Information Agreement and only sign it after careful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5" w:name="page56"/>
    <w:bookmarkEnd w:id="55"/>
    <w:p>
      <w:pPr>
        <w:jc w:val="both"/>
        <w:ind w:firstLine="1304"/>
        <w:spacing w:after="0" w:line="235"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Ventures</w:t>
      </w:r>
      <w:r>
        <w:rPr>
          <w:rFonts w:ascii="Times New Roman" w:cs="Times New Roman" w:eastAsia="Times New Roman" w:hAnsi="Times New Roman"/>
          <w:sz w:val="22"/>
          <w:szCs w:val="22"/>
          <w:color w:val="auto"/>
        </w:rPr>
        <w:t>. If, during Executive’s employment, Executive is engaged in or associated with planning or implementing of any project, program or venture involving the Company and any third parties, all rights in such project, program or venture shall belong to the Company (or third party, to the extent provided in any agreement between the Company and the third party). Except as approved by the Board in writing, Executive shall not be entitled to any interest in such project, program or venture or to any commission, finder’s fee or other compensation in connection therewith other than the salary or other compensation to be paid to Executive as provided in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on Termination</w:t>
      </w:r>
      <w:r>
        <w:rPr>
          <w:rFonts w:ascii="Times New Roman" w:cs="Times New Roman" w:eastAsia="Times New Roman" w:hAnsi="Times New Roman"/>
          <w:sz w:val="22"/>
          <w:szCs w:val="22"/>
          <w:color w:val="auto"/>
        </w:rPr>
        <w:t>. On termination of Executive’s employment, regardless of the reason for such termination, Executive shall immediately (and with contemporaneous effect) resign any directorship, offices or other positions that Executive may hold in the Company or any affiliate, unless otherwise agreed in writing by the Parties.</w:t>
      </w:r>
    </w:p>
    <w:p>
      <w:pPr>
        <w:spacing w:after="0" w:line="13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New Employer</w:t>
      </w:r>
      <w:r>
        <w:rPr>
          <w:rFonts w:ascii="Times New Roman" w:cs="Times New Roman" w:eastAsia="Times New Roman" w:hAnsi="Times New Roman"/>
          <w:sz w:val="22"/>
          <w:szCs w:val="22"/>
          <w:color w:val="auto"/>
        </w:rPr>
        <w:t>. In the event that Executive leaves the employ of the Company, Executive grants consent to notification by the Company to Executive’s new employer about Executive’s rights and obligations under this Agreement and the Confidential Information Agreement. Executive shall have the right to disclose the provisions of this Agreement and the Confidential Information Agreement to any future prospective employer.</w:t>
      </w:r>
    </w:p>
    <w:p>
      <w:pPr>
        <w:spacing w:after="0" w:line="136"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will be resolved pursuant to the Federal Arbitration Act, 9 U.S.C. §1-16, and to the fullest extent permitted by law, by final, binding and confidential arbitration by a single arbitrator conducted in </w:t>
      </w:r>
      <w:r>
        <w:rPr>
          <w:rFonts w:ascii="Times New Roman" w:cs="Times New Roman" w:eastAsia="Times New Roman" w:hAnsi="Times New Roman"/>
          <w:sz w:val="21"/>
          <w:szCs w:val="21"/>
          <w:b w:val="1"/>
          <w:bCs w:val="1"/>
          <w:i w:val="1"/>
          <w:iCs w:val="1"/>
          <w:color w:val="auto"/>
        </w:rPr>
        <w:t>Charlotte, North Carolina</w:t>
      </w:r>
      <w:r>
        <w:rPr>
          <w:rFonts w:ascii="Times New Roman" w:cs="Times New Roman" w:eastAsia="Times New Roman" w:hAnsi="Times New Roman"/>
          <w:sz w:val="21"/>
          <w:szCs w:val="21"/>
          <w:color w:val="auto"/>
        </w:rPr>
        <w:t xml:space="preserve"> by Judicial Arbitration and Mediation Services Inc. (“</w:t>
      </w:r>
      <w:r>
        <w:rPr>
          <w:rFonts w:ascii="Times New Roman" w:cs="Times New Roman" w:eastAsia="Times New Roman" w:hAnsi="Times New Roman"/>
          <w:sz w:val="21"/>
          <w:szCs w:val="21"/>
          <w:b w:val="1"/>
          <w:bCs w:val="1"/>
          <w:u w:val="single" w:color="auto"/>
          <w:color w:val="auto"/>
        </w:rPr>
        <w:t>JAMS</w:t>
      </w:r>
      <w:r>
        <w:rPr>
          <w:rFonts w:ascii="Times New Roman" w:cs="Times New Roman" w:eastAsia="Times New Roman" w:hAnsi="Times New Roman"/>
          <w:sz w:val="21"/>
          <w:szCs w:val="21"/>
          <w:color w:val="auto"/>
        </w:rPr>
        <w:t xml:space="preserve">”) under the then applicable JAMS rules (at the following web address: https://www.jamsadr.com/rules-employment-arbitration/); provided, however, this arbitration provision shall not apply to sexual harassment claims to the extent prohibited by applicable law. A hard copy of the rules will be provided to Executive upon request. </w:t>
      </w:r>
      <w:r>
        <w:rPr>
          <w:rFonts w:ascii="Times New Roman" w:cs="Times New Roman" w:eastAsia="Times New Roman" w:hAnsi="Times New Roman"/>
          <w:sz w:val="21"/>
          <w:szCs w:val="21"/>
          <w:b w:val="1"/>
          <w:bCs w:val="1"/>
          <w:color w:val="auto"/>
        </w:rPr>
        <w:t>By agreeing to this arbitration procedure, both Executive and the</w:t>
      </w:r>
    </w:p>
    <w:p>
      <w:pPr>
        <w:spacing w:after="0" w:line="7"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Company waive the right to resolve any such dispute through a trial by jury or judge or administrative proceeding</w:t>
      </w:r>
      <w:r>
        <w:rPr>
          <w:rFonts w:ascii="Times New Roman" w:cs="Times New Roman" w:eastAsia="Times New Roman" w:hAnsi="Times New Roman"/>
          <w:sz w:val="22"/>
          <w:szCs w:val="22"/>
          <w:color w:val="auto"/>
        </w:rPr>
        <w:t>. In addition, all claims, disputes, or causes of action under this section, whether by Executive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6" w:name="page57"/>
    <w:bookmarkEnd w:id="56"/>
    <w:p>
      <w:pPr>
        <w:jc w:val="both"/>
        <w:spacing w:after="0" w:line="234" w:lineRule="auto"/>
        <w:rPr>
          <w:sz w:val="20"/>
          <w:szCs w:val="20"/>
          <w:color w:val="auto"/>
        </w:rPr>
      </w:pPr>
      <w:r>
        <w:rPr>
          <w:rFonts w:ascii="Times New Roman" w:cs="Times New Roman" w:eastAsia="Times New Roman" w:hAnsi="Times New Roman"/>
          <w:sz w:val="22"/>
          <w:szCs w:val="22"/>
          <w:color w:val="auto"/>
        </w:rPr>
        <w:t>Company would be entitled to seek in a court of law. Executive and the Company shall equally share all JAMS’ arbitration fees.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into and enforced as judgments in the federal and state courts of any competent jurisdiction. To the extent applicable law prohibits mandatory arbitration of sexual harassment claims, in the event Executive intends to bring multiple claims, including a sexual harassment claim, the sexual harassment may be publicly filed with a court, while any other claims will remain subject to mandatory arbitration.</w:t>
      </w:r>
    </w:p>
    <w:p>
      <w:pPr>
        <w:spacing w:after="0" w:line="156" w:lineRule="exact"/>
        <w:rPr>
          <w:sz w:val="20"/>
          <w:szCs w:val="20"/>
          <w:color w:val="auto"/>
        </w:rPr>
      </w:pPr>
    </w:p>
    <w:p>
      <w:pPr>
        <w:jc w:val="both"/>
        <w:ind w:firstLine="656"/>
        <w:spacing w:after="0" w:line="234"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2"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called for under this Agreement shall be in writing and shall be delivered via e-mail, personally by hand or by courier, mailed by United States first-class mail, postage prepaid, or sent by facsimile directed to the Party to be notified at the address or facsimile number indicated for such Party on the signature page to this Agreement, or at such other address or facsimile number as such Party may designate by ten (10) days’ advance written notice to the other Parties hereto. All such notices and other communications shall be deemed given upon personal delivery, seven (7) days after the date of mailing, or upon confirmation of facsimile transfer or e-mail. Notices sent via e-mail under this Section shall be sent to either the e-mail address in this Agreement, or for e-mails sent by the Company to Executive, to the last personal e-mail address on file with the Company.</w:t>
      </w:r>
    </w:p>
    <w:p>
      <w:pPr>
        <w:spacing w:after="0" w:line="142" w:lineRule="exact"/>
        <w:rPr>
          <w:rFonts w:ascii="Times New Roman" w:cs="Times New Roman" w:eastAsia="Times New Roman" w:hAnsi="Times New Roman"/>
          <w:sz w:val="22"/>
          <w:szCs w:val="22"/>
          <w:color w:val="auto"/>
        </w:rPr>
      </w:pPr>
    </w:p>
    <w:p>
      <w:pPr>
        <w:jc w:val="both"/>
        <w:ind w:right="20" w:firstLine="656"/>
        <w:spacing w:after="0" w:line="244"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will continue in full force and effect without said provision.</w:t>
      </w:r>
    </w:p>
    <w:p>
      <w:pPr>
        <w:spacing w:after="0" w:line="146"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together with the agreements pursuant to which the Options were issued to Executive and the Confidential Information Agreement represent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36"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payments made pursuant to this Agreement will be subject to withholding of applicable taxes.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7" w:name="page58"/>
    <w:bookmarkEnd w:id="57"/>
    <w:p>
      <w:pPr>
        <w:jc w:val="both"/>
        <w:ind w:firstLine="656"/>
        <w:spacing w:after="0" w:line="236"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54"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North Carolina (with the exception of its conflict of law’s provisions).</w:t>
      </w:r>
    </w:p>
    <w:p>
      <w:pPr>
        <w:spacing w:after="0" w:line="117"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39"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each of which shall be deemed to be an original, and all such counterparts shall constitute but one instrument.</w:t>
      </w:r>
    </w:p>
    <w:p>
      <w:pPr>
        <w:spacing w:after="0" w:line="131"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and subsection headings contained herein are for convenience only and shall not affect the construction hereof.</w:t>
      </w:r>
    </w:p>
    <w:p>
      <w:pPr>
        <w:spacing w:after="0" w:line="117" w:lineRule="exact"/>
        <w:rPr>
          <w:rFonts w:ascii="Times New Roman" w:cs="Times New Roman" w:eastAsia="Times New Roman" w:hAnsi="Times New Roman"/>
          <w:sz w:val="22"/>
          <w:szCs w:val="22"/>
          <w:color w:val="auto"/>
        </w:rPr>
      </w:pPr>
    </w:p>
    <w:p>
      <w:pPr>
        <w:ind w:right="20" w:firstLine="656"/>
        <w:spacing w:after="0" w:line="25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Agreement</w:t>
      </w:r>
      <w:r>
        <w:rPr>
          <w:rFonts w:ascii="Times New Roman" w:cs="Times New Roman" w:eastAsia="Times New Roman" w:hAnsi="Times New Roman"/>
          <w:sz w:val="22"/>
          <w:szCs w:val="22"/>
          <w:color w:val="auto"/>
        </w:rPr>
        <w:t>. This Agreement has been negotiated by the respective Parties, and the language shall not be construed for or against either Party.</w:t>
      </w:r>
    </w:p>
    <w:p>
      <w:pPr>
        <w:spacing w:after="0" w:line="117"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 If any payment or benefit Executive would receive from the Company or otherwise in connection with a Change of Control or other similar transaction (a “</w:t>
      </w:r>
      <w:r>
        <w:rPr>
          <w:rFonts w:ascii="Times New Roman" w:cs="Times New Roman" w:eastAsia="Times New Roman" w:hAnsi="Times New Roman"/>
          <w:sz w:val="22"/>
          <w:szCs w:val="22"/>
          <w:u w:val="single" w:color="auto"/>
          <w:color w:val="auto"/>
        </w:rPr>
        <w:t>280G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any such 280G Payment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shall be equal to the Reduced Amount. 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u w:val="single" w:color="auto"/>
          <w:color w:val="auto"/>
        </w:rPr>
        <w:t>Reduction Method</w:t>
      </w:r>
      <w:r>
        <w:rPr>
          <w:rFonts w:ascii="Times New Roman" w:cs="Times New Roman" w:eastAsia="Times New Roman" w:hAnsi="Times New Roman"/>
          <w:sz w:val="22"/>
          <w:szCs w:val="22"/>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2"/>
          <w:szCs w:val="22"/>
          <w:u w:val="single" w:color="auto"/>
          <w:color w:val="auto"/>
        </w:rPr>
        <w:t>Pro Rata Reduction Method</w:t>
      </w:r>
      <w:r>
        <w:rPr>
          <w:rFonts w:ascii="Times New Roman" w:cs="Times New Roman" w:eastAsia="Times New Roman" w:hAnsi="Times New Roman"/>
          <w:sz w:val="22"/>
          <w:szCs w:val="22"/>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8" w:name="page59"/>
    <w:bookmarkEnd w:id="58"/>
    <w:p>
      <w:pPr>
        <w:jc w:val="both"/>
        <w:spacing w:after="0" w:line="244" w:lineRule="auto"/>
        <w:rPr>
          <w:sz w:val="20"/>
          <w:szCs w:val="20"/>
          <w:color w:val="auto"/>
        </w:rPr>
      </w:pPr>
      <w:r>
        <w:rPr>
          <w:rFonts w:ascii="Times New Roman" w:cs="Times New Roman" w:eastAsia="Times New Roman" w:hAnsi="Times New Roman"/>
          <w:sz w:val="22"/>
          <w:szCs w:val="22"/>
          <w:color w:val="auto"/>
        </w:rPr>
        <w:t>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46" w:lineRule="exact"/>
        <w:rPr>
          <w:sz w:val="20"/>
          <w:szCs w:val="20"/>
          <w:color w:val="auto"/>
        </w:rPr>
      </w:pPr>
    </w:p>
    <w:p>
      <w:pPr>
        <w:jc w:val="both"/>
        <w:ind w:firstLine="1304"/>
        <w:spacing w:after="0" w:line="245" w:lineRule="auto"/>
        <w:tabs>
          <w:tab w:leader="none" w:pos="194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Executive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within 15 calendar days after the date on which Executive’s right to a 280G Payment becomes reasonably likely to occur (if requested at that time by Executive or the Company) or such other time as requested by Executive or the Company.</w:t>
      </w:r>
    </w:p>
    <w:p>
      <w:pPr>
        <w:spacing w:after="0" w:line="136"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receives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spacing w:after="0" w:line="14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Code (together, the “</w:t>
      </w:r>
      <w:r>
        <w:rPr>
          <w:rFonts w:ascii="Times New Roman" w:cs="Times New Roman" w:eastAsia="Times New Roman" w:hAnsi="Times New Roman"/>
          <w:sz w:val="22"/>
          <w:szCs w:val="22"/>
          <w:b w:val="1"/>
          <w:bCs w:val="1"/>
          <w:u w:val="single" w:color="auto"/>
          <w:color w:val="auto"/>
        </w:rPr>
        <w:t>Deferred Compensation Separation Benefits</w:t>
      </w:r>
      <w:r>
        <w:rPr>
          <w:rFonts w:ascii="Times New Roman" w:cs="Times New Roman" w:eastAsia="Times New Roman" w:hAnsi="Times New Roman"/>
          <w:sz w:val="22"/>
          <w:szCs w:val="22"/>
          <w:color w:val="auto"/>
        </w:rPr>
        <w:t>”) will be paid or otherwise provided until Executive has a “separation from service” within the meaning of Section 409A of the Code.</w:t>
      </w:r>
    </w:p>
    <w:p>
      <w:pPr>
        <w:spacing w:after="0" w:line="14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Executive is a “specified employee” within the meaning of Section 409A of the Code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2"/>
          <w:szCs w:val="22"/>
          <w:color w:val="auto"/>
        </w:rPr>
        <w:t>with the payment schedule applicable to each payment or benefit to Executive’s designated beneficiary or, in the absence of such a designation, to Executive’s estate. Each payment and benefit payable under this Agreement is intended to constitute separate payments for purposes of Section 1.409A-2(b)(2) of the Treasury Regulations.</w:t>
      </w:r>
    </w:p>
    <w:p>
      <w:pPr>
        <w:spacing w:after="0" w:line="146" w:lineRule="exact"/>
        <w:rPr>
          <w:sz w:val="20"/>
          <w:szCs w:val="20"/>
          <w:color w:val="auto"/>
        </w:rPr>
      </w:pPr>
    </w:p>
    <w:p>
      <w:pPr>
        <w:jc w:val="both"/>
        <w:ind w:firstLine="1304"/>
        <w:spacing w:after="0" w:line="244"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satisfies the requirements of the “short-term deferral” rule set forth in Section 1.409A-1(b)(4) of the Treasury Regulations will not constitute Deferred Compensation Separation Benefits for purposes of clause (a) above.</w:t>
      </w:r>
    </w:p>
    <w:p>
      <w:pPr>
        <w:spacing w:after="0" w:line="132"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21"/>
          <w:szCs w:val="21"/>
          <w:b w:val="1"/>
          <w:bCs w:val="1"/>
          <w:u w:val="single" w:color="auto"/>
          <w:color w:val="auto"/>
        </w:rPr>
        <w:t>Section 409A Limit</w:t>
      </w:r>
      <w:r>
        <w:rPr>
          <w:rFonts w:ascii="Times New Roman" w:cs="Times New Roman" w:eastAsia="Times New Roman" w:hAnsi="Times New Roman"/>
          <w:sz w:val="21"/>
          <w:szCs w:val="21"/>
          <w:color w:val="auto"/>
        </w:rPr>
        <w:t>” will mean the lesser of two (2) times: (i) Executive’s annualized compensation based upon the annual rate of pay paid to Executive 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34"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permitted by Section 409A of the Code the reimbursements and in-kind benefits provided to Executive under this Agreement during any calendar year shall not affect the reimbursements or in-kind benefits to be provided to Executive under the relevant section of this Agreement in any other calendar year, and the right to such reimbursements and in-kind benefits cannot be liquidated or exchanged for any other benefit and shall be provided in accordance with Treas. Reg. Section 1.409A-3(i)(1)(iv) or any successor thereto. Further, in the case of reimbursement payments, such payments shall be made to Executive on or before the last day of the calendar year following the calendar year in which the underlying fee, cost or expense is incurred.</w:t>
      </w:r>
    </w:p>
    <w:p>
      <w:pPr>
        <w:spacing w:after="0" w:line="151"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intended to be exempt from, or comply with, the requirements of Section 409A of the Code so that none of the severance payments and benefits to be provided hereunder will be subject to the additional tax imposed under Section 409A of the Code, and any ambiguities herein will be interpreted to be exempt from or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of the Code. Notwithstanding any of the foregoing, in no event will the Company be liable for any additional tax, interest, or penalties that may be imposed on Executive under Section 409A of the Code oor any damages because a payment pursuant to this Agreement was determined to not be in compliance with Section 409A of the Code.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is intentionally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60" w:name="page61"/>
    <w:bookmarkEnd w:id="60"/>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of the Parties has executed this Agreement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MILESTONE PHARMACEUTICALS USA, INC.</w:t>
      </w:r>
    </w:p>
    <w:p>
      <w:pPr>
        <w:spacing w:after="0" w:line="249" w:lineRule="exact"/>
        <w:rPr>
          <w:sz w:val="20"/>
          <w:szCs w:val="20"/>
          <w:color w:val="auto"/>
        </w:rPr>
      </w:pPr>
    </w:p>
    <w:p>
      <w:pPr>
        <w:ind w:left="4960"/>
        <w:spacing w:after="0"/>
        <w:tabs>
          <w:tab w:leader="none" w:pos="5520" w:val="left"/>
        </w:tabs>
        <w:rPr>
          <w:sz w:val="20"/>
          <w:szCs w:val="20"/>
          <w:color w:val="auto"/>
        </w:rPr>
      </w:pPr>
      <w:r>
        <w:rPr>
          <w:rFonts w:ascii="Times New Roman" w:cs="Times New Roman" w:eastAsia="Times New Roman" w:hAnsi="Times New Roman"/>
          <w:sz w:val="22"/>
          <w:szCs w:val="22"/>
          <w:color w:val="auto"/>
        </w:rPr>
        <w:t>By:</w:t>
        <w:tab/>
        <w:t>/s/ Joseph Oliveto</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Name:Joseph Oliveto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774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David Sandoval</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David Sandoval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David Sandoval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27" w:right="1239" w:bottom="1440" w:gutter="0" w:footer="0" w:header="0"/>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Common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(without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26"/>
          <w:szCs w:val="26"/>
          <w:b w:val="1"/>
          <w:bCs w:val="1"/>
          <w:color w:val="auto"/>
          <w:vertAlign w:val="superscript"/>
        </w:rPr>
        <w:t>SM</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May 13,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Milestone Pharmaceuticals Inc., a corporation continued under the laws of the Province of Québec, Canada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Cantor Fitzgerald &amp; Co.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jc w:val="both"/>
        <w:ind w:left="700" w:right="79" w:hanging="650"/>
        <w:spacing w:after="0" w:line="25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the Agent, as sales agent or principal, common shares of the Company, without par value per share ( “</w:t>
      </w:r>
      <w:r>
        <w:rPr>
          <w:rFonts w:ascii="Times New Roman" w:cs="Times New Roman" w:eastAsia="Times New Roman" w:hAnsi="Times New Roman"/>
          <w:sz w:val="18"/>
          <w:szCs w:val="18"/>
          <w:b w:val="1"/>
          <w:bCs w:val="1"/>
          <w:u w:val="single" w:color="auto"/>
          <w:color w:val="auto"/>
        </w:rPr>
        <w:t>Common Shares</w:t>
      </w:r>
      <w:r>
        <w:rPr>
          <w:rFonts w:ascii="Times New Roman" w:cs="Times New Roman" w:eastAsia="Times New Roman" w:hAnsi="Times New Roman"/>
          <w:sz w:val="18"/>
          <w:szCs w:val="18"/>
          <w:color w:val="auto"/>
        </w:rPr>
        <w:t>”) which shall be referred to herein as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 sell through the Agent such number or dollar amount of Placement Shares that would (a) exceed the number or dollar amount of Common Shares registered on the effective Registration Statement (defined below) pursuant to which the offering is being made, (b) exceed the number of authorized but unissued Common Shares (less Common Shares issuable upon exercise, conversion or exchange of any outstanding securities of the Company or otherwise reserved from the Company’s authorized capital stock), (c) exceed the number or dollar amount of Common Shares permitted to be sold under Form S-3 (including General Instruction I.B.6 thereof, if applicable) or (d) exceed the number or dollar amount of Common Shares for which the Company has filed a Sales Agreement Prospectus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which will be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Placement Shares.</w:t>
      </w:r>
    </w:p>
    <w:p>
      <w:pPr>
        <w:spacing w:after="0" w:line="191" w:lineRule="exact"/>
        <w:rPr>
          <w:sz w:val="20"/>
          <w:szCs w:val="20"/>
          <w:color w:val="auto"/>
        </w:rPr>
      </w:pPr>
    </w:p>
    <w:p>
      <w:pPr>
        <w:jc w:val="both"/>
        <w:ind w:left="70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prepared and filed, or will file, in accordance with the provisions of the Securities Act of 1933, as amended, and the rules and regulations thereunder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xml:space="preserve"> ”), with the Commission a registration statement on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2" w:name="page63"/>
    <w:bookmarkEnd w:id="62"/>
    <w:p>
      <w:pPr>
        <w:jc w:val="both"/>
        <w:ind w:left="700" w:right="59"/>
        <w:spacing w:after="0" w:line="251" w:lineRule="auto"/>
        <w:rPr>
          <w:sz w:val="20"/>
          <w:szCs w:val="20"/>
          <w:color w:val="auto"/>
        </w:rPr>
      </w:pPr>
      <w:r>
        <w:rPr>
          <w:rFonts w:ascii="Times New Roman" w:cs="Times New Roman" w:eastAsia="Times New Roman" w:hAnsi="Times New Roman"/>
          <w:sz w:val="18"/>
          <w:szCs w:val="18"/>
          <w:color w:val="auto"/>
        </w:rPr>
        <w:t>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the registration statement, which prospectus supplement relates to the Placement Shares to be issued from time to time by the Company (the “</w:t>
      </w:r>
      <w:r>
        <w:rPr>
          <w:rFonts w:ascii="Times New Roman" w:cs="Times New Roman" w:eastAsia="Times New Roman" w:hAnsi="Times New Roman"/>
          <w:sz w:val="18"/>
          <w:szCs w:val="18"/>
          <w:b w:val="1"/>
          <w:bCs w:val="1"/>
          <w:color w:val="auto"/>
        </w:rPr>
        <w:t>Sales Agreement Prospectus</w:t>
      </w:r>
      <w:r>
        <w:rPr>
          <w:rFonts w:ascii="Times New Roman" w:cs="Times New Roman" w:eastAsia="Times New Roman" w:hAnsi="Times New Roman"/>
          <w:sz w:val="18"/>
          <w:szCs w:val="18"/>
          <w:color w:val="auto"/>
        </w:rPr>
        <w:t>”). The Company will furnish to the Agent, for use by the Agent, copies of the prospectus included as part of such registration statement, as may be supplemented by any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the Prospectus (as defined below) subsequently filed with the Commission pursuant to Rule 424(b) under the Securities Act or deemed to be a part of such registration statement pursuant to Rule 430B of the Securities Act, and any one or more additional effective registration statements on Form S-3 from time to time that will contain a base prospectus and, if applicable, a related prospectus or prospectus supplement with respect to the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Registration Statement at the time it originally became effective is herein called the “</w:t>
      </w:r>
      <w:r>
        <w:rPr>
          <w:rFonts w:ascii="Times New Roman" w:cs="Times New Roman" w:eastAsia="Times New Roman" w:hAnsi="Times New Roman"/>
          <w:sz w:val="18"/>
          <w:szCs w:val="18"/>
          <w:b w:val="1"/>
          <w:bCs w:val="1"/>
          <w:u w:val="single" w:color="auto"/>
          <w:color w:val="auto"/>
        </w:rPr>
        <w:t>Original Registration Statement</w:t>
      </w:r>
      <w:r>
        <w:rPr>
          <w:rFonts w:ascii="Times New Roman" w:cs="Times New Roman" w:eastAsia="Times New Roman" w:hAnsi="Times New Roman"/>
          <w:sz w:val="18"/>
          <w:szCs w:val="18"/>
          <w:color w:val="auto"/>
        </w:rPr>
        <w:t>.” The base prospectus and the Sales Agreement Prospectus, including all documents incorporated therein by reference, included in the Registration Statement, as they may be supplemented, if necessary, by one or more prospectus supplements relating to the Placement Shares to be issued from time to time by the Company, in the form in which such prospectus supplement(s) have most recently been filed by the Company with the Commission pursuant to Rule 424(b) under the Securities Act, together with the then 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left="700" w:right="59"/>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the Sales Agreement Prospectus,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jc w:val="both"/>
        <w:ind w:left="700" w:right="79"/>
        <w:spacing w:after="0" w:line="266" w:lineRule="auto"/>
        <w:rPr>
          <w:sz w:val="20"/>
          <w:szCs w:val="20"/>
          <w:color w:val="auto"/>
        </w:rPr>
      </w:pPr>
      <w:r>
        <w:rPr>
          <w:rFonts w:ascii="Times New Roman" w:cs="Times New Roman" w:eastAsia="Times New Roman" w:hAnsi="Times New Roman"/>
          <w:sz w:val="18"/>
          <w:szCs w:val="18"/>
          <w:color w:val="auto"/>
        </w:rPr>
        <w:t>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left="700" w:right="59"/>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92" w:lineRule="exact"/>
        <w:rPr>
          <w:sz w:val="20"/>
          <w:szCs w:val="20"/>
          <w:color w:val="auto"/>
        </w:rPr>
      </w:pPr>
    </w:p>
    <w:p>
      <w:pPr>
        <w:jc w:val="both"/>
        <w:ind w:left="700" w:right="79" w:hanging="650"/>
        <w:spacing w:after="0" w:line="25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of Placement Shares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authorized to act on behalf of the Company, which individuals have been identified by the Company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identified by the Company on such schedule), and shall be addressed to each of the individuals identified by the Agent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the other party in the manner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Placement Notice shall be effective unless and until (i)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Agent declines in writing to accept the terms contained therein for any reason, in its sole discretion,</w:t>
      </w:r>
    </w:p>
    <w:p>
      <w:pPr>
        <w:spacing w:after="0" w:line="2" w:lineRule="exact"/>
        <w:rPr>
          <w:rFonts w:ascii="Times New Roman" w:cs="Times New Roman" w:eastAsia="Times New Roman" w:hAnsi="Times New Roman"/>
          <w:sz w:val="18"/>
          <w:szCs w:val="18"/>
          <w:color w:val="auto"/>
        </w:rPr>
      </w:pPr>
    </w:p>
    <w:p>
      <w:pPr>
        <w:jc w:val="both"/>
        <w:ind w:left="700" w:right="79" w:hanging="2"/>
        <w:spacing w:after="0" w:line="251" w:lineRule="auto"/>
        <w:tabs>
          <w:tab w:leader="none" w:pos="100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Placement Shares authorized to be sold under such Placement Notice have been sold, (iii)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suspends, amends, supersedes or terminates the Placement Notice, (iv) the Company issues a subsequent Placement Notice, (v)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suspends sales under or terminates the Placement Notice for any reason in its sole discretion, or (vi)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(and the Company does not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practices and applicable state and federal laws, rules and regulations and the rules of the Nasdaq Global Select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to sell the Placement Shares up to the amount specified in, and otherwise in accordance with the terms of, such Placement Notice.</w:t>
      </w:r>
    </w:p>
    <w:p>
      <w:pPr>
        <w:spacing w:after="0" w:line="176" w:lineRule="exact"/>
        <w:rPr>
          <w:sz w:val="20"/>
          <w:szCs w:val="20"/>
          <w:color w:val="auto"/>
        </w:rPr>
      </w:pPr>
    </w:p>
    <w:p>
      <w:pPr>
        <w:jc w:val="both"/>
        <w:ind w:left="700" w:right="79" w:hanging="650"/>
        <w:spacing w:after="0" w:line="252"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xml:space="preserv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Agent may sell Placement Shares (i) in negotiated transactions with the consent of the Company; (ii) as block transactions; or (iii) by any other method permitted by law deemed to be an “at the market offering” as defined in Rule 415(a)(4) of the Securities Act, including sales made directly on the Exchange or sales made into any other existing trading market of the Common Shares.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Agreement and (iii) the Agent shall be under no obligation to purchase Placement Shares on a principal basis pursuant to this Agreement.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Shares are traded on the Exchange.</w:t>
      </w:r>
    </w:p>
    <w:p>
      <w:pPr>
        <w:spacing w:after="0" w:line="194" w:lineRule="exact"/>
        <w:rPr>
          <w:rFonts w:ascii="Times New Roman" w:cs="Times New Roman" w:eastAsia="Times New Roman" w:hAnsi="Times New Roman"/>
          <w:sz w:val="18"/>
          <w:szCs w:val="18"/>
          <w:color w:val="auto"/>
        </w:rPr>
      </w:pPr>
    </w:p>
    <w:p>
      <w:pPr>
        <w:jc w:val="both"/>
        <w:ind w:left="700" w:right="79" w:hanging="650"/>
        <w:spacing w:after="0" w:line="252"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identified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Schedule may be updated by either party from time to time by sending a written notice containing a revised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the other party in the manner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ind w:left="700" w:hanging="650"/>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Delivery to the Agent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first (1st) Trading Day (or such earlier day as is industry practice or as is required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the Agent hereunder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and (iii) any transaction fees imposed by any Governmental Authority in respect of such sales.</w:t>
      </w:r>
    </w:p>
    <w:p>
      <w:pPr>
        <w:spacing w:after="0" w:line="193"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on or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the Agent will deliver the related Net Proceeds in same day funds to an account designated by the Company on, or prior to, the Settlement Date. If the Company,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it will (i) hold the Agent harmless against any loss, claim, damage, or reasonable and documented expense (including reasonable and documented legal fees and expenses), as incurred, arising out of or in connection with such default by the Company or its transfer agent (as applicable) and (ii) pay to the Agent any commission, discount, or other compensation to which it would otherwise have been entitled absent such default.</w:t>
      </w:r>
    </w:p>
    <w:p>
      <w:pPr>
        <w:spacing w:after="0" w:line="194" w:lineRule="exact"/>
        <w:rPr>
          <w:rFonts w:ascii="Times New Roman" w:cs="Times New Roman" w:eastAsia="Times New Roman" w:hAnsi="Times New Roman"/>
          <w:sz w:val="18"/>
          <w:szCs w:val="18"/>
          <w:color w:val="auto"/>
        </w:rPr>
      </w:pPr>
    </w:p>
    <w:p>
      <w:pPr>
        <w:jc w:val="both"/>
        <w:ind w:left="1340" w:right="79" w:hanging="642"/>
        <w:spacing w:after="0" w:line="257" w:lineRule="auto"/>
        <w:tabs>
          <w:tab w:leader="none" w:pos="13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w:t>
      </w:r>
    </w:p>
    <w:p>
      <w:pPr>
        <w:spacing w:after="0" w:line="182" w:lineRule="exact"/>
        <w:rPr>
          <w:rFonts w:ascii="Times New Roman" w:cs="Times New Roman" w:eastAsia="Times New Roman" w:hAnsi="Times New Roman"/>
          <w:sz w:val="18"/>
          <w:szCs w:val="18"/>
          <w:color w:val="auto"/>
        </w:rPr>
      </w:pPr>
    </w:p>
    <w:p>
      <w:pPr>
        <w:jc w:val="both"/>
        <w:ind w:left="1340" w:right="79" w:hanging="642"/>
        <w:spacing w:after="0" w:line="267" w:lineRule="auto"/>
        <w:tabs>
          <w:tab w:leader="none" w:pos="13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6" w:name="page67"/>
    <w:bookmarkEnd w:id="66"/>
    <w:p>
      <w:pPr>
        <w:jc w:val="both"/>
        <w:ind w:left="1340" w:right="59"/>
        <w:spacing w:after="0" w:line="256" w:lineRule="auto"/>
        <w:rPr>
          <w:sz w:val="20"/>
          <w:szCs w:val="20"/>
          <w:color w:val="auto"/>
        </w:rPr>
      </w:pPr>
      <w:r>
        <w:rPr>
          <w:rFonts w:ascii="Times New Roman" w:cs="Times New Roman" w:eastAsia="Times New Roman" w:hAnsi="Times New Roman"/>
          <w:sz w:val="18"/>
          <w:szCs w:val="18"/>
          <w:color w:val="auto"/>
        </w:rPr>
        <w:t>sold pursuant to this Agreement would exceed the lesser of (A) the Maximum Amount and (B) the amount authorized from time to time to be issued and sold under this Agreement by the Company’s board of directors, a duly authorized committee thereof or a duly authorized executive committee (such entity, the “</w:t>
      </w:r>
      <w:r>
        <w:rPr>
          <w:rFonts w:ascii="Times New Roman" w:cs="Times New Roman" w:eastAsia="Times New Roman" w:hAnsi="Times New Roman"/>
          <w:sz w:val="18"/>
          <w:szCs w:val="18"/>
          <w:b w:val="1"/>
          <w:bCs w:val="1"/>
          <w:u w:val="single" w:color="auto"/>
          <w:color w:val="auto"/>
        </w:rPr>
        <w:t>Company Authorization Body</w:t>
      </w:r>
      <w:r>
        <w:rPr>
          <w:rFonts w:ascii="Times New Roman" w:cs="Times New Roman" w:eastAsia="Times New Roman" w:hAnsi="Times New Roman"/>
          <w:sz w:val="18"/>
          <w:szCs w:val="18"/>
          <w:color w:val="auto"/>
        </w:rPr>
        <w:t>”). Under no circumstances shall the Company cause or request the offer or sale of any Placement Shares pursuant to this Agreement at a price lower than the minimum price authorized from time to time by the Company Authorization Body.</w:t>
      </w:r>
    </w:p>
    <w:p>
      <w:pPr>
        <w:spacing w:after="0" w:line="187" w:lineRule="exact"/>
        <w:rPr>
          <w:sz w:val="20"/>
          <w:szCs w:val="20"/>
          <w:color w:val="auto"/>
        </w:rPr>
      </w:pPr>
    </w:p>
    <w:p>
      <w:pPr>
        <w:jc w:val="both"/>
        <w:ind w:left="700" w:right="79" w:hanging="650"/>
        <w:spacing w:after="0" w:line="266"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each Applicable Time (as defined below), unless such representation, warranty or agreement specifies a different time:</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51" w:lineRule="auto"/>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Prior to the delivery of the first Placement Notice and as of each Applicable Time thereafter, the Registration Statement is and will be effective. The Prospectus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and any such consent not to be unreasonably withheld, conditioned or delayed.</w:t>
      </w:r>
    </w:p>
    <w:p>
      <w:pPr>
        <w:spacing w:after="0" w:line="20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Original Registration Statement and any Rule 462(b) Registration Statement has been or will be declared effective by the Commission or become effective under the Securities Act prior to the date on which any Placement Notice is delivered to Agent hereunder following such filing. The Company has complied to the Commission’s satisfaction with all requests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jc w:val="both"/>
        <w:ind w:left="1340" w:right="59"/>
        <w:spacing w:after="0" w:line="261" w:lineRule="auto"/>
        <w:rPr>
          <w:sz w:val="20"/>
          <w:szCs w:val="20"/>
          <w:color w:val="auto"/>
        </w:rPr>
      </w:pPr>
      <w:r>
        <w:rPr>
          <w:rFonts w:ascii="Times New Roman" w:cs="Times New Roman" w:eastAsia="Times New Roman" w:hAnsi="Times New Roman"/>
          <w:sz w:val="18"/>
          <w:szCs w:val="18"/>
          <w:color w:val="auto"/>
        </w:rPr>
        <w:t>Commission for additional or supplemental information, if any. No stop order suspending the effectiveness of the Registration Statement or any Rule 462(b) Registration Statement is in effect and no proceedings for such purpose have been instituted or are pending or, to the Company’s knowledge, are contemplated or threatened by the Commission.</w:t>
      </w:r>
    </w:p>
    <w:p>
      <w:pPr>
        <w:spacing w:after="0" w:line="180" w:lineRule="exact"/>
        <w:rPr>
          <w:sz w:val="20"/>
          <w:szCs w:val="20"/>
          <w:color w:val="auto"/>
        </w:rPr>
      </w:pPr>
    </w:p>
    <w:p>
      <w:pPr>
        <w:jc w:val="both"/>
        <w:ind w:left="1340" w:right="59"/>
        <w:spacing w:after="0" w:line="251" w:lineRule="auto"/>
        <w:rPr>
          <w:sz w:val="20"/>
          <w:szCs w:val="20"/>
          <w:color w:val="auto"/>
        </w:rPr>
      </w:pPr>
      <w:r>
        <w:rPr>
          <w:rFonts w:ascii="Times New Roman" w:cs="Times New Roman" w:eastAsia="Times New Roman" w:hAnsi="Times New Roman"/>
          <w:sz w:val="18"/>
          <w:szCs w:val="18"/>
          <w:color w:val="auto"/>
        </w:rPr>
        <w:t>The Prospectus when filed complied in all material respects with the Securities Act and, if filed with the Commission through EDGAR (except as may be permitted by Regulation S-T under the Securities Act), was identical to the copy thereof delivered to the Agent for use in connection with the issuance and sale of the Placement Shares. Each of the Registration Statement, any Rule 462(b) Registration Statement and any post-effective amendment or supplement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considered together (collectively, the “</w:t>
      </w:r>
      <w:r>
        <w:rPr>
          <w:rFonts w:ascii="Times New Roman" w:cs="Times New Roman" w:eastAsia="Times New Roman" w:hAnsi="Times New Roman"/>
          <w:sz w:val="18"/>
          <w:szCs w:val="18"/>
          <w:b w:val="1"/>
          <w:bCs w:val="1"/>
          <w:u w:val="single" w:color="auto"/>
          <w:color w:val="auto"/>
        </w:rPr>
        <w:t>Time of Sale Information</w:t>
      </w:r>
      <w:r>
        <w:rPr>
          <w:rFonts w:ascii="Times New Roman" w:cs="Times New Roman" w:eastAsia="Times New Roman" w:hAnsi="Times New Roman"/>
          <w:sz w:val="18"/>
          <w:szCs w:val="18"/>
          <w:color w:val="auto"/>
        </w:rPr>
        <w:t>”) did not contain any untrue statement of a material fact or omit to state a material fact necessary to make the statements therein, in light of the circumstances under which they were made, not misleading. The Prospectus as of its date, did not, and at each Representation Date and each Settlement Date, the Prospectus, as amended or supplemented,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or supplement thereto, or the Prospectus, or any amendments or supplements thereto, or the Time of Sale Information,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10 below. There are no contracts or other documents required to be described in the Prospectus or to be filed as exhibits to the Registration Statement which have not been described or filed as required. The Registration Statement and the offer and sale of the Placement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-569595</wp:posOffset>
            </wp:positionV>
            <wp:extent cx="49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494030" cy="8890"/>
                    </a:xfrm>
                    <a:prstGeom prst="rect">
                      <a:avLst/>
                    </a:prstGeom>
                    <a:noFill/>
                  </pic:spPr>
                </pic:pic>
              </a:graphicData>
            </a:graphic>
          </wp:anchor>
        </w:drawing>
      </w:r>
    </w:p>
    <w:p>
      <w:pPr>
        <w:spacing w:after="0" w:line="184" w:lineRule="exact"/>
        <w:rPr>
          <w:sz w:val="20"/>
          <w:szCs w:val="20"/>
          <w:color w:val="auto"/>
        </w:rPr>
      </w:pPr>
    </w:p>
    <w:p>
      <w:pPr>
        <w:jc w:val="both"/>
        <w:ind w:left="1340" w:right="79" w:hanging="642"/>
        <w:spacing w:after="0" w:line="256"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Placement Shares pursuant to Rules 164, 405 and 433 under the Securities Act. Any Issuer Free Writing Prospectus that the Company is required to file pursuant to Rule 433(d) under the Securities Act has been, or will be, filed with the Commission in accordance with the requirements of the Securities Act. Each Issuer Free Writing Prospectus that the Company has filed, or is required to file, pursuant to Rule 433(d) under the Securities Act or that was prepared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jc w:val="both"/>
        <w:ind w:left="1340" w:right="59"/>
        <w:spacing w:after="0" w:line="253" w:lineRule="auto"/>
        <w:rPr>
          <w:sz w:val="20"/>
          <w:szCs w:val="20"/>
          <w:color w:val="auto"/>
        </w:rPr>
      </w:pPr>
      <w:r>
        <w:rPr>
          <w:rFonts w:ascii="Times New Roman" w:cs="Times New Roman" w:eastAsia="Times New Roman" w:hAnsi="Times New Roman"/>
          <w:sz w:val="18"/>
          <w:szCs w:val="18"/>
          <w:color w:val="auto"/>
        </w:rPr>
        <w:t>on behalf of or used or referred to by the Company complies or will comply in all material respects with the requirements of Rule 433 under the Securities Act including timely filing with the Commission or retention where required and legending, and each such Issuer Free Writing Prospectus, as of its issue date and at all subsequent times through the completion of the issuance and sale of the Placement Shares did not, does not and will not include any information that conflicted, conflicts with or will conflict with the information contained in the Registration Statement or the Prospectus, including any document incorporated by reference therein. Except for the Issuer Free Writing Prospectuses, if any, and electronic road shows, if any, furnished to you before first use, the Company has not prepared, used or referred to, and will not, without your prior consent, which consent shall not be unreasonably withheld or delayed, prepare, use or refer to, any Issuer Free Writing Prospectus.</w:t>
      </w:r>
    </w:p>
    <w:p>
      <w:pPr>
        <w:spacing w:after="0" w:line="194" w:lineRule="exact"/>
        <w:rPr>
          <w:sz w:val="20"/>
          <w:szCs w:val="20"/>
          <w:color w:val="auto"/>
        </w:rPr>
      </w:pPr>
    </w:p>
    <w:p>
      <w:pPr>
        <w:jc w:val="both"/>
        <w:ind w:left="1340" w:right="79" w:hanging="642"/>
        <w:spacing w:after="0" w:line="256"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Securities Act or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54"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Issuer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believes, after reasonable inquiry, to be reliable and accurate in all material respects. To the extent required, the Company has obtained the written consent for the use of such data from such sources.</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55"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in all material 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both"/>
        <w:ind w:left="1340" w:right="59"/>
        <w:spacing w:after="0" w:line="253" w:lineRule="auto"/>
        <w:rPr>
          <w:sz w:val="20"/>
          <w:szCs w:val="20"/>
          <w:color w:val="auto"/>
        </w:rPr>
      </w:pPr>
      <w:r>
        <w:rPr>
          <w:rFonts w:ascii="Times New Roman" w:cs="Times New Roman" w:eastAsia="Times New Roman" w:hAnsi="Times New Roman"/>
          <w:sz w:val="18"/>
          <w:szCs w:val="18"/>
          <w:color w:val="auto"/>
        </w:rPr>
        <w:t>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0" w:lineRule="exact"/>
        <w:rPr>
          <w:sz w:val="20"/>
          <w:szCs w:val="20"/>
          <w:color w:val="auto"/>
        </w:rPr>
      </w:pPr>
    </w:p>
    <w:p>
      <w:pPr>
        <w:jc w:val="both"/>
        <w:ind w:left="1340" w:right="79" w:hanging="642"/>
        <w:spacing w:after="0" w:line="254"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18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Placement Shares</w:t>
      </w:r>
      <w:r>
        <w:rPr>
          <w:rFonts w:ascii="Times New Roman" w:cs="Times New Roman" w:eastAsia="Times New Roman" w:hAnsi="Times New Roman"/>
          <w:sz w:val="18"/>
          <w:szCs w:val="18"/>
          <w:color w:val="auto"/>
        </w:rPr>
        <w:t>. 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is not subject to any preemptive rights, rights of first refusal or other similar rights to subscribe for or purchase any Placement Shares.</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jc w:val="both"/>
        <w:ind w:left="1340" w:right="59"/>
        <w:spacing w:after="0" w:line="252" w:lineRule="auto"/>
        <w:rPr>
          <w:sz w:val="20"/>
          <w:szCs w:val="20"/>
          <w:color w:val="auto"/>
        </w:rPr>
      </w:pPr>
      <w:r>
        <w:rPr>
          <w:rFonts w:ascii="Times New Roman" w:cs="Times New Roman" w:eastAsia="Times New Roman" w:hAnsi="Times New Roman"/>
          <w:sz w:val="18"/>
          <w:szCs w:val="18"/>
          <w:color w:val="auto"/>
        </w:rPr>
        <w:t>in the earnings, business, properties, operations, operating results, assets, liabilities or prospects, whether or not arising from transactions in the ordinary course of business, of the Company and the Subsidiary (as defined below),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(ii) the Company and the Subsidiary,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the Subsidiary, considered as one entity, and have not entered into any transactions not in the ordinary course of business; and (iii) there has not been any material decrease in the share capital or any material increase in any short-term or long-term indebtedness of the Company or the Subsidiary and there has been no dividend or distribution of any kind declared, paid or made by the Company or, except for dividends paid to the Company, by the Subsidiary on any class of share capital, or any repurchase or redemption by the Company or the Subsidiary of any class of share capital.</w:t>
      </w:r>
    </w:p>
    <w:p>
      <w:pPr>
        <w:spacing w:after="0" w:line="195" w:lineRule="exact"/>
        <w:rPr>
          <w:sz w:val="20"/>
          <w:szCs w:val="20"/>
          <w:color w:val="auto"/>
        </w:rPr>
      </w:pPr>
    </w:p>
    <w:p>
      <w:pPr>
        <w:jc w:val="both"/>
        <w:ind w:left="1340" w:right="79" w:hanging="642"/>
        <w:spacing w:after="0" w:line="254" w:lineRule="auto"/>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PricewaterhouseCoopers LLP, which has expressed its opinion with respect to the financial statements (which term as used in this Agreement includes the related notes thereto) or reviewed the financial statements, each as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8"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and the Prospectus present fairly, in all material respects, the consolidated financial position of the Company and the Subsidiary as of and at the dates indicated and the results of their operations, changes in shareholders’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financial statements, which are subject to normal and recurring year-end adjustments and do not contain all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1" w:name="page72"/>
    <w:bookmarkEnd w:id="71"/>
    <w:p>
      <w:pPr>
        <w:jc w:val="both"/>
        <w:ind w:left="1340" w:right="59"/>
        <w:spacing w:after="0" w:line="256" w:lineRule="auto"/>
        <w:rPr>
          <w:sz w:val="20"/>
          <w:szCs w:val="20"/>
          <w:color w:val="auto"/>
        </w:rPr>
      </w:pPr>
      <w:r>
        <w:rPr>
          <w:rFonts w:ascii="Times New Roman" w:cs="Times New Roman" w:eastAsia="Times New Roman" w:hAnsi="Times New Roman"/>
          <w:sz w:val="18"/>
          <w:szCs w:val="18"/>
          <w:color w:val="auto"/>
        </w:rPr>
        <w:t>guidelines applicable thereto. No other financial statements or supporting schedules are required to be included in the Registration Statement or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and the Prospectus.</w:t>
      </w:r>
    </w:p>
    <w:p>
      <w:pPr>
        <w:spacing w:after="0" w:line="187" w:lineRule="exact"/>
        <w:rPr>
          <w:sz w:val="20"/>
          <w:szCs w:val="20"/>
          <w:color w:val="auto"/>
        </w:rPr>
      </w:pPr>
    </w:p>
    <w:p>
      <w:pPr>
        <w:jc w:val="both"/>
        <w:ind w:left="1340" w:right="79" w:hanging="642"/>
        <w:spacing w:after="0" w:line="253" w:lineRule="auto"/>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the Subsidiary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9"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Valid Existence of the Company</w:t>
      </w:r>
      <w:r>
        <w:rPr>
          <w:rFonts w:ascii="Times New Roman" w:cs="Times New Roman" w:eastAsia="Times New Roman" w:hAnsi="Times New Roman"/>
          <w:sz w:val="18"/>
          <w:szCs w:val="18"/>
          <w:color w:val="auto"/>
        </w:rPr>
        <w:t>. The Company has been duly continued and is validly existing as a corporation under the Business Corporations Act (Québec) and has the corporate power and authority to own, lease and operate its properties and to conduct its business as described in the Registration Statement and the Prospectus and to enter into and perform its obligations under this Agreement.</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has no “significant subsidiaries” (as defined in Rule 1-02 of Regulation S-X under the Securities Act). The Company has no subsidiaries (for purposes of this Agreement, as defined in Rule 405 under the Securities Act) other than Milestone Pharmaceuticals USA, Inc., a Delaware corporation (the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The Subsidiary has been duly incorporated and is validly existing as a corporation in good standing under the laws of the State of Delaware and has the power and authority (corporate or other) to own, lease and operate its properties and to conduct its business as described in the Registration Statement and the Prospectus. The Subsidiary is duly qualified as a foreign corporation to transact business and is in good standing in the State of North Carolina and each other jurisdiction in which such qualification is required, whether by reason of the ownership or leasing of property or the conduct of business, except where the failure to be so qualified or in good standing would not reasonably be expected, individually or in the aggregate, to result in a Material Adverse Change. All of the issued and outstanding shares of capital stock or other equity or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jc w:val="both"/>
        <w:ind w:left="1340" w:right="59"/>
        <w:spacing w:after="0" w:line="255" w:lineRule="auto"/>
        <w:rPr>
          <w:sz w:val="20"/>
          <w:szCs w:val="20"/>
          <w:color w:val="auto"/>
        </w:rPr>
      </w:pPr>
      <w:r>
        <w:rPr>
          <w:rFonts w:ascii="Times New Roman" w:cs="Times New Roman" w:eastAsia="Times New Roman" w:hAnsi="Times New Roman"/>
          <w:sz w:val="18"/>
          <w:szCs w:val="18"/>
          <w:color w:val="auto"/>
        </w:rPr>
        <w:t>of the Subsidiary have been duly authorized and validly issued, are fully paid and nonassessable and are owned by the Company directly free and clear of any security interest, mortgage, pledge, lien, encumbrance or adverse claim. None of the outstanding capital stock of the Subsidiary was issued in violation of preemptive or similar rights of any security holder of the Subsidiary. The organizational documents of the Subsidiary comply in all material respects with the requirements of applicable laws of its jurisdiction of incorporation and are in full force and effect. The Company does not own or control, directly or indirectly, any corporation, association or other entity other than the Subsidiary.</w:t>
      </w:r>
    </w:p>
    <w:p>
      <w:pPr>
        <w:spacing w:after="0" w:line="189" w:lineRule="exact"/>
        <w:rPr>
          <w:sz w:val="20"/>
          <w:szCs w:val="20"/>
          <w:color w:val="auto"/>
        </w:rPr>
      </w:pPr>
    </w:p>
    <w:p>
      <w:pPr>
        <w:jc w:val="both"/>
        <w:ind w:left="1340" w:right="79" w:hanging="642"/>
        <w:spacing w:after="0" w:line="252"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Share Capital Matters</w:t>
      </w:r>
      <w:r>
        <w:rPr>
          <w:rFonts w:ascii="Times New Roman" w:cs="Times New Roman" w:eastAsia="Times New Roman" w:hAnsi="Times New Roman"/>
          <w:sz w:val="18"/>
          <w:szCs w:val="18"/>
          <w:color w:val="auto"/>
        </w:rPr>
        <w:t>. The authorized, issued and outstanding share capital of the Company is as set forth in the Registration Statement and the Prospectus (other than for subsequent issuances, if any, pursuant to employee benefit plans, or upon the exercise of outstanding options or warrants, in each case described in the Registration Statement and the Prospectus). The Common Shares (including the Placement Shares) conform in all material respects to the description thereof contained in the Prospectus. All of the issued and outstanding Common Shares have been duly authorized and validly issued, are fully paid and nonassessable and have been issued in compliance with all U.S. and Canadian federal, state and provincial securities laws. None of the outstanding Common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or the Subsidiary other than those described in the Registration Statement and the Prospectus. The descriptions of the Company’s share option, share bonus and other share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93" w:lineRule="exact"/>
        <w:rPr>
          <w:rFonts w:ascii="Times New Roman" w:cs="Times New Roman" w:eastAsia="Times New Roman" w:hAnsi="Times New Roman"/>
          <w:sz w:val="18"/>
          <w:szCs w:val="18"/>
          <w:color w:val="auto"/>
        </w:rPr>
      </w:pPr>
    </w:p>
    <w:p>
      <w:pPr>
        <w:jc w:val="both"/>
        <w:ind w:left="1340" w:right="79" w:hanging="642"/>
        <w:spacing w:after="0" w:line="256"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Exchange, and the Company has taken no action designed to, or likely to have the effect of, terminating the registration of the Common Shares under the Exchange Act or delisting the Common Shares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the Subsidiary is in violation of its articles or by-laws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jc w:val="both"/>
        <w:ind w:left="1340" w:right="59"/>
        <w:spacing w:after="0" w:line="251" w:lineRule="auto"/>
        <w:rPr>
          <w:sz w:val="20"/>
          <w:szCs w:val="20"/>
          <w:color w:val="auto"/>
        </w:rPr>
      </w:pPr>
      <w:r>
        <w:rPr>
          <w:rFonts w:ascii="Times New Roman" w:cs="Times New Roman" w:eastAsia="Times New Roman" w:hAnsi="Times New Roman"/>
          <w:sz w:val="18"/>
          <w:szCs w:val="18"/>
          <w:color w:val="auto"/>
        </w:rPr>
        <w:t>any pledge agreement, security agreement, mortgage or other instrument or agreement evidencing, guaranteeing, securing or relating to indebtedness) to which the Company or the Subsidiary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u w:val="single" w:color="auto"/>
          <w:color w:val="auto"/>
        </w:rPr>
        <w:t>Existing Instrument</w:t>
      </w:r>
      <w:r>
        <w:rPr>
          <w:rFonts w:ascii="Times New Roman" w:cs="Times New Roman" w:eastAsia="Times New Roman" w:hAnsi="Times New Roman"/>
          <w:sz w:val="18"/>
          <w:szCs w:val="18"/>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Placement Shares (including the use of proceeds from the sale of the Placement Shares as described in the Registration Statement and the Prospectus under the caption “Use of Proceeds”) (i) have been duly authorized by all necessary corporate action and will not result in any violation of the provisions of the articles or by-laws or similar organizational documents, as applicable, of the Company or the Subsidiary (ii) will not conflict with or constitute a breach of, or Default or a Debt Repayment Triggering Event (as defined below) under, or result in the creation or imposition of any lien, charge or encumbrance upon any property or assets of the Company or the Subsidiary pursuant to, or require the consent of any other party to, any Existing Instrument and (iii) will not result in any violation of any law, administrative regulation or administrative or court decree applicable to the Company or the Subsidiary, except in the case of (ii) and</w:t>
      </w:r>
    </w:p>
    <w:p>
      <w:pPr>
        <w:spacing w:after="0" w:line="11" w:lineRule="exact"/>
        <w:rPr>
          <w:sz w:val="20"/>
          <w:szCs w:val="20"/>
          <w:color w:val="auto"/>
        </w:rPr>
      </w:pPr>
    </w:p>
    <w:p>
      <w:pPr>
        <w:jc w:val="both"/>
        <w:ind w:left="1340" w:right="59"/>
        <w:spacing w:after="0" w:line="251" w:lineRule="auto"/>
        <w:rPr>
          <w:sz w:val="20"/>
          <w:szCs w:val="20"/>
          <w:color w:val="auto"/>
        </w:rPr>
      </w:pPr>
      <w:r>
        <w:rPr>
          <w:rFonts w:ascii="Times New Roman" w:cs="Times New Roman" w:eastAsia="Times New Roman" w:hAnsi="Times New Roman"/>
          <w:sz w:val="18"/>
          <w:szCs w:val="18"/>
          <w:color w:val="auto"/>
        </w:rPr>
        <w:t>(iii)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8"/>
          <w:szCs w:val="18"/>
          <w:b w:val="1"/>
          <w:bCs w:val="1"/>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Repayment Triggering Event</w:t>
      </w:r>
      <w:r>
        <w:rPr>
          <w:rFonts w:ascii="Times New Roman" w:cs="Times New Roman" w:eastAsia="Times New Roman" w:hAnsi="Times New Roman"/>
          <w:sz w:val="18"/>
          <w:szCs w:val="18"/>
          <w:color w:val="auto"/>
        </w:rPr>
        <w:t>” means any event or condition which gives, or with the giving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lapse of time would give, the holder of any note, debenture or other evidence of indebtedness (or any person acting on such holder’s behalf) the right to require the repurchase, redemption or repayment of all or a portion of such indebtedness by the Company or the Subsidiary.</w:t>
      </w:r>
    </w:p>
    <w:p>
      <w:pPr>
        <w:spacing w:after="0" w:line="192" w:lineRule="exact"/>
        <w:rPr>
          <w:sz w:val="20"/>
          <w:szCs w:val="20"/>
          <w:color w:val="auto"/>
        </w:rPr>
      </w:pPr>
    </w:p>
    <w:p>
      <w:pPr>
        <w:jc w:val="both"/>
        <w:ind w:left="1340" w:right="79" w:hanging="642"/>
        <w:spacing w:after="0" w:line="255" w:lineRule="auto"/>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Prospectus, there is no action, suit, proceeding, inquiry or investigation brought by or before any legal or governmental entity now pending or, to the Company’s knowledge, threatened, against or affecting the Company or the Subsidiary, which would reasonably be expected, individually or in the aggregate, to result in a Material Adverse Change. No material labor dispute with the employees of the Company or the Subsidiary, or with the employees of any principal supplier, manufacturer, customer or contractor of the Company, exists or, to the Company’s knowledge, is threatened or imminent.</w:t>
      </w:r>
    </w:p>
    <w:p>
      <w:pPr>
        <w:spacing w:after="0" w:line="188"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the Subsidiary own, or have obtained valid and enforceable licenses, if any, for, the inventions,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both"/>
        <w:ind w:left="1340" w:right="59"/>
        <w:spacing w:after="0" w:line="261" w:lineRule="auto"/>
        <w:rPr>
          <w:sz w:val="20"/>
          <w:szCs w:val="20"/>
          <w:color w:val="auto"/>
        </w:rPr>
      </w:pPr>
      <w:r>
        <w:rPr>
          <w:rFonts w:ascii="Times New Roman" w:cs="Times New Roman" w:eastAsia="Times New Roman" w:hAnsi="Times New Roman"/>
          <w:sz w:val="18"/>
          <w:szCs w:val="18"/>
          <w:color w:val="auto"/>
        </w:rPr>
        <w:t>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w:t>
      </w:r>
    </w:p>
    <w:p>
      <w:pPr>
        <w:spacing w:after="0" w:line="176" w:lineRule="exact"/>
        <w:rPr>
          <w:sz w:val="20"/>
          <w:szCs w:val="20"/>
          <w:color w:val="auto"/>
        </w:rPr>
      </w:pPr>
    </w:p>
    <w:p>
      <w:pPr>
        <w:jc w:val="both"/>
        <w:ind w:left="1340" w:right="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except where the failure to have such Intellectual Property would not reasonably be expected to result in, individually or in the aggregate, a Material Adverse Change. To the Company’s knowledge: (i) there are no third parties who have rights to any Intellectual Property that is disclosed in the Registration Statement and the Prospectus;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material Intellectual Property, and the Company is unaware of any facts which would form a reasonable basis for any such action, suit, proceeding or claim; or (C) asserting that the Company or the Subsidiary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product candidates described in the Registration Statement and the Prospectus as under development by the Company or the Subsidiary fall within the scope of the claims of one or more patents owned by, or exclusively licensed to, the Company or the Subsidiary.</w:t>
      </w:r>
    </w:p>
    <w:p>
      <w:pPr>
        <w:spacing w:after="0" w:line="197" w:lineRule="exact"/>
        <w:rPr>
          <w:sz w:val="20"/>
          <w:szCs w:val="20"/>
          <w:color w:val="auto"/>
        </w:rPr>
      </w:pPr>
    </w:p>
    <w:p>
      <w:pPr>
        <w:jc w:val="both"/>
        <w:ind w:left="1340" w:right="79" w:hanging="642"/>
        <w:spacing w:after="0" w:line="252" w:lineRule="auto"/>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the Subsidiary as currently conducted, free and clear of all material bugs, errors, defects, Trojan horses, time bombs, malware and other corruptants. The Company and the Subsidiary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jc w:val="both"/>
        <w:ind w:left="1340" w:right="59"/>
        <w:spacing w:after="0" w:line="254" w:lineRule="auto"/>
        <w:rPr>
          <w:sz w:val="20"/>
          <w:szCs w:val="20"/>
          <w:color w:val="auto"/>
        </w:rPr>
      </w:pPr>
      <w:r>
        <w:rPr>
          <w:rFonts w:ascii="Times New Roman" w:cs="Times New Roman" w:eastAsia="Times New Roman" w:hAnsi="Times New Roman"/>
          <w:sz w:val="18"/>
          <w:szCs w:val="18"/>
          <w:color w:val="auto"/>
        </w:rPr>
        <w:t>Economic and Clinical Health Act (collectively, “</w:t>
      </w:r>
      <w:r>
        <w:rPr>
          <w:rFonts w:ascii="Times New Roman" w:cs="Times New Roman" w:eastAsia="Times New Roman" w:hAnsi="Times New Roman"/>
          <w:sz w:val="18"/>
          <w:szCs w:val="18"/>
          <w:b w:val="1"/>
          <w:bCs w:val="1"/>
          <w:u w:val="single" w:color="auto"/>
          <w:color w:val="auto"/>
        </w:rPr>
        <w:t>HIPAA</w:t>
      </w:r>
      <w:r>
        <w:rPr>
          <w:rFonts w:ascii="Times New Roman" w:cs="Times New Roman" w:eastAsia="Times New Roman" w:hAnsi="Times New Roman"/>
          <w:sz w:val="18"/>
          <w:szCs w:val="18"/>
          <w:color w:val="auto"/>
        </w:rPr>
        <w:t>”); and (v) any other piece of information that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the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9" w:lineRule="exact"/>
        <w:rPr>
          <w:sz w:val="20"/>
          <w:szCs w:val="20"/>
          <w:color w:val="auto"/>
        </w:rPr>
      </w:pPr>
    </w:p>
    <w:p>
      <w:pPr>
        <w:jc w:val="both"/>
        <w:ind w:left="1340" w:right="79" w:hanging="642"/>
        <w:spacing w:after="0" w:line="252" w:lineRule="auto"/>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The Company and the Subsidiary have complied and are presently in compliance, in all material respects, with all applicable state and federal data privacy and security laws and regulations, including without limitation HIPAA, and the Company and the Subsidiary have taken commercially reasonable actions to prepare to comply with, and since May 25, 2018, have been and currently are in compliance with, the European Union General Data Protection Regulation (“</w:t>
      </w:r>
      <w:r>
        <w:rPr>
          <w:rFonts w:ascii="Times New Roman" w:cs="Times New Roman" w:eastAsia="Times New Roman" w:hAnsi="Times New Roman"/>
          <w:sz w:val="18"/>
          <w:szCs w:val="18"/>
          <w:b w:val="1"/>
          <w:bCs w:val="1"/>
          <w:u w:val="single" w:color="auto"/>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u w:val="single" w:color="auto"/>
          <w:color w:val="auto"/>
        </w:rPr>
        <w:t>Privacy Laws</w:t>
      </w:r>
      <w:r>
        <w:rPr>
          <w:rFonts w:ascii="Times New Roman" w:cs="Times New Roman" w:eastAsia="Times New Roman" w:hAnsi="Times New Roman"/>
          <w:sz w:val="18"/>
          <w:szCs w:val="18"/>
          <w:color w:val="auto"/>
        </w:rPr>
        <w:t>”). To ensure compliance with the Privacy Laws, the Company and the Subsidiary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u w:val="single" w:color="auto"/>
          <w:color w:val="auto"/>
        </w:rPr>
        <w:t>Policies</w:t>
      </w:r>
      <w:r>
        <w:rPr>
          <w:rFonts w:ascii="Times New Roman" w:cs="Times New Roman" w:eastAsia="Times New Roman" w:hAnsi="Times New Roman"/>
          <w:sz w:val="18"/>
          <w:szCs w:val="18"/>
          <w:color w:val="auto"/>
        </w:rPr>
        <w:t>”). The Company and the Subsidiary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the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0" w:lineRule="exact"/>
        <w:rPr>
          <w:rFonts w:ascii="Times New Roman" w:cs="Times New Roman" w:eastAsia="Times New Roman" w:hAnsi="Times New Roman"/>
          <w:sz w:val="18"/>
          <w:szCs w:val="18"/>
          <w:color w:val="auto"/>
        </w:rPr>
      </w:pPr>
    </w:p>
    <w:p>
      <w:pPr>
        <w:jc w:val="both"/>
        <w:ind w:left="1340" w:right="79" w:hanging="642"/>
        <w:spacing w:after="0" w:line="255" w:lineRule="auto"/>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Except as otherwise disclosed in the Prospectus, the Company and the Subsidiary possess such valid and current certificates, authorizations or permits required by state, federal, provincial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where the failure to so possess would not reasonably be expected, individually or in the aggregate, to result in a Material Adverse Change. Neither the Company nor the Subsidiary is in violation of, or in default under, any of the Permits or has received any notice of proceedings relating to the revocation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6" w:name="page77"/>
    <w:bookmarkEnd w:id="76"/>
    <w:p>
      <w:pPr>
        <w:ind w:left="1340" w:right="79"/>
        <w:spacing w:after="0" w:line="282" w:lineRule="auto"/>
        <w:rPr>
          <w:sz w:val="20"/>
          <w:szCs w:val="20"/>
          <w:color w:val="auto"/>
        </w:rPr>
      </w:pPr>
      <w:r>
        <w:rPr>
          <w:rFonts w:ascii="Times New Roman" w:cs="Times New Roman" w:eastAsia="Times New Roman" w:hAnsi="Times New Roman"/>
          <w:sz w:val="18"/>
          <w:szCs w:val="18"/>
          <w:color w:val="auto"/>
        </w:rPr>
        <w:t>modification of, or non-compliance with, any such certificate, authorization or permit, except as would not reasonably be expected, individually or in the aggregate, to result in a Material Adverse Change.</w:t>
      </w:r>
    </w:p>
    <w:p>
      <w:pPr>
        <w:spacing w:after="0" w:line="162" w:lineRule="exact"/>
        <w:rPr>
          <w:sz w:val="20"/>
          <w:szCs w:val="20"/>
          <w:color w:val="auto"/>
        </w:rPr>
      </w:pPr>
    </w:p>
    <w:p>
      <w:pPr>
        <w:jc w:val="both"/>
        <w:ind w:left="1340" w:right="79" w:hanging="642"/>
        <w:spacing w:after="0" w:line="257" w:lineRule="auto"/>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Except as otherwise disclosed in the Prospectus, the Company and the Subsidiary have good and marketable title to all of the real and personal property or, in Québec, good and valid title to all real property and all personal property and other assets reflected as owned in the financial</w:t>
      </w:r>
    </w:p>
    <w:p>
      <w:pPr>
        <w:spacing w:after="0" w:line="1" w:lineRule="exact"/>
        <w:rPr>
          <w:rFonts w:ascii="Times New Roman" w:cs="Times New Roman" w:eastAsia="Times New Roman" w:hAnsi="Times New Roman"/>
          <w:sz w:val="18"/>
          <w:szCs w:val="18"/>
          <w:color w:val="auto"/>
        </w:rPr>
      </w:pPr>
    </w:p>
    <w:p>
      <w:pPr>
        <w:jc w:val="both"/>
        <w:ind w:left="1340" w:right="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referred to in Section‎ 6(n) above (or elsewhere in the Registration Statement or the Prospectus, in each case free and clear of any security interests, mortgages, liens, encumbrances, equities, adverse claims and other defects, except where the failure to so possess would not reasonably be expected, individually or in the aggregate, to result in a Material Adverse Change. The real property, improvements, equipment and personal property held under lease by the Company or the Subsidiary are held under valid and enforceable leases, with such exceptions as are not material and do not materially interfere with the use made or proposed to be made of such real property, improvements, equipment or personal property by the Company or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-987425</wp:posOffset>
            </wp:positionV>
            <wp:extent cx="5956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174" w:lineRule="exact"/>
        <w:rPr>
          <w:sz w:val="20"/>
          <w:szCs w:val="20"/>
          <w:color w:val="auto"/>
        </w:rPr>
      </w:pPr>
    </w:p>
    <w:p>
      <w:pPr>
        <w:jc w:val="both"/>
        <w:ind w:left="1340" w:right="79" w:hanging="642"/>
        <w:spacing w:after="0" w:line="253"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The Company and the Subsidiary have filed all U.S. and Canadian federal and material state, provincial, municipal and local and any other foreign tax returns that are required to be filed or have properly requested extensions thereof and have paid all taxes required to be paid by any of them and, if due and payable, any related or similar assessment, fine or penalty levied against any of them except as may be contested in good faith and by appropriate proceedings and except where the failure to file or pay would not reasonably be expected, individually or in the aggregate, to result in a Material Adverse Change. The Company has made adequate charges, accruals and reserves in the</w:t>
      </w:r>
    </w:p>
    <w:p>
      <w:pPr>
        <w:spacing w:after="0" w:line="2" w:lineRule="exact"/>
        <w:rPr>
          <w:rFonts w:ascii="Times New Roman" w:cs="Times New Roman" w:eastAsia="Times New Roman" w:hAnsi="Times New Roman"/>
          <w:sz w:val="18"/>
          <w:szCs w:val="18"/>
          <w:color w:val="auto"/>
        </w:rPr>
      </w:pPr>
    </w:p>
    <w:p>
      <w:pPr>
        <w:jc w:val="both"/>
        <w:ind w:left="1340" w:right="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financial statements referred to in Section‎ 6(n) above in respect of all U.S. and Canadian federal, state, provincial, municipal, local and foreign taxes for all periods as to which the tax liability of the Company or the Subsidiary has not been finally determined, except where the failure to make such adequate charge, accrual or reserve would not reasonably be expected, individually or in the aggregate, to result in a Material Adverse Change.</w:t>
      </w:r>
    </w:p>
    <w:p>
      <w:pPr>
        <w:spacing w:after="0" w:line="186"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Prospectus, each of the Company and the Subsidiary are insured by recognized, financially sound and reputable institutions with policies in such amounts and with such deductibles and covering such risks as are generally deemed adequate and customary for their businesses including, but not limited to, policies covering material real and personal property owned or leased by the Company and the Subsidiary against theft,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-2091690</wp:posOffset>
            </wp:positionV>
            <wp:extent cx="5784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jc w:val="both"/>
        <w:ind w:left="1340" w:right="59"/>
        <w:spacing w:after="0" w:line="255" w:lineRule="auto"/>
        <w:rPr>
          <w:sz w:val="20"/>
          <w:szCs w:val="20"/>
          <w:color w:val="auto"/>
        </w:rPr>
      </w:pPr>
      <w:r>
        <w:rPr>
          <w:rFonts w:ascii="Times New Roman" w:cs="Times New Roman" w:eastAsia="Times New Roman" w:hAnsi="Times New Roman"/>
          <w:sz w:val="18"/>
          <w:szCs w:val="18"/>
          <w:color w:val="auto"/>
        </w:rPr>
        <w:t>destruction, acts of vandalism and earthquakes and policies covering the Company and the Subsidiary for product liability claims and clinical trial liability claims. The Company has no reason to believe that it or the Subsidiary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result in a Material Adverse Change. Neither the Company nor the Subsidiary has been denied any insurance coverage which it has sought or for which it has applied.</w:t>
      </w:r>
    </w:p>
    <w:p>
      <w:pPr>
        <w:spacing w:after="0" w:line="189" w:lineRule="exact"/>
        <w:rPr>
          <w:sz w:val="20"/>
          <w:szCs w:val="20"/>
          <w:color w:val="auto"/>
        </w:rPr>
      </w:pPr>
    </w:p>
    <w:p>
      <w:pPr>
        <w:jc w:val="both"/>
        <w:ind w:left="1340" w:right="79" w:hanging="642"/>
        <w:spacing w:after="0" w:line="255"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the Subsidiary has taken, directly or indirectly, and excluding any activities by the Agent,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8"/>
          <w:szCs w:val="18"/>
          <w:b w:val="1"/>
          <w:bCs w:val="1"/>
          <w:u w:val="single" w:color="auto"/>
          <w:color w:val="auto"/>
        </w:rPr>
        <w:t>Regulation M</w:t>
      </w:r>
      <w:r>
        <w:rPr>
          <w:rFonts w:ascii="Times New Roman" w:cs="Times New Roman" w:eastAsia="Times New Roman" w:hAnsi="Times New Roman"/>
          <w:sz w:val="18"/>
          <w:szCs w:val="18"/>
          <w:color w:val="auto"/>
        </w:rPr>
        <w:t>”)) with respect to the Common Shares, whether to facilitate the sale or resale of the Placement Shares or otherwise, and has taken no action which would directly or indirectly violate Regulation M.</w:t>
      </w:r>
    </w:p>
    <w:p>
      <w:pPr>
        <w:spacing w:after="0" w:line="188"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the Subsidiary or any other person required to be described in the Registration Statement or the Prospectus which have not been described as required.</w:t>
      </w:r>
    </w:p>
    <w:p>
      <w:pPr>
        <w:spacing w:after="0" w:line="175"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w:t>
      </w:r>
    </w:p>
    <w:p>
      <w:pPr>
        <w:spacing w:after="0" w:line="161"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The Company was not classified as a passive foreign investment company within the meaning of Section 1297 of the Code (as defined below) for the taxable year ended December 31, 2025.</w:t>
      </w:r>
    </w:p>
    <w:p>
      <w:pPr>
        <w:spacing w:after="0" w:line="161" w:lineRule="exact"/>
        <w:rPr>
          <w:rFonts w:ascii="Times New Roman" w:cs="Times New Roman" w:eastAsia="Times New Roman" w:hAnsi="Times New Roman"/>
          <w:sz w:val="18"/>
          <w:szCs w:val="18"/>
          <w:color w:val="auto"/>
        </w:rPr>
      </w:pPr>
    </w:p>
    <w:p>
      <w:pPr>
        <w:jc w:val="both"/>
        <w:ind w:left="1340" w:right="79" w:hanging="642"/>
        <w:spacing w:after="0" w:line="254"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an “officer” (within the meaning of Rule 16a-1(f) under the Exchange Act) or director of the Company that it was false or misleading.</w:t>
      </w:r>
    </w:p>
    <w:p>
      <w:pPr>
        <w:spacing w:after="0" w:line="188"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Agent or to counsel for the Agent by the Company, and, to the Company’s knowledge, its officers and directors, its counsel and the holders of any securities (debt or equity) or options to acquire any securities of the Company in connection with the offering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jc w:val="both"/>
        <w:ind w:left="1340" w:right="59"/>
        <w:spacing w:after="0" w:line="256" w:lineRule="auto"/>
        <w:rPr>
          <w:sz w:val="20"/>
          <w:szCs w:val="20"/>
          <w:color w:val="auto"/>
        </w:rPr>
      </w:pPr>
      <w:r>
        <w:rPr>
          <w:rFonts w:ascii="Times New Roman" w:cs="Times New Roman" w:eastAsia="Times New Roman" w:hAnsi="Times New Roman"/>
          <w:sz w:val="18"/>
          <w:szCs w:val="18"/>
          <w:color w:val="auto"/>
        </w:rPr>
        <w:t>Placement Shares is true, complete and correct in all material respects and compliant with Financial Industry Regulatory Authority, Inc.’s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or NASD Conduct Rules is true, complete and correct in all material respects. The Company qualifies as an “experienced issuer” (within the meaning of FINRA Conduct Rule 5110(j)(6)) for purposes of the exemption from filing under FINRA Conduct Rule 5110(h)(1)(C)..</w:t>
      </w:r>
    </w:p>
    <w:p>
      <w:pPr>
        <w:spacing w:after="0" w:line="187" w:lineRule="exact"/>
        <w:rPr>
          <w:sz w:val="20"/>
          <w:szCs w:val="20"/>
          <w:color w:val="auto"/>
        </w:rPr>
      </w:pPr>
    </w:p>
    <w:p>
      <w:pPr>
        <w:jc w:val="both"/>
        <w:ind w:left="1340" w:right="79" w:hanging="642"/>
        <w:spacing w:after="0" w:line="258"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Except as otherwise disclosed in the Prospectus, neither the Company nor the Subsidiary nor, to the Company’s knowledge, any employee or agent of the Company or the Subsidiary, has made any contribution or other payment to any official of, or candidate for, any federal, state, provincial or foreign office in violation of any law or of the character required to be disclosed in the Registration Statement and the Prospectus.</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described in the Prospectus and except as would not reasonably be expected, individually or in the aggregate, to result in a Material Adverse Change; (i) neither the Company nor the Subsidiary is in violation of any federal, state, provincial,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the Company and the Subsidiary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the Subsidiary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the Subsidiary relating to Hazardous Materials or any Environmental Laws.</w:t>
      </w:r>
    </w:p>
    <w:p>
      <w:pPr>
        <w:spacing w:after="0" w:line="189"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and Pension Compliance</w:t>
      </w:r>
      <w:r>
        <w:rPr>
          <w:rFonts w:ascii="Times New Roman" w:cs="Times New Roman" w:eastAsia="Times New Roman" w:hAnsi="Times New Roman"/>
          <w:sz w:val="18"/>
          <w:szCs w:val="18"/>
          <w:color w:val="auto"/>
        </w:rPr>
        <w:t>. Except as otherwise disclosed in the Prospectus, the Company and the Subsidiary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established or maintained by the Company, the Subsidiary or their “ERISA Affiliates” (as defined below) are in compliance in all material respects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9" w:name="page80"/>
    <w:bookmarkEnd w:id="79"/>
    <w:p>
      <w:pPr>
        <w:jc w:val="both"/>
        <w:ind w:left="1340" w:right="59"/>
        <w:spacing w:after="0" w:line="252" w:lineRule="auto"/>
        <w:rPr>
          <w:sz w:val="20"/>
          <w:szCs w:val="20"/>
          <w:color w:val="auto"/>
        </w:rPr>
      </w:pPr>
      <w:r>
        <w:rPr>
          <w:rFonts w:ascii="Times New Roman" w:cs="Times New Roman" w:eastAsia="Times New Roman" w:hAnsi="Times New Roman"/>
          <w:sz w:val="18"/>
          <w:szCs w:val="18"/>
          <w:color w:val="auto"/>
        </w:rPr>
        <w:t>ERISA. “</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with respect to the Company or the Subsidiary,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of which the Company or the Subsidiary is a member. No “reportable event” (as defined under ERISA) has occurred or is reasonably expected to occur with respect to any “employee benefit plan” established or maintained by the Company, the Subsidiary or any of their ERISA Affiliates. No “employee benefit plan” established or maintained by the Company, the Subsidiary or any of their ERISA Affiliates, if such “employee benefit plan” were terminated, would have any “amount of unfunded benefit liabilities” (as defined under ERISA). Neither the Company, the Subsidiary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the Subsidiary or any of their ERISA Affiliates that is intended to be qualified under Section 401(a) of the Code is so qualified and nothing has occurred, whether by action or failure to act, which would cause the loss of such qualification. Neither the Company nor the Subsidiary has any actual or contingent liability or obligation to or in respect of any employee benefit plan with a “defined benefit provision” (within the meaning of subsection 147.1(1) of the Income Tax Act (Canada)), or any other plan that is required to be registered pursuant to applicable pension benefit standards legislation of provincial or federal jurisdiction in Canada, including without limitation the Supplemental Pension Plans Act (Québec).</w:t>
      </w:r>
    </w:p>
    <w:p>
      <w:pPr>
        <w:spacing w:after="0" w:line="195" w:lineRule="exact"/>
        <w:rPr>
          <w:sz w:val="20"/>
          <w:szCs w:val="20"/>
          <w:color w:val="auto"/>
        </w:rPr>
      </w:pPr>
    </w:p>
    <w:p>
      <w:pPr>
        <w:jc w:val="both"/>
        <w:ind w:left="1340" w:right="79" w:hanging="642"/>
        <w:spacing w:after="0" w:line="266"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Prospectus, the Subsidiary is not prohibited or restricted, directly or indirectly, from paying dividends to the Company, or from making any other distribution with respect to the Subsidiary’s equity securities or from repaying to the Company any amounts that may from time to time become due under any loans or advances to the Subsidiary from the Company or from transferring any property or assets to the Company.</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Neither the Company nor the Subsidiary nor, to the Company’s knowledge, any director, officer, employee, agent, affiliate or other person acting on behalf of the Company or the Subsidiary, has (i) used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0" w:name="page81"/>
    <w:bookmarkEnd w:id="80"/>
    <w:p>
      <w:pPr>
        <w:jc w:val="both"/>
        <w:ind w:left="1340" w:right="59"/>
        <w:spacing w:after="0" w:line="253" w:lineRule="auto"/>
        <w:rPr>
          <w:sz w:val="20"/>
          <w:szCs w:val="20"/>
          <w:color w:val="auto"/>
        </w:rPr>
      </w:pPr>
      <w:r>
        <w:rPr>
          <w:rFonts w:ascii="Times New Roman" w:cs="Times New Roman" w:eastAsia="Times New Roman" w:hAnsi="Times New Roman"/>
          <w:sz w:val="18"/>
          <w:szCs w:val="18"/>
          <w:color w:val="auto"/>
        </w:rPr>
        <w:t>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the Corruption of Foreign Public Officials Act (Canada), the UK Bribery Act 2010, or any applicable anti-corruption laws, rules, or regulation of any other jurisdiction in which the Company or the Subsidiary conducts business, or (iv) made any other unlawful bribe, rebate, payoff, influence payment, kickback, or other unlawful payment to any person. The Company and the Subsidiary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90" w:lineRule="exact"/>
        <w:rPr>
          <w:sz w:val="20"/>
          <w:szCs w:val="20"/>
          <w:color w:val="auto"/>
        </w:rPr>
      </w:pPr>
    </w:p>
    <w:p>
      <w:pPr>
        <w:jc w:val="both"/>
        <w:ind w:left="1340" w:right="79" w:hanging="642"/>
        <w:spacing w:after="0" w:line="261"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reasonably believes to be reliable and accurate in all material respects. To the extent required, the Company has obtained the written consent to the use of such data from such sources.</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the Subsidiary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the Subsidiary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the Subsidiary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left="1340" w:right="79" w:hanging="642"/>
        <w:spacing w:after="0" w:line="254"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the Subsidiary have no knowledge of any other studies the results of which are inconsistent with, or otherwise call into question, the results described or referred to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1" w:name="page82"/>
    <w:bookmarkEnd w:id="81"/>
    <w:p>
      <w:pPr>
        <w:jc w:val="both"/>
        <w:ind w:left="1340" w:right="59"/>
        <w:spacing w:after="0" w:line="253" w:lineRule="auto"/>
        <w:rPr>
          <w:sz w:val="20"/>
          <w:szCs w:val="20"/>
          <w:color w:val="auto"/>
        </w:rPr>
      </w:pPr>
      <w:r>
        <w:rPr>
          <w:rFonts w:ascii="Times New Roman" w:cs="Times New Roman" w:eastAsia="Times New Roman" w:hAnsi="Times New Roman"/>
          <w:sz w:val="18"/>
          <w:szCs w:val="18"/>
          <w:color w:val="auto"/>
        </w:rPr>
        <w:t>Statement or the Prospectus; the Company and the Subsidiary have made all such filings and obtained all such approvals as may be required for the conduct of its business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u w:val="single" w:color="auto"/>
          <w:color w:val="auto"/>
        </w:rPr>
        <w:t>Regulatory Agencies</w:t>
      </w:r>
      <w:r>
        <w:rPr>
          <w:rFonts w:ascii="Times New Roman" w:cs="Times New Roman" w:eastAsia="Times New Roman" w:hAnsi="Times New Roman"/>
          <w:sz w:val="18"/>
          <w:szCs w:val="18"/>
          <w:color w:val="auto"/>
        </w:rPr>
        <w:t>”); neither the Company nor the Subsidiary has received any notice of, or correspondence from, any Regulatory Agency requiring the termination, suspension or modification of any clinical trials that are described or referred to in the Registration Statement or the Prospectus; and the Company and the Subsidiary have each operated and currently are in compliance in all material respects with all applicable rules, regulations and policies of the Regulatory Agencies.</w:t>
      </w:r>
    </w:p>
    <w:p>
      <w:pPr>
        <w:spacing w:after="0" w:line="194" w:lineRule="exact"/>
        <w:rPr>
          <w:sz w:val="20"/>
          <w:szCs w:val="20"/>
          <w:color w:val="auto"/>
        </w:rPr>
      </w:pPr>
    </w:p>
    <w:p>
      <w:pPr>
        <w:ind w:left="1340" w:hanging="642"/>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80" w:right="79" w:hanging="512"/>
        <w:spacing w:after="0" w:line="253" w:lineRule="auto"/>
        <w:tabs>
          <w:tab w:leader="none" w:pos="1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Subsidiary, nor any director, officer or employee thereof, nor, to the Company’s knowledge, any agent, affiliate, representative or other person acting on behalf of the Company or the Subsidiary,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a Person that is: (i) the subject of any economic, financial or trade sanctions administered or enforced by the U.S. Department of Treasury’s Office of Foreign Assets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u w:val="single" w:color="auto"/>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u w:val="single" w:color="auto"/>
          <w:color w:val="auto"/>
        </w:rPr>
        <w:t>EU</w:t>
      </w:r>
      <w:r>
        <w:rPr>
          <w:rFonts w:ascii="Times New Roman" w:cs="Times New Roman" w:eastAsia="Times New Roman" w:hAnsi="Times New Roman"/>
          <w:sz w:val="18"/>
          <w:szCs w:val="18"/>
          <w:color w:val="auto"/>
        </w:rPr>
        <w:t>”), His Majesty’s Treasury (“</w:t>
      </w:r>
      <w:r>
        <w:rPr>
          <w:rFonts w:ascii="Times New Roman" w:cs="Times New Roman" w:eastAsia="Times New Roman" w:hAnsi="Times New Roman"/>
          <w:sz w:val="18"/>
          <w:szCs w:val="18"/>
          <w:b w:val="1"/>
          <w:bCs w:val="1"/>
          <w:u w:val="single" w:color="auto"/>
          <w:color w:val="auto"/>
        </w:rPr>
        <w:t>HMT</w:t>
      </w:r>
      <w:r>
        <w:rPr>
          <w:rFonts w:ascii="Times New Roman" w:cs="Times New Roman" w:eastAsia="Times New Roman" w:hAnsi="Times New Roman"/>
          <w:sz w:val="18"/>
          <w:szCs w:val="18"/>
          <w:color w:val="auto"/>
        </w:rPr>
        <w:t>”), Global Affairs Canada, the Swiss Secretariat of Economic Affairs,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a U.S. government or Canadian government embargo (including, without limitation, the so-called Donetsk People’s Republic, the so-called Luhansk People’s Republic, the Crimea Region of Ukraine, the non-government controlled areas of the Zaporizhzhia and Kherson Regions, Cuba, Iran, North Korea and Syria).</w:t>
      </w:r>
    </w:p>
    <w:p>
      <w:pPr>
        <w:spacing w:after="0" w:line="187" w:lineRule="exact"/>
        <w:rPr>
          <w:rFonts w:ascii="Times New Roman" w:cs="Times New Roman" w:eastAsia="Times New Roman" w:hAnsi="Times New Roman"/>
          <w:sz w:val="18"/>
          <w:szCs w:val="18"/>
          <w:color w:val="auto"/>
        </w:rPr>
      </w:pPr>
    </w:p>
    <w:p>
      <w:pPr>
        <w:jc w:val="both"/>
        <w:ind w:left="1980" w:right="79" w:hanging="512"/>
        <w:spacing w:after="0" w:line="254" w:lineRule="auto"/>
        <w:tabs>
          <w:tab w:leader="none" w:pos="1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the Subsidiary, or any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or Canadian government embargo; or (ii) in any other manner that will result in a violation of Sanctions by any Person (including any Person participating in the offering, whether as underwriter, advisor, investor or otherwise).</w:t>
      </w:r>
    </w:p>
    <w:p>
      <w:pPr>
        <w:spacing w:after="0" w:line="191" w:lineRule="exact"/>
        <w:rPr>
          <w:rFonts w:ascii="Times New Roman" w:cs="Times New Roman" w:eastAsia="Times New Roman" w:hAnsi="Times New Roman"/>
          <w:sz w:val="18"/>
          <w:szCs w:val="18"/>
          <w:color w:val="auto"/>
        </w:rPr>
      </w:pPr>
    </w:p>
    <w:p>
      <w:pPr>
        <w:jc w:val="both"/>
        <w:ind w:left="1980" w:right="79" w:hanging="512"/>
        <w:spacing w:after="0" w:line="261" w:lineRule="auto"/>
        <w:tabs>
          <w:tab w:leader="none" w:pos="1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Subsidiary have not knowingly engaged in, are not now knowingly engaged in, and will not engage in, any direct or indirect dealings or transactions with any Person that at the time of the dealing or transaction is or was the subject of Sanctions or any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ind w:left="1340" w:right="59"/>
        <w:spacing w:after="0" w:line="282" w:lineRule="auto"/>
        <w:rPr>
          <w:sz w:val="20"/>
          <w:szCs w:val="20"/>
          <w:color w:val="auto"/>
        </w:rPr>
      </w:pPr>
      <w:r>
        <w:rPr>
          <w:rFonts w:ascii="Times New Roman" w:cs="Times New Roman" w:eastAsia="Times New Roman" w:hAnsi="Times New Roman"/>
          <w:sz w:val="18"/>
          <w:szCs w:val="18"/>
          <w:color w:val="auto"/>
        </w:rPr>
        <w:t>or territory that, at the time of the dealing or transaction is or was the subject of a U.S. government embargo.</w:t>
      </w:r>
    </w:p>
    <w:p>
      <w:pPr>
        <w:spacing w:after="0" w:line="162" w:lineRule="exact"/>
        <w:rPr>
          <w:sz w:val="20"/>
          <w:szCs w:val="20"/>
          <w:color w:val="auto"/>
        </w:rPr>
      </w:pPr>
    </w:p>
    <w:p>
      <w:pPr>
        <w:jc w:val="both"/>
        <w:ind w:left="1340" w:right="79" w:hanging="642"/>
        <w:spacing w:after="0" w:line="252"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Each of the Company and the Subsidiary, and, to the Company’s knowledge, each of their affiliates and any director, officer, agent or employee of the Company has acted at all times in compliance with applicable Export and Import Laws (as defined below) applicable to the Company except, in each case, as would not reasonably be expected, individually or in the aggregate, to have a Material Adverse Change, and there are no claims, complaints, charges, investigations or proceedings pending or expected or, to the knowledge of the Company, threatened between the Company or the Subsidiary and any governmental authority under any Export or Import Laws. The term “Export and Import Laws”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97"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 of the Sarbanes-Oxley Act and the rules and regulations promulgated in connection therewith,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Reporting Issuer</w:t>
      </w:r>
      <w:r>
        <w:rPr>
          <w:rFonts w:ascii="Times New Roman" w:cs="Times New Roman" w:eastAsia="Times New Roman" w:hAnsi="Times New Roman"/>
          <w:sz w:val="18"/>
          <w:szCs w:val="18"/>
          <w:color w:val="auto"/>
        </w:rPr>
        <w:t xml:space="preserve">. The Company is a reporting issuer in the Province of Québec and is not on the list of defaulting reporting issuers maintained by the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(Québec) (“</w:t>
      </w:r>
      <w:r>
        <w:rPr>
          <w:rFonts w:ascii="Times New Roman" w:cs="Times New Roman" w:eastAsia="Times New Roman" w:hAnsi="Times New Roman"/>
          <w:sz w:val="18"/>
          <w:szCs w:val="18"/>
          <w:b w:val="1"/>
          <w:bCs w:val="1"/>
          <w:u w:val="single" w:color="auto"/>
          <w:color w:val="auto"/>
        </w:rPr>
        <w:t>AMF</w:t>
      </w:r>
      <w:r>
        <w:rPr>
          <w:rFonts w:ascii="Times New Roman" w:cs="Times New Roman" w:eastAsia="Times New Roman" w:hAnsi="Times New Roman"/>
          <w:sz w:val="18"/>
          <w:szCs w:val="18"/>
          <w:color w:val="auto"/>
        </w:rPr>
        <w:t>”). The Company has not filed any confidential material changes reports that remain confidential at the date hereof.</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54"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Québec Securities Laws</w:t>
      </w:r>
      <w:r>
        <w:rPr>
          <w:rFonts w:ascii="Times New Roman" w:cs="Times New Roman" w:eastAsia="Times New Roman" w:hAnsi="Times New Roman"/>
          <w:sz w:val="18"/>
          <w:szCs w:val="18"/>
          <w:color w:val="auto"/>
        </w:rPr>
        <w:t>. The Company has complied with the securities laws of the Province of Québec, including the rules and regulations made thereunder together with applicable published national and local instruments, policy statements, notices, blanket rulings and orders of the AMF, and all discretionary rulings and orders applicable to the Company, if any, of the Canadian securities commissions required to be complied with by the Company in order to sell the Placement Shares outside Canada as contemplated by this Agreement. To the Company’s knowledge, no order, ruling or decision of any court or any securities regulatory authority in Canada is in effect that restricts or ceases trades in securities of the Company.</w:t>
      </w:r>
    </w:p>
    <w:p>
      <w:pPr>
        <w:spacing w:after="0" w:line="189" w:lineRule="exact"/>
        <w:rPr>
          <w:rFonts w:ascii="Times New Roman" w:cs="Times New Roman" w:eastAsia="Times New Roman" w:hAnsi="Times New Roman"/>
          <w:sz w:val="18"/>
          <w:szCs w:val="18"/>
          <w:color w:val="auto"/>
        </w:rPr>
      </w:pPr>
    </w:p>
    <w:p>
      <w:pPr>
        <w:jc w:val="both"/>
        <w:ind w:left="1340" w:right="79" w:hanging="642"/>
        <w:spacing w:after="0" w:line="267"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 Order</w:t>
      </w:r>
      <w:r>
        <w:rPr>
          <w:rFonts w:ascii="Times New Roman" w:cs="Times New Roman" w:eastAsia="Times New Roman" w:hAnsi="Times New Roman"/>
          <w:sz w:val="18"/>
          <w:szCs w:val="18"/>
          <w:color w:val="auto"/>
        </w:rPr>
        <w:t xml:space="preserve">. The Company has obtained from the AMF an order under Section 12 of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(Québec) (the “</w:t>
      </w:r>
      <w:r>
        <w:rPr>
          <w:rFonts w:ascii="Times New Roman" w:cs="Times New Roman" w:eastAsia="Times New Roman" w:hAnsi="Times New Roman"/>
          <w:sz w:val="18"/>
          <w:szCs w:val="18"/>
          <w:b w:val="1"/>
          <w:bCs w:val="1"/>
          <w:color w:val="auto"/>
        </w:rPr>
        <w:t>Québec Securities Act</w:t>
      </w:r>
      <w:r>
        <w:rPr>
          <w:rFonts w:ascii="Times New Roman" w:cs="Times New Roman" w:eastAsia="Times New Roman" w:hAnsi="Times New Roman"/>
          <w:sz w:val="18"/>
          <w:szCs w:val="18"/>
          <w:color w:val="auto"/>
        </w:rPr>
        <w:t>”) allowing the sales thereunder of Common Shares to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outside the Province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jc w:val="both"/>
        <w:ind w:left="1340" w:right="79"/>
        <w:spacing w:after="0" w:line="266" w:lineRule="auto"/>
        <w:rPr>
          <w:sz w:val="20"/>
          <w:szCs w:val="20"/>
          <w:color w:val="auto"/>
        </w:rPr>
      </w:pPr>
      <w:r>
        <w:rPr>
          <w:rFonts w:ascii="Times New Roman" w:cs="Times New Roman" w:eastAsia="Times New Roman" w:hAnsi="Times New Roman"/>
          <w:sz w:val="18"/>
          <w:szCs w:val="18"/>
          <w:color w:val="auto"/>
        </w:rPr>
        <w:t>Québec, Canada. The Company will file such documents as may be required by the laws of the Province of Québec so that an order under Section 12 of the Québec Securities Act is in effect for so long as required for the distribution of the Placement Shares.</w:t>
      </w:r>
    </w:p>
    <w:p>
      <w:pPr>
        <w:spacing w:after="0" w:line="176" w:lineRule="exact"/>
        <w:rPr>
          <w:sz w:val="20"/>
          <w:szCs w:val="20"/>
          <w:color w:val="auto"/>
        </w:rPr>
      </w:pPr>
    </w:p>
    <w:p>
      <w:pPr>
        <w:jc w:val="both"/>
        <w:ind w:left="1340" w:right="79" w:hanging="642"/>
        <w:spacing w:after="0" w:line="258"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Placement Shares.</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 To the Company’s knowledge, there has been no security breach or other compromise of or relating to any of the information technology and computer systems, networks, hardware, software, data, equipment or technology owned, held or used by or for the Company (including the data of its customers, employees, suppliers, vendors and any third party data maintained by or on behalf of the Company) (collectively, the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(ii) the Company has not been notified of, and has no knowledge of any event or condition that would reasonably be expected to result in, any material security breach or other material compromise to the IT Systems and Data; (iii) the Company has complied, and is presently in compliance, with all applicable laws or statutes and all judgments, orders, rules and regulations of any court or arbitrator or governmental or regulatory authority, internal policies and contractual obligations relating to (x) the collection, use, transfer, storage, protection, disposal and/or disclosure of personally identifiable information collected from or provided by third parties, (y) the privacy and security of the IT Systems and Data and (z) the protection of the IT Systems and Data from unauthorized use, access, misappropriation or modification, except as would not reasonably be expected, in the case of this clause (iii), individually or in the aggregate, result in a Material Adverse Change; and (iv) the Company has taken commercially reasonable steps to protect the IT Systems and Data, including by implementing backup, security and disaster recovery plans, procedures and technology consistent with industry standards and practices.</w:t>
      </w:r>
    </w:p>
    <w:p>
      <w:pPr>
        <w:spacing w:after="0" w:line="193" w:lineRule="exact"/>
        <w:rPr>
          <w:rFonts w:ascii="Times New Roman" w:cs="Times New Roman" w:eastAsia="Times New Roman" w:hAnsi="Times New Roman"/>
          <w:sz w:val="18"/>
          <w:szCs w:val="18"/>
          <w:color w:val="auto"/>
        </w:rPr>
      </w:pPr>
    </w:p>
    <w:p>
      <w:pPr>
        <w:jc w:val="both"/>
        <w:ind w:left="1340" w:right="79" w:hanging="642"/>
        <w:spacing w:after="0" w:line="254"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The Company has the power to submit, and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of this Agreement, has legally, validly, effectively and irrevocably submitted, to the personal jurisdiction of the courts specified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and the Company has the power to designate, appoint and authorize, and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of this Agreement, has legally, validly, effectively and irrevocably designated, appointed and authorized an agent for service of process in any action arising out of or relating to this Agreement or the Placement Shares in any court specified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and service of process effected on such authorized agent will be effective to confer valid personal jurisdiction over the Company as provided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w:t>
      </w:r>
    </w:p>
    <w:p>
      <w:pPr>
        <w:spacing w:after="0" w:line="191"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courts of Canada would recognize as a valid judgment any final monetary judgment obtained against the Company in the courts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jc w:val="both"/>
        <w:ind w:left="1340" w:right="79" w:hanging="642"/>
        <w:spacing w:after="0" w:line="255" w:lineRule="auto"/>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w:t>
      </w:r>
      <w:r>
        <w:rPr>
          <w:rFonts w:ascii="Times New Roman" w:cs="Times New Roman" w:eastAsia="Times New Roman" w:hAnsi="Times New Roman"/>
          <w:sz w:val="18"/>
          <w:szCs w:val="18"/>
          <w:color w:val="auto"/>
        </w:rPr>
        <w:t xml:space="preserve">. Neither the Company nor the Subsidiary nor any of its or their properties or assets has any immunity from the jurisdiction of any court or from any legal process (whether through service or notice, attachment prior to judgment, attachment in aid of execution or otherwise) under the federal laws of Canada or the laws of the Province of Québec. The irrevocable and unconditional waiver and agreement of the Company contained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not to plead or claim any such immunity in any legal action, suit or proceeding based on this Agreement is valid and binding under the federal laws of Canada and the laws of the Province of Québec.</w:t>
      </w:r>
    </w:p>
    <w:p>
      <w:pPr>
        <w:spacing w:after="0" w:line="188"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xml:space="preserve">. The choice of law of the State of New York as the governing law of this Agreement is a valid choice of law under the laws of the Province of Québec and will be honored by the courts of Québec. The Company has the power to submit, and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has, to the extent permitted by law, legally, validly, effectively and irrevocably submitted, to the jurisdiction of the courts specified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76" w:lineRule="exact"/>
        <w:rPr>
          <w:sz w:val="20"/>
          <w:szCs w:val="20"/>
          <w:color w:val="auto"/>
        </w:rPr>
      </w:pPr>
    </w:p>
    <w:p>
      <w:pPr>
        <w:ind w:left="700" w:hanging="650"/>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has been filed with the Commission and/or has become effective, any Rule 462(b) Registration Statement has been filed with the Commission or any subsequent supplement to the Prospectus has been filed and of any request by the Commission for any amendment or supplement to the Registration Statement or Prospectus or for additional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that the Company shall not be obligated to notify the Agent of the filing of any Incorporated Documents which do not discuss this Agreement, the Placement or the Agent),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Agent to make such request shall not relieve the Company of any obligation or liability hereunder, or affect the Agent’s right to rely on the representations and warranties made by the Company in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jc w:val="both"/>
        <w:ind w:left="1340" w:right="59"/>
        <w:spacing w:after="0" w:line="25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 only remedy the Agent shall have with respect to the failure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make such filing (but without limiting the Agent’s rights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shall be to cease making sales under this Agreement until such amendment or supplement is filed); (iii) the Company will not file any amendment or supplement to the Registration Statement or Prospectus or any Rule 462(b) Registration Statement relating to the Placement Shares or a security convertible into or exchangeable or exercisable for the Placement Shares unless a copy thereof has been submitted to the Agent within a reasonable period of time before the filing and the Agent has not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only remedy the Agent shall have with respect to the failure by the Company to obtain such consent (but without limiting the Agent’s rights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shall be to cease making sales under this Agreement) and the Company will furnish to the Agent at the time of filing thereof a copy of any Incorporated Documents, except for those documents available via EDGAR; and (iv) the Company will cause each amendment or supplement to the Prospectus to be filed with the Commission as required pursuant to the applicable paragraph of Rule 424(b) of the Securities Act or, in the case of Incorporated Documents,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193" w:lineRule="exact"/>
        <w:rPr>
          <w:sz w:val="20"/>
          <w:szCs w:val="20"/>
          <w:color w:val="auto"/>
        </w:rPr>
      </w:pPr>
    </w:p>
    <w:p>
      <w:pPr>
        <w:jc w:val="both"/>
        <w:ind w:left="1340" w:right="79" w:hanging="642"/>
        <w:spacing w:after="0" w:line="253" w:lineRule="auto"/>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or any Rule 462(b)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Rule 462(b) Registration Statement or any amendment or supplements to the Prospectus or any Issuer Free Writing Prospectus or for additional information related to the offering of the Placement Shares or for additional information related to the Registration Statement, any Rule 462(b) Registration Statement, the Prospectus or any Issuer Free Writing Prospectus.</w:t>
      </w:r>
    </w:p>
    <w:p>
      <w:pPr>
        <w:spacing w:after="0" w:line="189"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86" w:name="page87"/>
    <w:bookmarkEnd w:id="86"/>
    <w:p>
      <w:pPr>
        <w:jc w:val="both"/>
        <w:ind w:left="1340" w:right="59"/>
        <w:spacing w:after="0" w:line="252" w:lineRule="auto"/>
        <w:rPr>
          <w:sz w:val="20"/>
          <w:szCs w:val="20"/>
          <w:color w:val="auto"/>
        </w:rPr>
      </w:pPr>
      <w:r>
        <w:rPr>
          <w:rFonts w:ascii="Times New Roman" w:cs="Times New Roman" w:eastAsia="Times New Roman" w:hAnsi="Times New Roman"/>
          <w:sz w:val="18"/>
          <w:szCs w:val="18"/>
          <w:color w:val="auto"/>
        </w:rPr>
        <w:t>all requirements imposed upon it by the Securities Act, as from time to time in force, and will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and to notify the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only remedy the Agent shall have with respect to the failure by the Company to file such amendment or supplement to the Registration Statement or Prospectus (but without limiting the Agent’s rights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shall be to cease making sales under this Agreement).</w:t>
      </w:r>
    </w:p>
    <w:p>
      <w:pPr>
        <w:spacing w:after="0" w:line="192" w:lineRule="exact"/>
        <w:rPr>
          <w:sz w:val="20"/>
          <w:szCs w:val="20"/>
          <w:color w:val="auto"/>
        </w:rPr>
      </w:pPr>
    </w:p>
    <w:p>
      <w:pPr>
        <w:jc w:val="both"/>
        <w:ind w:left="1340" w:right="79" w:hanging="642"/>
        <w:spacing w:after="0" w:line="256" w:lineRule="auto"/>
        <w:tabs>
          <w:tab w:leader="none" w:pos="1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maintain the listing of the Placement Shares or to cause the Placement Shares to be listed on the Exchange, as applicable.</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Incorporated Documents),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both"/>
        <w:ind w:left="1340" w:right="79" w:hanging="642"/>
        <w:spacing w:after="0" w:line="258" w:lineRule="auto"/>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will be deemed to have furnished such statement to its security holders to the extent it is available on EDGAR.</w:t>
      </w:r>
    </w:p>
    <w:p>
      <w:pPr>
        <w:spacing w:after="0" w:line="183"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161" w:lineRule="exact"/>
        <w:rPr>
          <w:rFonts w:ascii="Times New Roman" w:cs="Times New Roman" w:eastAsia="Times New Roman" w:hAnsi="Times New Roman"/>
          <w:sz w:val="18"/>
          <w:szCs w:val="18"/>
          <w:color w:val="auto"/>
        </w:rPr>
      </w:pPr>
    </w:p>
    <w:p>
      <w:pPr>
        <w:jc w:val="both"/>
        <w:ind w:left="1340" w:right="79" w:hanging="642"/>
        <w:spacing w:after="0" w:line="239" w:lineRule="auto"/>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Common Shares (other than the Placement Shares offered pursuant to this Agreement) or securities convertible into or exchangeable or exercisable for Common Shares, warrants or any rights to purchase or acquire, Common Shares during the period beginning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Agent hereunder and ending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equity line of credit or other continuous equity transaction offer to sell, sell, contract to sell, grant any option to sell or otherwise dispose of any Common Shares (other than the Placement Shares offered pursuant to this Agreement) or securities convertible into or exchangeable or exercisable for Common Shares, warrants or any rights to purchase or acquire, Common Shares prior to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immediately following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Shares, options to purchase Common Shares or Common Shares issuable upon the exercise of options, pursuant to any employee or director stock option or benefits plan, stock ownership plan or dividend reinvestment plan (but not Common Shares subject to a waiver to exceed plan limits in its dividend reinvestment plan) of the Company whether now in effect or hereafter implemented, (ii) Common Shares issuable upon conversion of securities or the exercise of warrants, options or other rights in effect or outstanding, and disclosed in filings by the Company available on EDGAR or otherwise in writing to the Agent and (iii) Common Shares or securities convertible into or exchangeable for Common Shares as consideration for mergers, acquisitions, other business combinations or research, collaboration, technology license, development, marketing or other similar agreements or strategic partnerships or strategic alliances occurring after the date of this Agreement which are not issued for capital raising purposes.</w:t>
      </w:r>
    </w:p>
    <w:p>
      <w:pPr>
        <w:spacing w:after="0" w:line="198"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8" w:name="page89"/>
    <w:bookmarkEnd w:id="88"/>
    <w:p>
      <w:pPr>
        <w:jc w:val="both"/>
        <w:ind w:left="1340" w:right="59"/>
        <w:spacing w:after="0" w:line="266" w:lineRule="auto"/>
        <w:rPr>
          <w:sz w:val="20"/>
          <w:szCs w:val="20"/>
          <w:color w:val="auto"/>
        </w:rPr>
      </w:pPr>
      <w:r>
        <w:rPr>
          <w:rFonts w:ascii="Times New Roman" w:cs="Times New Roman" w:eastAsia="Times New Roman" w:hAnsi="Times New Roman"/>
          <w:sz w:val="18"/>
          <w:szCs w:val="18"/>
          <w:color w:val="auto"/>
        </w:rPr>
        <w:t>or obtained knowledge thereof, of any information or fact that would alter or affect in any material respect any opinion, certificate, letter or other document provided or required to be provided to the Agent pursuant to this Agreement.</w:t>
      </w:r>
    </w:p>
    <w:p>
      <w:pPr>
        <w:spacing w:after="0" w:line="176" w:lineRule="exact"/>
        <w:rPr>
          <w:sz w:val="20"/>
          <w:szCs w:val="20"/>
          <w:color w:val="auto"/>
        </w:rPr>
      </w:pPr>
    </w:p>
    <w:p>
      <w:pPr>
        <w:jc w:val="both"/>
        <w:ind w:left="1340" w:right="79" w:hanging="642"/>
        <w:spacing w:after="0" w:line="258" w:lineRule="auto"/>
        <w:tabs>
          <w:tab w:leader="none" w:pos="1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or via remote digital access, as the Agent may reasonably request.</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97"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On or prior to the date of the first Placement Notice and (2) each time the Company:</w:t>
      </w:r>
    </w:p>
    <w:p>
      <w:pPr>
        <w:spacing w:after="0" w:line="161" w:lineRule="exact"/>
        <w:rPr>
          <w:rFonts w:ascii="Times New Roman" w:cs="Times New Roman" w:eastAsia="Times New Roman" w:hAnsi="Times New Roman"/>
          <w:sz w:val="18"/>
          <w:szCs w:val="18"/>
          <w:color w:val="auto"/>
        </w:rPr>
      </w:pPr>
    </w:p>
    <w:p>
      <w:pPr>
        <w:jc w:val="both"/>
        <w:ind w:left="1980" w:right="79" w:hanging="512"/>
        <w:spacing w:after="0" w:line="256" w:lineRule="auto"/>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7" w:lineRule="exact"/>
        <w:rPr>
          <w:rFonts w:ascii="Times New Roman" w:cs="Times New Roman" w:eastAsia="Times New Roman" w:hAnsi="Times New Roman"/>
          <w:sz w:val="18"/>
          <w:szCs w:val="18"/>
          <w:color w:val="auto"/>
        </w:rPr>
      </w:pPr>
    </w:p>
    <w:p>
      <w:pPr>
        <w:jc w:val="both"/>
        <w:ind w:left="1980" w:right="79" w:hanging="512"/>
        <w:spacing w:after="0" w:line="266" w:lineRule="auto"/>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75" w:lineRule="exact"/>
        <w:rPr>
          <w:rFonts w:ascii="Times New Roman" w:cs="Times New Roman" w:eastAsia="Times New Roman" w:hAnsi="Times New Roman"/>
          <w:sz w:val="18"/>
          <w:szCs w:val="18"/>
          <w:color w:val="auto"/>
        </w:rPr>
      </w:pPr>
    </w:p>
    <w:p>
      <w:pPr>
        <w:ind w:left="1980" w:hanging="512"/>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ind w:left="1980" w:right="79" w:hanging="512"/>
        <w:spacing w:after="0" w:line="282" w:lineRule="auto"/>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(x) amended financial information (other than information “furnished” pursuant to Items 2.02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jc w:val="both"/>
        <w:ind w:left="2000" w:right="59"/>
        <w:spacing w:after="0" w:line="255" w:lineRule="auto"/>
        <w:rPr>
          <w:sz w:val="20"/>
          <w:szCs w:val="20"/>
          <w:color w:val="auto"/>
        </w:rPr>
      </w:pPr>
      <w:r>
        <w:rPr>
          <w:rFonts w:ascii="Times New Roman" w:cs="Times New Roman" w:eastAsia="Times New Roman" w:hAnsi="Times New Roman"/>
          <w:sz w:val="18"/>
          <w:szCs w:val="18"/>
          <w:color w:val="auto"/>
        </w:rPr>
        <w:t>7.01 of Form 8-K or to provide disclosure pursuant to Item 8.01 of Form 8-K relating to the reclassification of certain properties as discontinued operations in accordance with Statement of Financial Accounting Standards No. 144) or (y) disclosing any material transaction requiring the filing of historical or pro forma financial statements under Item 9.01 of Form 8-K and subject to the guidance set forth in Section 2050.3 of the Financial Reporting Manual of the Commission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70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the Agent reasonably determines that the information contained in such Form 8-K is material) with a certificate dated the Representation Date,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 Representation Date occurring at a time when no Placement Notice is outstanding or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 sells any Placement Shares pursuant to such instructions, the Company shall provide the Agent with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87" w:lineRule="exact"/>
        <w:rPr>
          <w:sz w:val="20"/>
          <w:szCs w:val="20"/>
          <w:color w:val="auto"/>
        </w:rPr>
      </w:pPr>
    </w:p>
    <w:p>
      <w:pPr>
        <w:jc w:val="both"/>
        <w:ind w:left="1340" w:right="79" w:hanging="642"/>
        <w:spacing w:after="0" w:line="252" w:lineRule="auto"/>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 a written opinion and negative assurance letter of Cooley LLP, U.S. counsel to the Company, Osler, Hoskin &amp; Harcourt LLP, Canadian Counsel to the Company, and Clark &amp; Elbing LLP, intellectual property counsel to the Company, or other counsel satisfactory to the Agent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lieu of such opinions or negative assurance letters for subsequent periodic filings under the Exchange Act, counsel may furnish the Agent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 may rely on a prior opinion or negative assurance letter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or negative assurance letter, as the case may be, shall be deemed to relate to the Registration Statement and the Prospectus as amended or supplemented as of the date of the Reliance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0" w:name="page91"/>
    <w:bookmarkEnd w:id="90"/>
    <w:p>
      <w:pPr>
        <w:jc w:val="both"/>
        <w:ind w:left="1340" w:right="79" w:hanging="642"/>
        <w:spacing w:after="0" w:line="25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On or Prior to the date of the first Placement Notice</w:t>
      </w:r>
      <w:r>
        <w:rPr>
          <w:rFonts w:ascii="Times New Roman" w:cs="Times New Roman" w:eastAsia="Times New Roman" w:hAnsi="Times New Roman"/>
          <w:sz w:val="18"/>
          <w:szCs w:val="18"/>
          <w:color w:val="auto"/>
        </w:rPr>
        <w:t xml:space="preserve"> and (2) on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4" w:lineRule="exact"/>
        <w:rPr>
          <w:rFonts w:ascii="Times New Roman" w:cs="Times New Roman" w:eastAsia="Times New Roman" w:hAnsi="Times New Roman"/>
          <w:sz w:val="18"/>
          <w:szCs w:val="18"/>
          <w:color w:val="auto"/>
        </w:rPr>
      </w:pPr>
    </w:p>
    <w:p>
      <w:pPr>
        <w:jc w:val="both"/>
        <w:ind w:left="1340" w:right="79" w:hanging="642"/>
        <w:spacing w:after="0" w:line="256"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Shares or (ii) sell, bid for, or purchase Common Shares in violation of Regulation M, or pay anyone any compensation for soliciting purchases of the Placement Shares other than the Agent.</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 Compliance</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1" w:name="page92"/>
    <w:bookmarkEnd w:id="91"/>
    <w:p>
      <w:pPr>
        <w:jc w:val="both"/>
        <w:ind w:left="1340" w:right="79"/>
        <w:spacing w:after="0" w:line="266" w:lineRule="auto"/>
        <w:rPr>
          <w:sz w:val="20"/>
          <w:szCs w:val="20"/>
          <w:color w:val="auto"/>
        </w:rPr>
      </w:pPr>
      <w:r>
        <w:rPr>
          <w:rFonts w:ascii="Times New Roman" w:cs="Times New Roman" w:eastAsia="Times New Roman" w:hAnsi="Times New Roman"/>
          <w:sz w:val="18"/>
          <w:szCs w:val="18"/>
          <w:color w:val="auto"/>
        </w:rPr>
        <w:t>written communication (as defined in Rule 405 under the Securities Act), required to be filed with the Commission, that constitutes an offer to sell or solicitation of an offer to buy Placement Shares hereunder.</w:t>
      </w:r>
    </w:p>
    <w:p>
      <w:pPr>
        <w:spacing w:after="0" w:line="174" w:lineRule="exact"/>
        <w:rPr>
          <w:sz w:val="20"/>
          <w:szCs w:val="20"/>
          <w:color w:val="auto"/>
        </w:rPr>
      </w:pPr>
    </w:p>
    <w:p>
      <w:pPr>
        <w:jc w:val="both"/>
        <w:ind w:left="1340" w:right="79" w:hanging="642"/>
        <w:spacing w:after="0" w:line="253"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jc w:val="both"/>
        <w:ind w:left="1340" w:right="59"/>
        <w:spacing w:after="0" w:line="266" w:lineRule="auto"/>
        <w:rPr>
          <w:sz w:val="20"/>
          <w:szCs w:val="20"/>
          <w:color w:val="auto"/>
        </w:rPr>
      </w:pPr>
      <w:r>
        <w:rPr>
          <w:rFonts w:ascii="Times New Roman" w:cs="Times New Roman" w:eastAsia="Times New Roman" w:hAnsi="Times New Roman"/>
          <w:sz w:val="18"/>
          <w:szCs w:val="18"/>
          <w:color w:val="auto"/>
        </w:rPr>
        <w:t>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76" w:lineRule="exact"/>
        <w:rPr>
          <w:sz w:val="20"/>
          <w:szCs w:val="20"/>
          <w:color w:val="auto"/>
        </w:rPr>
      </w:pPr>
    </w:p>
    <w:p>
      <w:pPr>
        <w:jc w:val="both"/>
        <w:ind w:left="1340" w:right="79" w:hanging="642"/>
        <w:spacing w:after="0" w:line="253" w:lineRule="auto"/>
        <w:tabs>
          <w:tab w:leader="none" w:pos="13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Further Documentation</w:t>
      </w:r>
      <w:r>
        <w:rPr>
          <w:rFonts w:ascii="Times New Roman" w:cs="Times New Roman" w:eastAsia="Times New Roman" w:hAnsi="Times New Roman"/>
          <w:sz w:val="18"/>
          <w:szCs w:val="18"/>
          <w:color w:val="auto"/>
        </w:rPr>
        <w:t>.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and any other authorized committee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194" w:lineRule="exact"/>
        <w:rPr>
          <w:rFonts w:ascii="Times New Roman" w:cs="Times New Roman" w:eastAsia="Times New Roman" w:hAnsi="Times New Roman"/>
          <w:sz w:val="18"/>
          <w:szCs w:val="18"/>
          <w:color w:val="auto"/>
        </w:rPr>
      </w:pPr>
    </w:p>
    <w:p>
      <w:pPr>
        <w:jc w:val="both"/>
        <w:ind w:left="700" w:right="79" w:hanging="650"/>
        <w:spacing w:after="0" w:line="251"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reasonable and documented fees and expenses of the counsel to the Agent, payable upon the execution of this Agreement, (a) in an amount not to exceed $100,000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and (c) in an amount not to exceed $50,000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Shares, (x) the filing and other fees incident to any review by FINRA of the terms of the sale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ind w:left="700"/>
        <w:spacing w:after="0"/>
        <w:rPr>
          <w:sz w:val="20"/>
          <w:szCs w:val="20"/>
          <w:color w:val="auto"/>
        </w:rPr>
      </w:pPr>
      <w:r>
        <w:rPr>
          <w:rFonts w:ascii="Times New Roman" w:cs="Times New Roman" w:eastAsia="Times New Roman" w:hAnsi="Times New Roman"/>
          <w:sz w:val="18"/>
          <w:szCs w:val="18"/>
          <w:color w:val="auto"/>
        </w:rPr>
        <w:t>Placement Shares including the fees of the Agent’s counsel (subject to the cap, set forth in clause (v) above), and</w:t>
      </w:r>
    </w:p>
    <w:p>
      <w:pPr>
        <w:spacing w:after="0" w:line="27" w:lineRule="exact"/>
        <w:rPr>
          <w:sz w:val="20"/>
          <w:szCs w:val="20"/>
          <w:color w:val="auto"/>
        </w:rPr>
      </w:pPr>
    </w:p>
    <w:p>
      <w:pPr>
        <w:jc w:val="both"/>
        <w:ind w:left="700" w:right="59" w:hanging="2"/>
        <w:spacing w:after="0" w:line="253" w:lineRule="auto"/>
        <w:tabs>
          <w:tab w:leader="none" w:pos="101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in connection with the listing of the Placement Shares on the Exchange. The Company agrees to pay the fees and expenses of counsel to the Agent set forth in clause (v) above by wire transfer of immediately available funds directly to such counsel upon presentation of an invoice containing the requisite payment information prepared by such counsel.</w:t>
      </w:r>
    </w:p>
    <w:p>
      <w:pPr>
        <w:spacing w:after="0" w:line="188" w:lineRule="exact"/>
        <w:rPr>
          <w:rFonts w:ascii="Times New Roman" w:cs="Times New Roman" w:eastAsia="Times New Roman" w:hAnsi="Times New Roman"/>
          <w:sz w:val="18"/>
          <w:szCs w:val="18"/>
          <w:color w:val="auto"/>
        </w:rPr>
      </w:pPr>
    </w:p>
    <w:p>
      <w:pPr>
        <w:jc w:val="both"/>
        <w:ind w:left="700" w:right="79" w:hanging="650"/>
        <w:spacing w:after="0" w:line="258"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83" w:lineRule="exact"/>
        <w:rPr>
          <w:sz w:val="20"/>
          <w:szCs w:val="20"/>
          <w:color w:val="auto"/>
        </w:rPr>
      </w:pPr>
    </w:p>
    <w:p>
      <w:pPr>
        <w:jc w:val="both"/>
        <w:ind w:left="1340" w:right="79" w:hanging="642"/>
        <w:spacing w:after="0" w:line="266"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the (i) resale of all Placement Shares issued to the Agent and not yet sold by the Agent and (ii) sale of all Placement Shares contemplated to be issued by any Placement Notice.</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52"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93"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both"/>
        <w:ind w:left="1340" w:right="79" w:hanging="642"/>
        <w:spacing w:after="0" w:line="253"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Agent shall have received the opinions and negative assurance letters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and negative assurance letters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7(u)</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7(u)</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Shares shall not have been suspended on the Exchange and the Common Shares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or Rule 433 under the Securities Act to have been filed prior to the issuance of any Placement Notice hereunder shall have been made within the applicable time period prescribed for such filing by Rule 424 or Rule 433,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jc w:val="both"/>
        <w:ind w:left="1340" w:right="79" w:hanging="642"/>
        <w:spacing w:after="0" w:line="266" w:lineRule="auto"/>
        <w:tabs>
          <w:tab w:leader="none" w:pos="1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Filings Made</w:t>
      </w:r>
      <w:r>
        <w:rPr>
          <w:rFonts w:ascii="Times New Roman" w:cs="Times New Roman" w:eastAsia="Times New Roman" w:hAnsi="Times New Roman"/>
          <w:sz w:val="18"/>
          <w:szCs w:val="18"/>
          <w:color w:val="auto"/>
        </w:rPr>
        <w:t>. All filings with the AMF required under applicable Canadian securities laws to have been filed prior to the issuance of any Placement Notice hereunder shall have been made within the applicable time period prescribed for such filing by applicable Canadian securities laws.</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9"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the Agent to terminate this Agreement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179" w:lineRule="exact"/>
        <w:rPr>
          <w:rFonts w:ascii="Times New Roman" w:cs="Times New Roman" w:eastAsia="Times New Roman" w:hAnsi="Times New Roman"/>
          <w:sz w:val="18"/>
          <w:szCs w:val="18"/>
          <w:color w:val="auto"/>
        </w:rPr>
      </w:pPr>
    </w:p>
    <w:p>
      <w:pPr>
        <w:jc w:val="both"/>
        <w:ind w:left="1980" w:right="79" w:hanging="512"/>
        <w:spacing w:after="0" w:line="254" w:lineRule="auto"/>
        <w:tabs>
          <w:tab w:leader="none" w:pos="198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1980" w:right="79" w:hanging="512"/>
        <w:spacing w:after="0" w:line="255" w:lineRule="auto"/>
        <w:tabs>
          <w:tab w:leader="none" w:pos="198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both"/>
        <w:ind w:left="1980" w:right="79" w:hanging="512"/>
        <w:spacing w:after="0" w:line="256" w:lineRule="auto"/>
        <w:tabs>
          <w:tab w:leader="none" w:pos="1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85" w:lineRule="exact"/>
        <w:rPr>
          <w:sz w:val="20"/>
          <w:szCs w:val="20"/>
          <w:color w:val="auto"/>
        </w:rPr>
      </w:pPr>
    </w:p>
    <w:p>
      <w:pPr>
        <w:jc w:val="both"/>
        <w:ind w:left="1340" w:right="5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 to the extent arising out of any untrue statement or omission or alleged untrue statement or omission made solely in reliance upon and in conformity with the Agent Information (as defined below). The indemnity agreement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185" w:lineRule="exact"/>
        <w:rPr>
          <w:sz w:val="20"/>
          <w:szCs w:val="20"/>
          <w:color w:val="auto"/>
        </w:rPr>
      </w:pPr>
    </w:p>
    <w:p>
      <w:pPr>
        <w:jc w:val="both"/>
        <w:ind w:left="1340" w:right="79" w:hanging="642"/>
        <w:spacing w:after="0" w:line="253" w:lineRule="auto"/>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second sentence of the sixth paragraph under the caption “Plan of Distribution” in the Prospectus (the “</w:t>
      </w:r>
      <w:r>
        <w:rPr>
          <w:rFonts w:ascii="Times New Roman" w:cs="Times New Roman" w:eastAsia="Times New Roman" w:hAnsi="Times New Roman"/>
          <w:sz w:val="18"/>
          <w:szCs w:val="18"/>
          <w:b w:val="1"/>
          <w:bCs w:val="1"/>
          <w:u w:val="single" w:color="auto"/>
          <w:color w:val="auto"/>
        </w:rPr>
        <w:t>Agent Information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1340" w:right="79" w:hanging="642"/>
        <w:spacing w:after="0" w:line="253" w:lineRule="auto"/>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jc w:val="both"/>
        <w:ind w:left="1340" w:right="59"/>
        <w:spacing w:after="0" w:line="251" w:lineRule="auto"/>
        <w:rPr>
          <w:sz w:val="20"/>
          <w:szCs w:val="20"/>
          <w:color w:val="auto"/>
        </w:rPr>
      </w:pPr>
      <w:r>
        <w:rPr>
          <w:rFonts w:ascii="Times New Roman" w:cs="Times New Roman" w:eastAsia="Times New Roman" w:hAnsi="Times New Roman"/>
          <w:sz w:val="18"/>
          <w:szCs w:val="18"/>
          <w:color w:val="auto"/>
        </w:rPr>
        <w:t xml:space="preserve">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and after the indemnifying party has received a written invoice relating to such fees, disbursements and other changes.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w:t>
      </w:r>
    </w:p>
    <w:p>
      <w:pPr>
        <w:spacing w:after="0" w:line="3" w:lineRule="exact"/>
        <w:rPr>
          <w:sz w:val="20"/>
          <w:szCs w:val="20"/>
          <w:color w:val="auto"/>
        </w:rPr>
      </w:pPr>
    </w:p>
    <w:p>
      <w:pPr>
        <w:jc w:val="both"/>
        <w:ind w:left="1340" w:right="59" w:firstLine="6"/>
        <w:spacing w:after="0" w:line="253" w:lineRule="auto"/>
        <w:tabs>
          <w:tab w:leader="none" w:pos="16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as to or an admission of fault, culpability or a failure to act by or on behalf of any indemnified party. Indemnified parties will reasonably cooperate with the indemnifying party or indemnifying parties in the investigation and defense of any claim for which indemnification is sought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jc w:val="both"/>
        <w:ind w:left="1340" w:right="79" w:hanging="642"/>
        <w:spacing w:after="0" w:line="255" w:lineRule="auto"/>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in writing an indemnifying party to reimburse the indemnified party for reasonable and documented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6" w:lineRule="exact"/>
        <w:rPr>
          <w:rFonts w:ascii="Times New Roman" w:cs="Times New Roman" w:eastAsia="Times New Roman" w:hAnsi="Times New Roman"/>
          <w:sz w:val="18"/>
          <w:szCs w:val="18"/>
          <w:color w:val="auto"/>
        </w:rPr>
      </w:pPr>
    </w:p>
    <w:p>
      <w:pPr>
        <w:jc w:val="both"/>
        <w:ind w:left="1340" w:right="79" w:hanging="642"/>
        <w:spacing w:after="0" w:line="251" w:lineRule="auto"/>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99" w:name="page100"/>
    <w:bookmarkEnd w:id="99"/>
    <w:p>
      <w:pPr>
        <w:jc w:val="both"/>
        <w:ind w:left="1340" w:right="59"/>
        <w:spacing w:after="0" w:line="252" w:lineRule="auto"/>
        <w:rPr>
          <w:sz w:val="20"/>
          <w:szCs w:val="20"/>
          <w:color w:val="auto"/>
        </w:rPr>
      </w:pP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pacing w:after="0" w:line="192" w:lineRule="exact"/>
        <w:rPr>
          <w:sz w:val="20"/>
          <w:szCs w:val="20"/>
          <w:color w:val="auto"/>
        </w:rPr>
      </w:pPr>
    </w:p>
    <w:p>
      <w:pPr>
        <w:jc w:val="both"/>
        <w:ind w:left="700" w:right="79" w:hanging="650"/>
        <w:spacing w:after="0" w:line="254" w:lineRule="auto"/>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w:t>
      </w:r>
    </w:p>
    <w:p>
      <w:pPr>
        <w:spacing w:after="0" w:line="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w:t>
      </w:r>
    </w:p>
    <w:p>
      <w:pPr>
        <w:spacing w:after="0" w:line="206"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terminate this Agreement, by notice to the Company, as hereinafter specified at any time</w:t>
      </w:r>
    </w:p>
    <w:p>
      <w:pPr>
        <w:spacing w:after="0" w:line="27" w:lineRule="exact"/>
        <w:rPr>
          <w:rFonts w:ascii="Times New Roman" w:cs="Times New Roman" w:eastAsia="Times New Roman" w:hAnsi="Times New Roman"/>
          <w:sz w:val="18"/>
          <w:szCs w:val="18"/>
          <w:color w:val="auto"/>
        </w:rPr>
      </w:pPr>
    </w:p>
    <w:p>
      <w:pPr>
        <w:jc w:val="both"/>
        <w:ind w:left="1340" w:right="79" w:firstLine="6"/>
        <w:spacing w:after="0" w:line="251" w:lineRule="auto"/>
        <w:tabs>
          <w:tab w:leader="none" w:pos="160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Material Adverse Effect, or any development that could reasonably be expected to result in a Material Adverse Effect, has occurred, which individually or in the aggregate, in the sole judgment of the Agent makes it impractical or inadvisable to market the Placement Shares or to enforce contracts for the sale of the Placement Shares, (2) the Company shall have failed, refused or been unable to perform any agreement on its part to be performed hereunder (3)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jc w:val="both"/>
        <w:ind w:left="1340" w:right="59"/>
        <w:spacing w:after="0" w:line="253" w:lineRule="auto"/>
        <w:rPr>
          <w:sz w:val="20"/>
          <w:szCs w:val="20"/>
          <w:color w:val="auto"/>
        </w:rPr>
      </w:pPr>
      <w:r>
        <w:rPr>
          <w:rFonts w:ascii="Times New Roman" w:cs="Times New Roman" w:eastAsia="Times New Roman" w:hAnsi="Times New Roman"/>
          <w:sz w:val="18"/>
          <w:szCs w:val="18"/>
          <w:color w:val="auto"/>
        </w:rPr>
        <w:t xml:space="preserve">Shares or to enforce contracts for the sale of the Placement Shares, (4) if trading in the Common Shares has been suspended or limited by the Commission or the Exchange, or if trading generally on the Exchange has been suspended or limited, or minimum prices for trading have been fixed on the Exchange, (5) if any suspension of trading of any securities of the Company on any exchange or in the over-the-counter market shall have occurred and be continuing, (6) if a major disruption of securities settlements or clearance services in the United States shall have occurred and be continuing, or (7)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187" w:lineRule="exact"/>
        <w:rPr>
          <w:sz w:val="20"/>
          <w:szCs w:val="20"/>
          <w:color w:val="auto"/>
        </w:rPr>
      </w:pPr>
    </w:p>
    <w:p>
      <w:pPr>
        <w:jc w:val="both"/>
        <w:ind w:left="1340" w:right="79" w:hanging="642"/>
        <w:spacing w:after="0" w:line="258" w:lineRule="auto"/>
        <w:tabs>
          <w:tab w:leader="none" w:pos="1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(b), or</w:t>
      </w:r>
    </w:p>
    <w:p>
      <w:pPr>
        <w:spacing w:after="0" w:line="27" w:lineRule="exact"/>
        <w:rPr>
          <w:rFonts w:ascii="Times New Roman" w:cs="Times New Roman" w:eastAsia="Times New Roman" w:hAnsi="Times New Roman"/>
          <w:sz w:val="18"/>
          <w:szCs w:val="18"/>
          <w:color w:val="auto"/>
        </w:rPr>
      </w:pPr>
    </w:p>
    <w:p>
      <w:pPr>
        <w:jc w:val="both"/>
        <w:ind w:left="1340" w:right="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remain in full force and effect.</w:t>
      </w:r>
    </w:p>
    <w:p>
      <w:pPr>
        <w:spacing w:after="0" w:line="185" w:lineRule="exact"/>
        <w:rPr>
          <w:rFonts w:ascii="Times New Roman" w:cs="Times New Roman" w:eastAsia="Times New Roman" w:hAnsi="Times New Roman"/>
          <w:sz w:val="18"/>
          <w:szCs w:val="18"/>
          <w:color w:val="auto"/>
        </w:rPr>
      </w:pPr>
    </w:p>
    <w:p>
      <w:pPr>
        <w:jc w:val="both"/>
        <w:ind w:left="1340" w:right="79" w:hanging="642"/>
        <w:spacing w:after="0" w:line="258" w:lineRule="auto"/>
        <w:tabs>
          <w:tab w:leader="none" w:pos="1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termination shall not be effective until the close of business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3" w:lineRule="exact"/>
        <w:rPr>
          <w:rFonts w:ascii="Times New Roman" w:cs="Times New Roman" w:eastAsia="Times New Roman" w:hAnsi="Times New Roman"/>
          <w:sz w:val="18"/>
          <w:szCs w:val="18"/>
          <w:color w:val="auto"/>
        </w:rPr>
      </w:pPr>
    </w:p>
    <w:p>
      <w:pPr>
        <w:jc w:val="both"/>
        <w:ind w:left="700" w:right="79" w:hanging="650"/>
        <w:spacing w:after="0" w:line="266" w:lineRule="auto"/>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ind w:left="1340"/>
        <w:spacing w:after="0"/>
        <w:rPr>
          <w:sz w:val="20"/>
          <w:szCs w:val="20"/>
          <w:color w:val="auto"/>
        </w:rPr>
      </w:pPr>
      <w:r>
        <w:rPr>
          <w:rFonts w:ascii="Times New Roman" w:cs="Times New Roman" w:eastAsia="Times New Roman" w:hAnsi="Times New Roman"/>
          <w:sz w:val="18"/>
          <w:szCs w:val="18"/>
          <w:color w:val="auto"/>
        </w:rPr>
        <w:t>Cantor Fitzgerald &amp; Co.</w:t>
      </w:r>
    </w:p>
    <w:p>
      <w:pPr>
        <w:ind w:left="1340"/>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Capital Markets</w:t>
      </w:r>
    </w:p>
    <w:p>
      <w:pPr>
        <w:spacing w:after="0" w:line="9"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CFCEO@cantor.com</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Cantor Fitzgerald &amp; Co.</w:t>
      </w:r>
    </w:p>
    <w:p>
      <w:pPr>
        <w:ind w:left="1340"/>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legal-IBD@cantor.com</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Lisa Firenze</w:t>
      </w:r>
    </w:p>
    <w:p>
      <w:pPr>
        <w:spacing w:after="0" w:line="9" w:lineRule="exact"/>
        <w:rPr>
          <w:sz w:val="20"/>
          <w:szCs w:val="20"/>
          <w:color w:val="auto"/>
        </w:rPr>
      </w:pPr>
    </w:p>
    <w:p>
      <w:pPr>
        <w:ind w:left="1340"/>
        <w:spacing w:after="0"/>
        <w:tabs>
          <w:tab w:leader="none" w:pos="2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lisa.firenze@wilmerhale.com</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1111, Dr. Frederik-Philips Blvd.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Suite 420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Montréal, Québec H4M 2XC</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Joseph G. Oliveto, President and CEO</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500 Boylston Street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rsansom@cooley.com</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Ryan Sansom</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jc w:val="both"/>
        <w:ind w:left="60" w:right="79"/>
        <w:spacing w:after="0" w:line="286"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5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6" w:lineRule="exact"/>
        <w:rPr>
          <w:sz w:val="20"/>
          <w:szCs w:val="20"/>
          <w:color w:val="auto"/>
        </w:rPr>
      </w:pPr>
    </w:p>
    <w:p>
      <w:pPr>
        <w:jc w:val="both"/>
        <w:ind w:left="700" w:right="79" w:hanging="650"/>
        <w:spacing w:after="0" w:line="254"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parties referred to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thereof without obtaining the Company’s consent.</w:t>
      </w:r>
    </w:p>
    <w:p>
      <w:pPr>
        <w:spacing w:after="0" w:line="188" w:lineRule="exact"/>
        <w:rPr>
          <w:rFonts w:ascii="Times New Roman" w:cs="Times New Roman" w:eastAsia="Times New Roman" w:hAnsi="Times New Roman"/>
          <w:sz w:val="18"/>
          <w:szCs w:val="18"/>
          <w:color w:val="auto"/>
        </w:rPr>
      </w:pPr>
    </w:p>
    <w:p>
      <w:pPr>
        <w:jc w:val="both"/>
        <w:ind w:left="700" w:right="79" w:hanging="650"/>
        <w:spacing w:after="0" w:line="266"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75" w:lineRule="exact"/>
        <w:rPr>
          <w:rFonts w:ascii="Times New Roman" w:cs="Times New Roman" w:eastAsia="Times New Roman" w:hAnsi="Times New Roman"/>
          <w:sz w:val="18"/>
          <w:szCs w:val="18"/>
          <w:color w:val="auto"/>
        </w:rPr>
      </w:pPr>
    </w:p>
    <w:p>
      <w:pPr>
        <w:jc w:val="both"/>
        <w:ind w:left="700" w:right="79" w:hanging="650"/>
        <w:spacing w:after="0" w:line="258"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w:t>
      </w:r>
    </w:p>
    <w:p>
      <w:pPr>
        <w:spacing w:after="0" w:line="183" w:lineRule="exact"/>
        <w:rPr>
          <w:rFonts w:ascii="Times New Roman" w:cs="Times New Roman" w:eastAsia="Times New Roman" w:hAnsi="Times New Roman"/>
          <w:sz w:val="18"/>
          <w:szCs w:val="18"/>
          <w:color w:val="auto"/>
        </w:rPr>
      </w:pPr>
    </w:p>
    <w:p>
      <w:pPr>
        <w:jc w:val="both"/>
        <w:ind w:left="70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4" w:lineRule="exact"/>
        <w:rPr>
          <w:rFonts w:ascii="Times New Roman" w:cs="Times New Roman" w:eastAsia="Times New Roman" w:hAnsi="Times New Roman"/>
          <w:sz w:val="18"/>
          <w:szCs w:val="18"/>
          <w:color w:val="auto"/>
        </w:rPr>
      </w:pPr>
    </w:p>
    <w:p>
      <w:pPr>
        <w:ind w:left="700" w:right="79" w:hanging="650"/>
        <w:spacing w:after="0" w:line="282"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U.S. Special Resolutions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3" w:name="page104"/>
    <w:bookmarkEnd w:id="103"/>
    <w:p>
      <w:pPr>
        <w:jc w:val="both"/>
        <w:ind w:left="700" w:right="59"/>
        <w:spacing w:after="0" w:line="252" w:lineRule="auto"/>
        <w:rPr>
          <w:sz w:val="20"/>
          <w:szCs w:val="20"/>
          <w:color w:val="auto"/>
        </w:rPr>
      </w:pPr>
      <w:r>
        <w:rPr>
          <w:rFonts w:ascii="Times New Roman" w:cs="Times New Roman" w:eastAsia="Times New Roman" w:hAnsi="Times New Roman"/>
          <w:sz w:val="18"/>
          <w:szCs w:val="18"/>
          <w:color w:val="auto"/>
        </w:rPr>
        <w:t>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and (ii) Title II of the Dodd-Frank Wall Street Reform and Consumer Protection Act and the regulations promulgated thereunder.</w:t>
      </w:r>
    </w:p>
    <w:p>
      <w:pPr>
        <w:spacing w:after="0" w:line="189" w:lineRule="exact"/>
        <w:rPr>
          <w:sz w:val="20"/>
          <w:szCs w:val="20"/>
          <w:color w:val="auto"/>
        </w:rPr>
      </w:pPr>
    </w:p>
    <w:p>
      <w:pPr>
        <w:jc w:val="both"/>
        <w:ind w:left="700" w:right="79" w:hanging="650"/>
        <w:spacing w:after="0" w:line="256" w:lineRule="auto"/>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color w:val="auto"/>
        </w:rPr>
      </w:pPr>
    </w:p>
    <w:p>
      <w:pPr>
        <w:jc w:val="both"/>
        <w:ind w:left="700" w:right="79" w:hanging="650"/>
        <w:spacing w:after="0" w:line="253" w:lineRule="auto"/>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both"/>
        <w:ind w:left="700" w:right="59"/>
        <w:spacing w:after="0" w:line="262" w:lineRule="auto"/>
        <w:rPr>
          <w:sz w:val="20"/>
          <w:szCs w:val="20"/>
          <w:color w:val="auto"/>
        </w:rPr>
      </w:pPr>
      <w:r>
        <w:rPr>
          <w:rFonts w:ascii="Times New Roman" w:cs="Times New Roman" w:eastAsia="Times New Roman" w:hAnsi="Times New Roman"/>
          <w:sz w:val="18"/>
          <w:szCs w:val="18"/>
          <w:b w:val="1"/>
          <w:bCs w:val="1"/>
          <w:color w:val="auto"/>
        </w:rPr>
        <w:t>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0" w:lineRule="exact"/>
        <w:rPr>
          <w:sz w:val="20"/>
          <w:szCs w:val="20"/>
          <w:color w:val="auto"/>
        </w:rPr>
      </w:pPr>
    </w:p>
    <w:p>
      <w:pPr>
        <w:jc w:val="both"/>
        <w:ind w:left="700" w:right="79" w:hanging="650"/>
        <w:spacing w:after="0" w:line="255" w:lineRule="auto"/>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rFonts w:ascii="Times New Roman" w:cs="Times New Roman" w:eastAsia="Times New Roman" w:hAnsi="Times New Roman"/>
          <w:sz w:val="18"/>
          <w:szCs w:val="18"/>
          <w:color w:val="auto"/>
        </w:rPr>
      </w:pPr>
    </w:p>
    <w:p>
      <w:pPr>
        <w:jc w:val="both"/>
        <w:ind w:left="700" w:right="79" w:hanging="650"/>
        <w:spacing w:after="0" w:line="258" w:lineRule="auto"/>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3" w:lineRule="exact"/>
        <w:rPr>
          <w:rFonts w:ascii="Times New Roman" w:cs="Times New Roman" w:eastAsia="Times New Roman" w:hAnsi="Times New Roman"/>
          <w:sz w:val="18"/>
          <w:szCs w:val="18"/>
          <w:color w:val="auto"/>
        </w:rPr>
      </w:pPr>
    </w:p>
    <w:p>
      <w:pPr>
        <w:jc w:val="both"/>
        <w:ind w:left="700" w:right="79" w:hanging="650"/>
        <w:spacing w:after="0" w:line="253" w:lineRule="auto"/>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written consent of the Agent, and the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hereto are Permitted Free Writing Prospectuses.</w:t>
      </w:r>
    </w:p>
    <w:p>
      <w:pPr>
        <w:spacing w:after="0" w:line="189"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56" w:lineRule="auto"/>
        <w:tabs>
          <w:tab w:leader="none" w:pos="13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5" w:name="page106"/>
    <w:bookmarkEnd w:id="105"/>
    <w:p>
      <w:pPr>
        <w:jc w:val="both"/>
        <w:ind w:left="1340" w:right="59"/>
        <w:spacing w:after="0" w:line="266" w:lineRule="auto"/>
        <w:rPr>
          <w:sz w:val="20"/>
          <w:szCs w:val="20"/>
          <w:color w:val="auto"/>
        </w:rPr>
      </w:pPr>
      <w:r>
        <w:rPr>
          <w:rFonts w:ascii="Times New Roman" w:cs="Times New Roman" w:eastAsia="Times New Roman" w:hAnsi="Times New Roman"/>
          <w:sz w:val="18"/>
          <w:szCs w:val="18"/>
          <w:color w:val="auto"/>
        </w:rPr>
        <w:t>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76" w:lineRule="exact"/>
        <w:rPr>
          <w:sz w:val="20"/>
          <w:szCs w:val="20"/>
          <w:color w:val="auto"/>
        </w:rPr>
      </w:pPr>
    </w:p>
    <w:p>
      <w:pPr>
        <w:ind w:left="1340" w:right="79" w:hanging="642"/>
        <w:spacing w:after="0" w:line="282"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left="1340" w:right="79" w:hanging="642"/>
        <w:spacing w:after="0" w:line="266"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5" w:lineRule="exact"/>
        <w:rPr>
          <w:rFonts w:ascii="Times New Roman" w:cs="Times New Roman" w:eastAsia="Times New Roman" w:hAnsi="Times New Roman"/>
          <w:sz w:val="18"/>
          <w:szCs w:val="18"/>
          <w:color w:val="auto"/>
        </w:rPr>
      </w:pPr>
    </w:p>
    <w:p>
      <w:pPr>
        <w:jc w:val="both"/>
        <w:ind w:left="1340" w:right="79" w:hanging="642"/>
        <w:spacing w:after="0" w:line="261"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79" w:lineRule="exact"/>
        <w:rPr>
          <w:rFonts w:ascii="Times New Roman" w:cs="Times New Roman" w:eastAsia="Times New Roman" w:hAnsi="Times New Roman"/>
          <w:sz w:val="18"/>
          <w:szCs w:val="18"/>
          <w:color w:val="auto"/>
        </w:rPr>
      </w:pPr>
    </w:p>
    <w:p>
      <w:pPr>
        <w:jc w:val="both"/>
        <w:ind w:left="1340" w:right="79" w:hanging="642"/>
        <w:spacing w:after="0" w:line="256"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87"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each date on which a Placement Notice is given (iii)</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the time of each sale of any Placement Shares pursuant to this Agreement (each, a “</w:t>
      </w:r>
      <w:r>
        <w:rPr>
          <w:rFonts w:ascii="Times New Roman" w:cs="Times New Roman" w:eastAsia="Times New Roman" w:hAnsi="Times New Roman"/>
          <w:sz w:val="18"/>
          <w:szCs w:val="18"/>
          <w:b w:val="1"/>
          <w:bCs w:val="1"/>
          <w:u w:val="single" w:color="auto"/>
          <w:color w:val="auto"/>
        </w:rPr>
        <w:t>Time of Sale</w:t>
      </w:r>
      <w:r>
        <w:rPr>
          <w:rFonts w:ascii="Times New Roman" w:cs="Times New Roman" w:eastAsia="Times New Roman" w:hAnsi="Times New Roman"/>
          <w:sz w:val="18"/>
          <w:szCs w:val="18"/>
          <w:color w:val="auto"/>
        </w:rPr>
        <w:t>”) and (iv) each Settlement Date.</w:t>
      </w:r>
    </w:p>
    <w:p>
      <w:pPr>
        <w:spacing w:after="0" w:line="177"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ind w:left="60" w:right="5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155"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means any registration statement filed by the Company pursuant to Rule 462(b) under the Securities Act in connection with the offer and sale of Placement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0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40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40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Sameer Vasudev</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9019"/>
          </w:cols>
          <w:pgMar w:left="1440" w:top="117" w:right="1440" w:bottom="1440" w:gutter="0" w:footer="0" w:header="0"/>
        </w:sect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00" w:lineRule="exact"/>
        <w:rPr>
          <w:sz w:val="20"/>
          <w:szCs w:val="20"/>
          <w:color w:val="auto"/>
        </w:rPr>
      </w:pPr>
    </w:p>
    <w:p>
      <w:pPr>
        <w:sectPr>
          <w:pgSz w:w="11900" w:h="16838" w:orient="portrait"/>
          <w:cols w:equalWidth="0" w:num="2">
            <w:col w:w="700" w:space="720"/>
            <w:col w:w="7599"/>
          </w:cols>
          <w:pgMar w:left="1440" w:top="117"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00" w:space="720"/>
            <w:col w:w="7599"/>
          </w:cols>
          <w:pgMar w:left="1440" w:top="117" w:right="1440" w:bottom="1440" w:gutter="0" w:footer="0" w:header="0"/>
          <w:type w:val="continuous"/>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Placement Notice</w:t>
      </w:r>
    </w:p>
    <w:p>
      <w:pPr>
        <w:spacing w:after="0" w:line="200" w:lineRule="exact"/>
        <w:rPr>
          <w:sz w:val="20"/>
          <w:szCs w:val="20"/>
          <w:color w:val="auto"/>
        </w:rPr>
      </w:pPr>
    </w:p>
    <w:p>
      <w:pPr>
        <w:sectPr>
          <w:pgSz w:w="11900" w:h="16838" w:orient="portrait"/>
          <w:cols w:equalWidth="0" w:num="2">
            <w:col w:w="700" w:space="720"/>
            <w:col w:w="7599"/>
          </w:cols>
          <w:pgMar w:left="1440" w:top="117"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201[</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00" w:space="720"/>
            <w:col w:w="7599"/>
          </w:cols>
          <w:pgMar w:left="1440" w:top="117"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left="60" w:right="59" w:firstLine="648"/>
        <w:spacing w:after="0" w:line="265"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Milestone Pharmaceuticals Inc., a corporation continued under the laws of the Province of Québec, Canada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Cantor Fitzgerald &amp; Co.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May 13, 2026, the Company hereby requests that the Agent sell up to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of the Company’s common shares without par value, at a minimum market price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per share, during the time period beginning [month, day, time] and ending [month, day,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equal to 3.0% of the aggregate gross proceeds from each sale of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Joseph Oliveto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Amit Hasija</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David Sandoval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Sameer Vasudev (svasudev@cantor.com)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CFCEO@cantor.com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Exhibit 7(l)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 Pursuant to Section 7(l)</w:t>
      </w:r>
    </w:p>
    <w:p>
      <w:pPr>
        <w:spacing w:after="0" w:line="242" w:lineRule="exact"/>
        <w:rPr>
          <w:sz w:val="20"/>
          <w:szCs w:val="20"/>
          <w:color w:val="auto"/>
        </w:rPr>
      </w:pPr>
    </w:p>
    <w:p>
      <w:pPr>
        <w:jc w:val="both"/>
        <w:ind w:left="60" w:right="59" w:firstLine="648"/>
        <w:spacing w:after="0" w:line="260" w:lineRule="auto"/>
        <w:rPr>
          <w:sz w:val="20"/>
          <w:szCs w:val="20"/>
          <w:color w:val="auto"/>
        </w:rPr>
      </w:pPr>
      <w:r>
        <w:rPr>
          <w:rFonts w:ascii="Times New Roman" w:cs="Times New Roman" w:eastAsia="Times New Roman" w:hAnsi="Times New Roman"/>
          <w:sz w:val="18"/>
          <w:szCs w:val="18"/>
          <w:color w:val="auto"/>
        </w:rPr>
        <w:t>The undersigned, the duly qualified and elected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of Milestone Pharmaceuticals Inc., a corporation continued under the laws of the Province of Québec, Canada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May 13, 2026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between the Company and Cantor Fitzgerald &amp; Co., that to the best of the knowledge of the undersigned:</w:t>
      </w:r>
    </w:p>
    <w:p>
      <w:pPr>
        <w:spacing w:after="0" w:line="183" w:lineRule="exact"/>
        <w:rPr>
          <w:sz w:val="20"/>
          <w:szCs w:val="20"/>
          <w:color w:val="auto"/>
        </w:rPr>
      </w:pPr>
    </w:p>
    <w:p>
      <w:pPr>
        <w:jc w:val="both"/>
        <w:ind w:left="60" w:right="59" w:firstLine="638"/>
        <w:spacing w:after="0" w:line="258" w:lineRule="auto"/>
        <w:tabs>
          <w:tab w:leader="none" w:pos="13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representations and warranties also shall be qualified by the disclosure included or incorporated by reference in the Registration Statement and Prospectus; and</w:t>
      </w:r>
    </w:p>
    <w:p>
      <w:pPr>
        <w:spacing w:after="0" w:line="183"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13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88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2588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2588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908685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Permitted Free Writing Prospectus</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Joseph Oliveto, certify that:</w:t>
      </w:r>
    </w:p>
    <w:p>
      <w:pPr>
        <w:spacing w:after="0" w:line="158" w:lineRule="exact"/>
        <w:rPr>
          <w:sz w:val="20"/>
          <w:szCs w:val="20"/>
          <w:color w:val="auto"/>
        </w:rPr>
      </w:pPr>
    </w:p>
    <w:p>
      <w:pPr>
        <w:ind w:left="680" w:hanging="630"/>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Milestone Pharmaceuticals Inc.;</w:t>
      </w:r>
    </w:p>
    <w:p>
      <w:pPr>
        <w:spacing w:after="0" w:line="157"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00" w:right="379" w:hanging="650"/>
        <w:spacing w:after="0" w:line="289" w:lineRule="auto"/>
        <w:tabs>
          <w:tab w:leader="none" w:pos="67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7"/>
          <w:szCs w:val="17"/>
          <w:color w:val="auto"/>
        </w:rPr>
      </w:pPr>
    </w:p>
    <w:p>
      <w:pPr>
        <w:ind w:left="1340" w:right="79" w:hanging="642"/>
        <w:spacing w:after="0" w:line="261" w:lineRule="auto"/>
        <w:tabs>
          <w:tab w:leader="none" w:pos="13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59" w:hanging="642"/>
        <w:spacing w:after="0" w:line="261" w:lineRule="auto"/>
        <w:tabs>
          <w:tab w:leader="none" w:pos="13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19" w:hanging="650"/>
        <w:spacing w:after="0" w:line="266" w:lineRule="auto"/>
        <w:tabs>
          <w:tab w:leader="none" w:pos="7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3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40" w:right="59" w:hanging="616"/>
        <w:spacing w:after="0" w:line="282" w:lineRule="auto"/>
        <w:tabs>
          <w:tab w:leader="none" w:pos="1367"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Joseph Oliveto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0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Joseph Oliveto</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4" w:name="page115"/>
    <w:bookmarkEnd w:id="11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Amit Hasija, certify that:</w:t>
      </w:r>
    </w:p>
    <w:p>
      <w:pPr>
        <w:spacing w:after="0" w:line="158" w:lineRule="exact"/>
        <w:rPr>
          <w:sz w:val="20"/>
          <w:szCs w:val="20"/>
          <w:color w:val="auto"/>
        </w:rPr>
      </w:pPr>
    </w:p>
    <w:p>
      <w:pPr>
        <w:ind w:left="680" w:hanging="630"/>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Milestone Pharmaceuticals Inc.;</w:t>
      </w:r>
    </w:p>
    <w:p>
      <w:pPr>
        <w:spacing w:after="0" w:line="157"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00" w:right="379" w:hanging="650"/>
        <w:spacing w:after="0" w:line="289" w:lineRule="auto"/>
        <w:tabs>
          <w:tab w:leader="none" w:pos="67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7"/>
          <w:szCs w:val="17"/>
          <w:color w:val="auto"/>
        </w:rPr>
      </w:pPr>
    </w:p>
    <w:p>
      <w:pPr>
        <w:ind w:left="1340" w:right="79" w:hanging="642"/>
        <w:spacing w:after="0" w:line="261" w:lineRule="auto"/>
        <w:tabs>
          <w:tab w:leader="none" w:pos="13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59" w:hanging="642"/>
        <w:spacing w:after="0" w:line="261" w:lineRule="auto"/>
        <w:tabs>
          <w:tab w:leader="none" w:pos="13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19" w:hanging="650"/>
        <w:spacing w:after="0" w:line="266" w:lineRule="auto"/>
        <w:tabs>
          <w:tab w:leader="none" w:pos="7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3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40" w:right="59" w:hanging="616"/>
        <w:spacing w:after="0" w:line="282" w:lineRule="auto"/>
        <w:tabs>
          <w:tab w:leader="none" w:pos="1367"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0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Amit Hasija</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2"/>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Joseph Oliveto, Chief Executive Officer of Milestone Pharmaceuticals Inc. (the “Company”), and Amit Hasija, Chief Financial Officer of the Company, each hereby certifies that, to the best of his or her knowledge:</w:t>
      </w:r>
    </w:p>
    <w:p>
      <w:pPr>
        <w:spacing w:after="0" w:line="180" w:lineRule="exact"/>
        <w:rPr>
          <w:sz w:val="20"/>
          <w:szCs w:val="20"/>
          <w:color w:val="auto"/>
        </w:rPr>
      </w:pPr>
    </w:p>
    <w:p>
      <w:pPr>
        <w:ind w:left="700" w:right="139" w:hanging="650"/>
        <w:spacing w:after="0" w:line="266" w:lineRule="auto"/>
        <w:tabs>
          <w:tab w:leader="none" w:pos="7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700" w:right="259" w:hanging="650"/>
        <w:spacing w:after="0" w:line="282" w:lineRule="auto"/>
        <w:tabs>
          <w:tab w:leader="none" w:pos="7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13, 2026</w:t>
            </w:r>
          </w:p>
        </w:tc>
        <w:tc>
          <w:tcPr>
            <w:tcW w:w="4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Oliveto</w:t>
            </w:r>
          </w:p>
        </w:tc>
        <w:tc>
          <w:tcPr>
            <w:tcW w:w="4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Amit Hasija</w:t>
            </w:r>
          </w:p>
        </w:tc>
      </w:tr>
      <w:tr>
        <w:trPr>
          <w:trHeight w:val="191"/>
        </w:trPr>
        <w:tc>
          <w:tcPr>
            <w:tcW w:w="43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Oliveto</w:t>
            </w:r>
          </w:p>
        </w:tc>
        <w:tc>
          <w:tcPr>
            <w:tcW w:w="4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Amit Hasija</w:t>
            </w:r>
          </w:p>
        </w:tc>
        <w:tc>
          <w:tcPr>
            <w:tcW w:w="20" w:type="dxa"/>
            <w:vAlign w:val="bottom"/>
          </w:tcPr>
          <w:p>
            <w:pPr>
              <w:spacing w:after="0"/>
              <w:rPr>
                <w:sz w:val="16"/>
                <w:szCs w:val="16"/>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776"/>
        </w:trPr>
        <w:tc>
          <w:tcPr>
            <w:tcW w:w="4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lvl w:ilvl="1">
      <w:lvlJc w:val="left"/>
      <w:lvlText w:val="%2."/>
      <w:numFmt w:val="lowerLetter"/>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lvl w:ilvl="1">
      <w:lvlJc w:val="left"/>
      <w:lvlText w:val="(%2)"/>
      <w:numFmt w:val="lowerLetter"/>
      <w:start w:val="1"/>
    </w:lvl>
  </w:abstractNum>
  <w:abstractNum w:abstractNumId="16">
    <w:nsid w:val="374A3FE6"/>
    <w:multiLevelType w:val="hybridMultilevel"/>
    <w:lvl w:ilvl="0">
      <w:lvlJc w:val="left"/>
      <w:lvlText w:val="%1."/>
      <w:numFmt w:val="decimal"/>
      <w:start w:val="3"/>
    </w:lvl>
    <w:lvl w:ilvl="1">
      <w:lvlJc w:val="left"/>
      <w:lvlText w:val="(%2)"/>
      <w:numFmt w:val="lowerLetter"/>
      <w:start w:val="1"/>
    </w:lvl>
  </w:abstractNum>
  <w:abstractNum w:abstractNumId="17">
    <w:nsid w:val="4F4EF005"/>
    <w:multiLevelType w:val="hybridMultilevel"/>
    <w:lvl w:ilvl="0">
      <w:lvlJc w:val="left"/>
      <w:lvlText w:val="%1."/>
      <w:numFmt w:val="decimal"/>
      <w:start w:val="5"/>
    </w:lvl>
    <w:lvl w:ilvl="1">
      <w:lvlJc w:val="left"/>
      <w:lvlText w:val="(%2)"/>
      <w:numFmt w:val="lowerLetter"/>
      <w:start w:val="1"/>
    </w:lvl>
  </w:abstractNum>
  <w:abstractNum w:abstractNumId="18">
    <w:nsid w:val="23F9C13C"/>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9">
    <w:nsid w:val="649BB77C"/>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0">
    <w:nsid w:val="275AC79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21">
    <w:nsid w:val="39386575"/>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4"/>
    </w:lvl>
  </w:abstractNum>
  <w:abstractNum w:abstractNumId="22">
    <w:nsid w:val="1CF10FD8"/>
    <w:multiLevelType w:val="hybridMultilevel"/>
    <w:lvl w:ilvl="0">
      <w:lvlJc w:val="left"/>
      <w:lvlText w:val="(%1)"/>
      <w:numFmt w:val="upperLetter"/>
      <w:start w:val="2"/>
    </w:lvl>
  </w:abstractNum>
  <w:abstractNum w:abstractNumId="23">
    <w:nsid w:val="180115BE"/>
    <w:multiLevelType w:val="hybridMultilevel"/>
    <w:lvl w:ilvl="0">
      <w:lvlJc w:val="left"/>
      <w:lvlText w:val="%1"/>
      <w:numFmt w:val="decimal"/>
      <w:start w:val="1"/>
    </w:lvl>
    <w:lvl w:ilvl="1">
      <w:lvlJc w:val="left"/>
      <w:lvlText w:val="(%2)"/>
      <w:numFmt w:val="lowerLetter"/>
      <w:start w:val="2"/>
    </w:lvl>
  </w:abstractNum>
  <w:abstractNum w:abstractNumId="24">
    <w:nsid w:val="235BA861"/>
    <w:multiLevelType w:val="hybridMultilevel"/>
    <w:lvl w:ilvl="0">
      <w:lvlJc w:val="left"/>
      <w:lvlText w:val="%1."/>
      <w:numFmt w:val="decimal"/>
      <w:start w:val="11"/>
    </w:lvl>
    <w:lvl w:ilvl="1">
      <w:lvlJc w:val="left"/>
      <w:lvlText w:val="(%2)"/>
      <w:numFmt w:val="lowerLetter"/>
      <w:start w:val="1"/>
    </w:lvl>
  </w:abstractNum>
  <w:abstractNum w:abstractNumId="25">
    <w:nsid w:val="47398C89"/>
    <w:multiLevelType w:val="hybridMultilevel"/>
    <w:lvl w:ilvl="0">
      <w:lvlJc w:val="left"/>
      <w:lvlText w:val="%1"/>
      <w:numFmt w:val="decimal"/>
      <w:start w:val="1"/>
    </w:lvl>
    <w:lvl w:ilvl="1">
      <w:lvlJc w:val="left"/>
      <w:lvlText w:val="(%2)"/>
      <w:numFmt w:val="lowerLetter"/>
      <w:start w:val="2"/>
    </w:lvl>
  </w:abstractNum>
  <w:abstractNum w:abstractNumId="26">
    <w:nsid w:val="354FE9F9"/>
    <w:multiLevelType w:val="hybridMultilevel"/>
    <w:lvl w:ilvl="0">
      <w:lvlJc w:val="left"/>
      <w:lvlText w:val="%1."/>
      <w:numFmt w:val="decimal"/>
      <w:start w:val="12"/>
    </w:lvl>
    <w:lvl w:ilvl="1">
      <w:lvlJc w:val="left"/>
      <w:lvlText w:val="(%2)"/>
      <w:numFmt w:val="lowerLetter"/>
      <w:start w:val="1"/>
    </w:lvl>
  </w:abstractNum>
  <w:abstractNum w:abstractNumId="27">
    <w:nsid w:val="15B5AF5C"/>
    <w:multiLevelType w:val="hybridMultilevel"/>
    <w:lvl w:ilvl="0">
      <w:lvlJc w:val="left"/>
      <w:lvlText w:val="%1"/>
      <w:numFmt w:val="decimal"/>
      <w:start w:val="1"/>
    </w:lvl>
    <w:lvl w:ilvl="1">
      <w:lvlJc w:val="left"/>
      <w:lvlText w:val="(%2)"/>
      <w:numFmt w:val="lowerLetter"/>
      <w:start w:val="2"/>
    </w:lvl>
  </w:abstractNum>
  <w:abstractNum w:abstractNumId="28">
    <w:nsid w:val="741226BB"/>
    <w:multiLevelType w:val="hybridMultilevel"/>
    <w:lvl w:ilvl="0">
      <w:lvlJc w:val="left"/>
      <w:lvlText w:val="%1."/>
      <w:numFmt w:val="decimal"/>
      <w:start w:val="13"/>
    </w:lvl>
    <w:lvl w:ilvl="1">
      <w:lvlJc w:val="left"/>
      <w:lvlText w:val="%2"/>
      <w:numFmt w:val="lowerLetter"/>
      <w:start w:val="1"/>
    </w:lvl>
  </w:abstractNum>
  <w:abstractNum w:abstractNumId="29">
    <w:nsid w:val="D34B6A8"/>
    <w:multiLevelType w:val="hybridMultilevel"/>
    <w:lvl w:ilvl="0">
      <w:lvlJc w:val="left"/>
      <w:lvlText w:val="%1."/>
      <w:numFmt w:val="decimal"/>
      <w:start w:val="14"/>
    </w:lvl>
  </w:abstractNum>
  <w:abstractNum w:abstractNumId="30">
    <w:nsid w:val="10233C99"/>
    <w:multiLevelType w:val="hybridMultilevel"/>
    <w:lvl w:ilvl="0">
      <w:lvlJc w:val="left"/>
      <w:lvlText w:val="%1."/>
      <w:numFmt w:val="decimal"/>
      <w:start w:val="19"/>
    </w:lvl>
  </w:abstractNum>
  <w:abstractNum w:abstractNumId="31">
    <w:nsid w:val="3F6AB60F"/>
    <w:multiLevelType w:val="hybridMultilevel"/>
    <w:lvl w:ilvl="0">
      <w:lvlJc w:val="left"/>
      <w:lvlText w:val="%1"/>
      <w:numFmt w:val="decimal"/>
      <w:start w:val="1"/>
    </w:lvl>
    <w:lvl w:ilvl="1">
      <w:lvlJc w:val="left"/>
      <w:lvlText w:val="(%2)"/>
      <w:numFmt w:val="lowerLetter"/>
      <w:start w:val="1"/>
    </w:lvl>
  </w:abstractNum>
  <w:abstractNum w:abstractNumId="32">
    <w:nsid w:val="61574095"/>
    <w:multiLevelType w:val="hybridMultilevel"/>
    <w:lvl w:ilvl="0">
      <w:lvlJc w:val="left"/>
      <w:lvlText w:val="%1."/>
      <w:numFmt w:val="decimal"/>
      <w:start w:val="26"/>
    </w:lvl>
    <w:lvl w:ilvl="1">
      <w:lvlJc w:val="left"/>
      <w:lvlText w:val="(%2)"/>
      <w:numFmt w:val="lowerLetter"/>
      <w:start w:val="1"/>
    </w:lvl>
  </w:abstractNum>
  <w:abstractNum w:abstractNumId="33">
    <w:nsid w:val="7E0C57B1"/>
    <w:multiLevelType w:val="hybridMultilevel"/>
    <w:lvl w:ilvl="0">
      <w:lvlJc w:val="left"/>
      <w:lvlText w:val="(%1)"/>
      <w:numFmt w:val="lowerLetter"/>
      <w:start w:val="3"/>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2"/>
    </w:lvl>
    <w:lvl w:ilvl="1">
      <w:lvlJc w:val="left"/>
      <w:lvlText w:val="(%2)"/>
      <w:numFmt w:val="lowerRoman"/>
      <w:start w:val="2"/>
    </w:lvl>
  </w:abstractNum>
  <w:abstractNum w:abstractNumId="36">
    <w:nsid w:val="310C50B3"/>
    <w:multiLevelType w:val="hybridMultilevel"/>
    <w:lvl w:ilvl="0">
      <w:lvlJc w:val="left"/>
      <w:lvlText w:val="%1."/>
      <w:numFmt w:val="decimal"/>
      <w:start w:val="3"/>
    </w:lvl>
  </w:abstractNum>
  <w:abstractNum w:abstractNumId="37">
    <w:nsid w:val="5FF87E05"/>
    <w:multiLevelType w:val="hybridMultilevel"/>
    <w:lvl w:ilvl="0">
      <w:lvlJc w:val="left"/>
      <w:lvlText w:val="%1."/>
      <w:numFmt w:val="decimal"/>
      <w:start w:val="5"/>
    </w:lvl>
    <w:lvl w:ilvl="1">
      <w:lvlJc w:val="left"/>
      <w:lvlText w:val="(%2)"/>
      <w:numFmt w:val="lowerLetter"/>
      <w:start w:val="1"/>
    </w:lvl>
  </w:abstractNum>
  <w:abstractNum w:abstractNumId="38">
    <w:nsid w:val="2F305DEF"/>
    <w:multiLevelType w:val="hybridMultilevel"/>
    <w:lvl w:ilvl="0">
      <w:lvlJc w:val="left"/>
      <w:lvlText w:val="%1."/>
      <w:numFmt w:val="decimal"/>
      <w:start w:val="6"/>
    </w:lvl>
    <w:lvl w:ilvl="1">
      <w:lvlJc w:val="left"/>
      <w:lvlText w:val="(%2)"/>
      <w:numFmt w:val="lowerLetter"/>
      <w:start w:val="1"/>
    </w:lvl>
  </w:abstractNum>
  <w:abstractNum w:abstractNumId="39">
    <w:nsid w:val="25A70BF7"/>
    <w:multiLevelType w:val="hybridMultilevel"/>
    <w:lvl w:ilvl="0">
      <w:lvlJc w:val="left"/>
      <w:lvlText w:val="(%1)"/>
      <w:numFmt w:val="lowerLetter"/>
      <w:start w:val="3"/>
    </w:lvl>
  </w:abstractNum>
  <w:abstractNum w:abstractNumId="40">
    <w:nsid w:val="1DBABF00"/>
    <w:multiLevelType w:val="hybridMultilevel"/>
    <w:lvl w:ilvl="0">
      <w:lvlJc w:val="left"/>
      <w:lvlText w:val="(%1)"/>
      <w:numFmt w:val="lowerLetter"/>
      <w:start w:val="4"/>
    </w:lvl>
  </w:abstractNum>
  <w:abstractNum w:abstractNumId="41">
    <w:nsid w:val="4AD084E9"/>
    <w:multiLevelType w:val="hybridMultilevel"/>
    <w:lvl w:ilvl="0">
      <w:lvlJc w:val="left"/>
      <w:lvlText w:val="(%1)"/>
      <w:numFmt w:val="lowerLetter"/>
      <w:start w:val="8"/>
    </w:lvl>
  </w:abstractNum>
  <w:abstractNum w:abstractNumId="42">
    <w:nsid w:val="1F48EAA1"/>
    <w:multiLevelType w:val="hybridMultilevel"/>
    <w:lvl w:ilvl="0">
      <w:lvlJc w:val="left"/>
      <w:lvlText w:val="(%1)"/>
      <w:numFmt w:val="lowerLetter"/>
      <w:start w:val="13"/>
    </w:lvl>
  </w:abstractNum>
  <w:abstractNum w:abstractNumId="43">
    <w:nsid w:val="1381823A"/>
    <w:multiLevelType w:val="hybridMultilevel"/>
    <w:lvl w:ilvl="0">
      <w:lvlJc w:val="left"/>
      <w:lvlText w:val="(%1)"/>
      <w:numFmt w:val="lowerLetter"/>
      <w:start w:val="15"/>
    </w:lvl>
  </w:abstractNum>
  <w:abstractNum w:abstractNumId="44">
    <w:nsid w:val="5DB70AE5"/>
    <w:multiLevelType w:val="hybridMultilevel"/>
    <w:lvl w:ilvl="0">
      <w:lvlJc w:val="left"/>
      <w:lvlText w:val="(%1)"/>
      <w:numFmt w:val="lowerLetter"/>
      <w:start w:val="18"/>
    </w:lvl>
  </w:abstractNum>
  <w:abstractNum w:abstractNumId="45">
    <w:nsid w:val="100F8FCA"/>
    <w:multiLevelType w:val="hybridMultilevel"/>
    <w:lvl w:ilvl="0">
      <w:lvlJc w:val="left"/>
      <w:lvlText w:val="(%1)"/>
      <w:numFmt w:val="lowerLetter"/>
      <w:start w:val="21"/>
    </w:lvl>
  </w:abstractNum>
  <w:abstractNum w:abstractNumId="46">
    <w:nsid w:val="6590700B"/>
    <w:multiLevelType w:val="hybridMultilevel"/>
    <w:lvl w:ilvl="0">
      <w:lvlJc w:val="left"/>
      <w:lvlText w:val="(%1)"/>
      <w:numFmt w:val="lowerLetter"/>
      <w:start w:val="23"/>
    </w:lvl>
  </w:abstractNum>
  <w:abstractNum w:abstractNumId="47">
    <w:nsid w:val="15014ACB"/>
    <w:multiLevelType w:val="hybridMultilevel"/>
    <w:lvl w:ilvl="0">
      <w:lvlJc w:val="left"/>
      <w:lvlText w:val="(%1)"/>
      <w:numFmt w:val="lowerLetter"/>
      <w:start w:val="24"/>
    </w:lvl>
  </w:abstractNum>
  <w:abstractNum w:abstractNumId="48">
    <w:nsid w:val="5F5E7FD0"/>
    <w:multiLevelType w:val="hybridMultilevel"/>
    <w:lvl w:ilvl="0">
      <w:lvlJc w:val="left"/>
      <w:lvlText w:val="(%1)"/>
      <w:numFmt w:val="lowerLetter"/>
      <w:start w:val="26"/>
    </w:lvl>
  </w:abstractNum>
  <w:abstractNum w:abstractNumId="49">
    <w:nsid w:val="98A3148"/>
    <w:multiLevelType w:val="hybridMultilevel"/>
    <w:lvl w:ilvl="0">
      <w:lvlJc w:val="left"/>
      <w:lvlText w:val="(%1)"/>
      <w:numFmt w:val="lowerLetter"/>
      <w:start w:val="27"/>
    </w:lvl>
  </w:abstractNum>
  <w:abstractNum w:abstractNumId="50">
    <w:nsid w:val="799D0247"/>
    <w:multiLevelType w:val="hybridMultilevel"/>
    <w:lvl w:ilvl="0">
      <w:lvlJc w:val="left"/>
      <w:lvlText w:val="(%1)"/>
      <w:numFmt w:val="lowerLetter"/>
      <w:start w:val="30"/>
    </w:lvl>
  </w:abstractNum>
  <w:abstractNum w:abstractNumId="51">
    <w:nsid w:val="6B94764"/>
    <w:multiLevelType w:val="hybridMultilevel"/>
    <w:lvl w:ilvl="0">
      <w:lvlJc w:val="left"/>
      <w:lvlText w:val="(%1)"/>
      <w:numFmt w:val="lowerLetter"/>
      <w:start w:val="36"/>
    </w:lvl>
  </w:abstractNum>
  <w:abstractNum w:abstractNumId="52">
    <w:nsid w:val="42C296BD"/>
    <w:multiLevelType w:val="hybridMultilevel"/>
    <w:lvl w:ilvl="0">
      <w:lvlJc w:val="left"/>
      <w:lvlText w:val="(%1)"/>
      <w:numFmt w:val="lowerLetter"/>
      <w:start w:val="39"/>
    </w:lvl>
  </w:abstractNum>
  <w:abstractNum w:abstractNumId="53">
    <w:nsid w:val="168E121F"/>
    <w:multiLevelType w:val="hybridMultilevel"/>
    <w:lvl w:ilvl="0">
      <w:lvlJc w:val="left"/>
      <w:lvlText w:val="(%1)"/>
      <w:numFmt w:val="lowerLetter"/>
      <w:start w:val="44"/>
    </w:lvl>
  </w:abstractNum>
  <w:abstractNum w:abstractNumId="54">
    <w:nsid w:val="1EBA5D23"/>
    <w:multiLevelType w:val="hybridMultilevel"/>
    <w:lvl w:ilvl="0">
      <w:lvlJc w:val="left"/>
      <w:lvlText w:val="(%1)"/>
      <w:numFmt w:val="lowerLetter"/>
      <w:start w:val="47"/>
    </w:lvl>
    <w:lvl w:ilvl="1">
      <w:lvlJc w:val="left"/>
      <w:lvlText w:val="(%2)"/>
      <w:numFmt w:val="lowerRoman"/>
      <w:start w:val="1"/>
    </w:lvl>
  </w:abstractNum>
  <w:abstractNum w:abstractNumId="55">
    <w:nsid w:val="661E3F1E"/>
    <w:multiLevelType w:val="hybridMultilevel"/>
    <w:lvl w:ilvl="0">
      <w:lvlJc w:val="left"/>
      <w:lvlText w:val="(%1)"/>
      <w:numFmt w:val="lowerLetter"/>
      <w:start w:val="48"/>
    </w:lvl>
  </w:abstractNum>
  <w:abstractNum w:abstractNumId="56">
    <w:nsid w:val="5DC79EA8"/>
    <w:multiLevelType w:val="hybridMultilevel"/>
    <w:lvl w:ilvl="0">
      <w:lvlJc w:val="left"/>
      <w:lvlText w:val="(%1)"/>
      <w:numFmt w:val="lowerLetter"/>
      <w:start w:val="53"/>
    </w:lvl>
  </w:abstractNum>
  <w:abstractNum w:abstractNumId="57">
    <w:nsid w:val="540A471C"/>
    <w:multiLevelType w:val="hybridMultilevel"/>
    <w:lvl w:ilvl="0">
      <w:lvlJc w:val="left"/>
      <w:lvlText w:val="(%1)"/>
      <w:numFmt w:val="lowerLetter"/>
      <w:start w:val="57"/>
    </w:lvl>
  </w:abstractNum>
  <w:abstractNum w:abstractNumId="58">
    <w:nsid w:val="7BD3EE7B"/>
    <w:multiLevelType w:val="hybridMultilevel"/>
    <w:lvl w:ilvl="0">
      <w:lvlJc w:val="left"/>
      <w:lvlText w:val="%1."/>
      <w:numFmt w:val="decimal"/>
      <w:start w:val="7"/>
    </w:lvl>
    <w:lvl w:ilvl="1">
      <w:lvlJc w:val="left"/>
      <w:lvlText w:val="(%2)"/>
      <w:numFmt w:val="lowerLetter"/>
      <w:start w:val="1"/>
    </w:lvl>
  </w:abstractNum>
  <w:abstractNum w:abstractNumId="59">
    <w:nsid w:val="51D9C564"/>
    <w:multiLevelType w:val="hybridMultilevel"/>
    <w:lvl w:ilvl="0">
      <w:lvlJc w:val="left"/>
      <w:lvlText w:val="(%1)"/>
      <w:numFmt w:val="lowerLetter"/>
      <w:start w:val="2"/>
    </w:lvl>
  </w:abstractNum>
  <w:abstractNum w:abstractNumId="60">
    <w:nsid w:val="613EFDC5"/>
    <w:multiLevelType w:val="hybridMultilevel"/>
    <w:lvl w:ilvl="0">
      <w:lvlJc w:val="left"/>
      <w:lvlText w:val="(%1)"/>
      <w:numFmt w:val="lowerLetter"/>
      <w:start w:val="4"/>
    </w:lvl>
  </w:abstractNum>
  <w:abstractNum w:abstractNumId="61">
    <w:nsid w:val="BF72B14"/>
    <w:multiLevelType w:val="hybridMultilevel"/>
    <w:lvl w:ilvl="0">
      <w:lvlJc w:val="left"/>
      <w:lvlText w:val="(%1)"/>
      <w:numFmt w:val="lowerLetter"/>
      <w:start w:val="6"/>
    </w:lvl>
  </w:abstractNum>
  <w:abstractNum w:abstractNumId="62">
    <w:nsid w:val="11447B73"/>
    <w:multiLevelType w:val="hybridMultilevel"/>
    <w:lvl w:ilvl="0">
      <w:lvlJc w:val="left"/>
      <w:lvlText w:val="(%1)"/>
      <w:numFmt w:val="lowerLetter"/>
      <w:start w:val="10"/>
    </w:lvl>
    <w:lvl w:ilvl="1">
      <w:lvlJc w:val="left"/>
      <w:lvlText w:val="(%2)"/>
      <w:numFmt w:val="lowerRoman"/>
      <w:start w:val="1"/>
    </w:lvl>
  </w:abstractNum>
  <w:abstractNum w:abstractNumId="63">
    <w:nsid w:val="42963E5A"/>
    <w:multiLevelType w:val="hybridMultilevel"/>
    <w:lvl w:ilvl="0">
      <w:lvlJc w:val="left"/>
      <w:lvlText w:val="(%1)"/>
      <w:numFmt w:val="lowerLetter"/>
      <w:start w:val="13"/>
    </w:lvl>
  </w:abstractNum>
  <w:abstractNum w:abstractNumId="64">
    <w:nsid w:val="A0382C5"/>
    <w:multiLevelType w:val="hybridMultilevel"/>
    <w:lvl w:ilvl="0">
      <w:lvlJc w:val="left"/>
      <w:lvlText w:val="(%1)"/>
      <w:numFmt w:val="lowerLetter"/>
      <w:start w:val="14"/>
    </w:lvl>
  </w:abstractNum>
  <w:abstractNum w:abstractNumId="65">
    <w:nsid w:val="8F2B15E"/>
    <w:multiLevelType w:val="hybridMultilevel"/>
    <w:lvl w:ilvl="0">
      <w:lvlJc w:val="left"/>
      <w:lvlText w:val="(%1)"/>
      <w:numFmt w:val="lowerLetter"/>
      <w:start w:val="19"/>
    </w:lvl>
  </w:abstractNum>
  <w:abstractNum w:abstractNumId="66">
    <w:nsid w:val="1A32234B"/>
    <w:multiLevelType w:val="hybridMultilevel"/>
    <w:lvl w:ilvl="0">
      <w:lvlJc w:val="left"/>
      <w:lvlText w:val="%1"/>
      <w:numFmt w:val="decimal"/>
      <w:start w:val="1"/>
    </w:lvl>
    <w:lvl w:ilvl="1">
      <w:lvlJc w:val="left"/>
      <w:lvlText w:val="(%2)"/>
      <w:numFmt w:val="lowerLetter"/>
      <w:start w:val="21"/>
    </w:lvl>
  </w:abstractNum>
  <w:abstractNum w:abstractNumId="67">
    <w:nsid w:val="3B0FD379"/>
    <w:multiLevelType w:val="hybridMultilevel"/>
    <w:lvl w:ilvl="0">
      <w:lvlJc w:val="left"/>
      <w:lvlText w:val="%1."/>
      <w:numFmt w:val="decimal"/>
      <w:start w:val="8"/>
    </w:lvl>
    <w:lvl w:ilvl="1">
      <w:lvlJc w:val="left"/>
      <w:lvlText w:val="%2"/>
      <w:numFmt w:val="lowerLetter"/>
      <w:start w:val="1"/>
    </w:lvl>
  </w:abstractNum>
  <w:abstractNum w:abstractNumId="68">
    <w:nsid w:val="68EB2F63"/>
    <w:multiLevelType w:val="hybridMultilevel"/>
    <w:lvl w:ilvl="0">
      <w:lvlJc w:val="left"/>
      <w:lvlText w:val="%1"/>
      <w:numFmt w:val="decimal"/>
      <w:start w:val="1"/>
    </w:lvl>
    <w:lvl w:ilvl="1">
      <w:lvlJc w:val="left"/>
      <w:lvlText w:val="(%2)"/>
      <w:numFmt w:val="lowerRoman"/>
      <w:start w:val="11"/>
    </w:lvl>
  </w:abstractNum>
  <w:abstractNum w:abstractNumId="69">
    <w:nsid w:val="4962813B"/>
    <w:multiLevelType w:val="hybridMultilevel"/>
    <w:lvl w:ilvl="0">
      <w:lvlJc w:val="left"/>
      <w:lvlText w:val="%1."/>
      <w:numFmt w:val="decimal"/>
      <w:start w:val="9"/>
    </w:lvl>
    <w:lvl w:ilvl="1">
      <w:lvlJc w:val="left"/>
      <w:lvlText w:val="%2"/>
      <w:numFmt w:val="lowerRoman"/>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4"/>
    </w:lvl>
  </w:abstractNum>
  <w:abstractNum w:abstractNumId="72">
    <w:nsid w:val="14330624"/>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73">
    <w:nsid w:val="7FFFCA1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4">
    <w:nsid w:val="1A27709E"/>
    <w:multiLevelType w:val="hybridMultilevel"/>
    <w:lvl w:ilvl="0">
      <w:lvlJc w:val="left"/>
      <w:lvlText w:val="(%1)"/>
      <w:numFmt w:val="lowerRoman"/>
      <w:start w:val="3"/>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decimal"/>
      <w:start w:val="2"/>
    </w:lvl>
  </w:abstractNum>
  <w:abstractNum w:abstractNumId="77">
    <w:nsid w:val="7FB7E0AA"/>
    <w:multiLevelType w:val="hybridMultilevel"/>
    <w:lvl w:ilvl="0">
      <w:lvlJc w:val="left"/>
      <w:lvlText w:val="(%1)"/>
      <w:numFmt w:val="lowerLetter"/>
      <w:start w:val="4"/>
    </w:lvl>
  </w:abstractNum>
  <w:abstractNum w:abstractNumId="78">
    <w:nsid w:val="6EB5BD4"/>
    <w:multiLevelType w:val="hybridMultilevel"/>
    <w:lvl w:ilvl="0">
      <w:lvlJc w:val="left"/>
      <w:lvlText w:val="%1."/>
      <w:numFmt w:val="decimal"/>
      <w:start w:val="11"/>
    </w:lvl>
    <w:lvl w:ilvl="1">
      <w:lvlJc w:val="left"/>
      <w:lvlText w:val="(%2)"/>
      <w:numFmt w:val="lowerLetter"/>
      <w:start w:val="61"/>
    </w:lvl>
    <w:lvl w:ilvl="2">
      <w:lvlJc w:val="left"/>
      <w:lvlText w:val="%3"/>
      <w:numFmt w:val="decimal"/>
      <w:start w:val="1"/>
    </w:lvl>
  </w:abstractNum>
  <w:abstractNum w:abstractNumId="79">
    <w:nsid w:val="6F6DD9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0">
    <w:nsid w:val="94211F2"/>
    <w:multiLevelType w:val="hybridMultilevel"/>
    <w:lvl w:ilvl="0">
      <w:lvlJc w:val="left"/>
      <w:lvlText w:val="%1"/>
      <w:numFmt w:val="decimal"/>
      <w:start w:val="1"/>
    </w:lvl>
    <w:lvl w:ilvl="1">
      <w:lvlJc w:val="left"/>
      <w:lvlText w:val="(%2)"/>
      <w:numFmt w:val="lowerLetter"/>
      <w:start w:val="2"/>
    </w:lvl>
  </w:abstractNum>
  <w:abstractNum w:abstractNumId="81">
    <w:nsid w:val="885E1B"/>
    <w:multiLevelType w:val="hybridMultilevel"/>
    <w:lvl w:ilvl="0">
      <w:lvlJc w:val="left"/>
      <w:lvlText w:val="%1."/>
      <w:numFmt w:val="decimal"/>
      <w:start w:val="13"/>
    </w:lvl>
    <w:lvl w:ilvl="1">
      <w:lvlJc w:val="left"/>
      <w:lvlText w:val="%2"/>
      <w:numFmt w:val="lowerLetter"/>
      <w:start w:val="1"/>
    </w:lvl>
  </w:abstractNum>
  <w:abstractNum w:abstractNumId="82">
    <w:nsid w:val="76272110"/>
    <w:multiLevelType w:val="hybridMultilevel"/>
    <w:lvl w:ilvl="0">
      <w:lvlJc w:val="left"/>
      <w:lvlText w:val="%1."/>
      <w:numFmt w:val="decimal"/>
      <w:start w:val="14"/>
    </w:lvl>
  </w:abstractNum>
  <w:abstractNum w:abstractNumId="83">
    <w:nsid w:val="4C04A8AF"/>
    <w:multiLevelType w:val="hybridMultilevel"/>
    <w:lvl w:ilvl="0">
      <w:lvlJc w:val="left"/>
      <w:lvlText w:val="%1."/>
      <w:numFmt w:val="decimal"/>
      <w:start w:val="18"/>
    </w:lvl>
  </w:abstractNum>
  <w:abstractNum w:abstractNumId="84">
    <w:nsid w:val="1716703B"/>
    <w:multiLevelType w:val="hybridMultilevel"/>
    <w:lvl w:ilvl="0">
      <w:lvlJc w:val="left"/>
      <w:lvlText w:val="%1."/>
      <w:numFmt w:val="decimal"/>
      <w:start w:val="20"/>
    </w:lvl>
    <w:lvl w:ilvl="1">
      <w:lvlJc w:val="left"/>
      <w:lvlText w:val="(%2)"/>
      <w:numFmt w:val="lowerLetter"/>
      <w:start w:val="1"/>
    </w:lvl>
  </w:abstractNum>
  <w:abstractNum w:abstractNumId="85">
    <w:nsid w:val="14E17E33"/>
    <w:multiLevelType w:val="hybridMultilevel"/>
    <w:lvl w:ilvl="0">
      <w:lvlJc w:val="left"/>
      <w:lvlText w:val="%1"/>
      <w:numFmt w:val="decimal"/>
      <w:start w:val="1"/>
    </w:lvl>
    <w:lvl w:ilvl="1">
      <w:lvlJc w:val="left"/>
      <w:lvlText w:val="(%2)"/>
      <w:numFmt w:val="lowerLetter"/>
      <w:start w:val="2"/>
    </w:lvl>
  </w:abstractNum>
  <w:abstractNum w:abstractNumId="86">
    <w:nsid w:val="3222E7CD"/>
    <w:multiLevelType w:val="hybridMultilevel"/>
    <w:lvl w:ilvl="0">
      <w:lvlJc w:val="left"/>
      <w:lvlText w:val="%1."/>
      <w:numFmt w:val="decimal"/>
      <w:start w:val="24"/>
    </w:lvl>
    <w:lvl w:ilvl="1">
      <w:lvlJc w:val="left"/>
      <w:lvlText w:val="%2"/>
      <w:numFmt w:val="lowerLetter"/>
      <w:start w:val="1"/>
    </w:lvl>
  </w:abstractNum>
  <w:abstractNum w:abstractNumId="87">
    <w:nsid w:val="74DE0EE3"/>
    <w:multiLevelType w:val="hybridMultilevel"/>
    <w:lvl w:ilvl="0">
      <w:lvlJc w:val="left"/>
      <w:lvlText w:val="(%1)"/>
      <w:numFmt w:val="lowerRoman"/>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9">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68" Type="http://schemas.openxmlformats.org/officeDocument/2006/relationships/hyperlink" Target="http://www.sec.gov/Archives/edgar/data/1408443/000110465919029792/a18-41190_11ex3d1.htm" TargetMode="External"/><Relationship Id="rId69" Type="http://schemas.openxmlformats.org/officeDocument/2006/relationships/hyperlink" Target="http://www.sec.gov/Archives/edgar/data/1408443/000110465919029792/a18-41190_1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2026-05-13T06:08:39Z</dcterms:created>
  <dcterms:modified xsi:type="dcterms:W3CDTF">2026-05-13T06:08:39Z</dcterms:modified>
</cp:coreProperties>
</file>