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614433d1_8k.htm"/>
      <w:bookmarkStart w:id="1" w:name="kstm2614433d1_8k"/>
      <w:bookmarkEnd w:id="0"/>
      <w:bookmarkEnd w:id="1"/>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60812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5_edei--DocumentPeriodEndDate_c202"/>
      <w:bookmarkEnd w:id="3"/>
      <w:r>
        <w:rPr>
          <w:rFonts w:ascii="Times New Roman;Times;Serif" w:hAnsi="Times New Roman;Times;Serif"/>
          <w:b/>
          <w:i w:val="false"/>
          <w:caps w:val="false"/>
          <w:smallCaps w:val="false"/>
          <w:sz w:val="20"/>
        </w:rPr>
        <w:t>August 12,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7_edei--EntityRegistrantName_c2026"/>
      <w:bookmarkEnd w:id="4"/>
      <w:r>
        <w:rPr>
          <w:rFonts w:ascii="Times New Roman;Times;Serif" w:hAnsi="Times New Roman;Times;Serif"/>
          <w:b/>
          <w:i w:val="false"/>
          <w:caps w:val="false"/>
          <w:smallCaps w:val="false"/>
          <w:sz w:val="36"/>
        </w:rPr>
        <w:t>MILESTONE PHARMACEUTICALS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54"/>
        <w:gridCol w:w="60"/>
        <w:gridCol w:w="2600"/>
        <w:gridCol w:w="60"/>
        <w:gridCol w:w="3431"/>
      </w:tblGrid>
      <w:tr>
        <w:trPr/>
        <w:tc>
          <w:tcPr>
            <w:tcW w:w="4054" w:type="dxa"/>
            <w:tcBorders/>
            <w:vAlign w:val="center"/>
          </w:tcPr>
          <w:p>
            <w:pPr>
              <w:pStyle w:val="TableContents"/>
              <w:bidi w:val="0"/>
              <w:spacing w:before="0" w:after="283"/>
              <w:jc w:val="center"/>
              <w:rPr>
                <w:b/>
              </w:rPr>
            </w:pPr>
            <w:bookmarkStart w:id="5" w:name="xdx_909_edei--EntityIncorporationStateCo"/>
            <w:bookmarkEnd w:id="5"/>
            <w:r>
              <w:rPr>
                <w:b/>
              </w:rPr>
              <w:t>Québec</w:t>
            </w:r>
          </w:p>
        </w:tc>
        <w:tc>
          <w:tcPr>
            <w:tcW w:w="6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center"/>
              <w:rPr>
                <w:b/>
              </w:rPr>
            </w:pPr>
            <w:bookmarkStart w:id="6" w:name="xdx_90C_edei--EntityFileNumber_c20260812"/>
            <w:bookmarkEnd w:id="6"/>
            <w:r>
              <w:rPr>
                <w:b/>
              </w:rPr>
              <w:t>001-38899</w:t>
            </w:r>
          </w:p>
        </w:tc>
        <w:tc>
          <w:tcPr>
            <w:tcW w:w="60" w:type="dxa"/>
            <w:tcBorders/>
            <w:vAlign w:val="center"/>
          </w:tcPr>
          <w:p>
            <w:pPr>
              <w:pStyle w:val="TableContents"/>
              <w:bidi w:val="0"/>
              <w:spacing w:before="0" w:after="283"/>
              <w:jc w:val="left"/>
              <w:rPr/>
            </w:pPr>
            <w:r>
              <w:rPr/>
              <w:t> </w:t>
            </w:r>
          </w:p>
        </w:tc>
        <w:tc>
          <w:tcPr>
            <w:tcW w:w="3431" w:type="dxa"/>
            <w:tcBorders/>
            <w:vAlign w:val="center"/>
          </w:tcPr>
          <w:p>
            <w:pPr>
              <w:pStyle w:val="TableContents"/>
              <w:bidi w:val="0"/>
              <w:spacing w:before="0" w:after="283"/>
              <w:jc w:val="center"/>
              <w:rPr>
                <w:b/>
              </w:rPr>
            </w:pPr>
            <w:bookmarkStart w:id="7" w:name="xdx_902_edei--EntityTaxIdentificationNum"/>
            <w:bookmarkEnd w:id="7"/>
            <w:r>
              <w:rPr>
                <w:b/>
              </w:rPr>
              <w:t>Not applicable</w:t>
            </w:r>
          </w:p>
        </w:tc>
      </w:tr>
      <w:tr>
        <w:trPr/>
        <w:tc>
          <w:tcPr>
            <w:tcW w:w="4054" w:type="dxa"/>
            <w:tcBorders/>
            <w:vAlign w:val="center"/>
          </w:tcPr>
          <w:p>
            <w:pPr>
              <w:pStyle w:val="TableContents"/>
              <w:bidi w:val="0"/>
              <w:spacing w:before="0" w:after="283"/>
              <w:jc w:val="center"/>
              <w:rPr/>
            </w:pPr>
            <w:r>
              <w:rPr/>
              <w:t>(state or other jurisdiction of incorporation)</w:t>
            </w:r>
          </w:p>
        </w:tc>
        <w:tc>
          <w:tcPr>
            <w:tcW w:w="6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center"/>
              <w:rPr/>
            </w:pPr>
            <w:r>
              <w:rPr/>
              <w:t>(Commission File Number)</w:t>
            </w:r>
          </w:p>
        </w:tc>
        <w:tc>
          <w:tcPr>
            <w:tcW w:w="60" w:type="dxa"/>
            <w:tcBorders/>
            <w:vAlign w:val="center"/>
          </w:tcPr>
          <w:p>
            <w:pPr>
              <w:pStyle w:val="TableContents"/>
              <w:bidi w:val="0"/>
              <w:spacing w:before="0" w:after="283"/>
              <w:jc w:val="left"/>
              <w:rPr/>
            </w:pPr>
            <w:r>
              <w:rPr/>
              <w:t> </w:t>
            </w:r>
          </w:p>
        </w:tc>
        <w:tc>
          <w:tcPr>
            <w:tcW w:w="3431" w:type="dxa"/>
            <w:tcBorders/>
            <w:vAlign w:val="center"/>
          </w:tcPr>
          <w:p>
            <w:pPr>
              <w:pStyle w:val="TableContents"/>
              <w:bidi w:val="0"/>
              <w:spacing w:before="0" w:after="283"/>
              <w:jc w:val="center"/>
              <w:rPr/>
            </w:pPr>
            <w:r>
              <w:rPr/>
              <w:t>(I.R.S. Employer Identification No.)</w:t>
            </w:r>
          </w:p>
        </w:tc>
      </w:tr>
    </w:tbl>
    <w:p>
      <w:pPr>
        <w:pStyle w:val="TextBody"/>
        <w:bidi w:val="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3830"/>
        <w:gridCol w:w="60"/>
        <w:gridCol w:w="1085"/>
      </w:tblGrid>
      <w:tr>
        <w:trPr/>
        <w:tc>
          <w:tcPr>
            <w:tcW w:w="3830" w:type="dxa"/>
            <w:tcBorders/>
            <w:vAlign w:val="center"/>
          </w:tcPr>
          <w:p>
            <w:pPr>
              <w:pStyle w:val="TableContents"/>
              <w:bidi w:val="0"/>
              <w:spacing w:before="0" w:after="283"/>
              <w:jc w:val="center"/>
              <w:rPr>
                <w:b/>
              </w:rPr>
            </w:pPr>
            <w:bookmarkStart w:id="8" w:name="xdx_908_edei--EntityAddressAddressLine1_"/>
            <w:bookmarkEnd w:id="8"/>
            <w:r>
              <w:rPr>
                <w:b/>
              </w:rPr>
              <w:t>1111 Dr. Frederik-Philips Boulevard,</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 </w:t>
            </w:r>
          </w:p>
        </w:tc>
      </w:tr>
      <w:tr>
        <w:trPr/>
        <w:tc>
          <w:tcPr>
            <w:tcW w:w="3830" w:type="dxa"/>
            <w:tcBorders/>
            <w:vAlign w:val="center"/>
          </w:tcPr>
          <w:p>
            <w:pPr>
              <w:pStyle w:val="TableContents"/>
              <w:bidi w:val="0"/>
              <w:spacing w:before="0" w:after="283"/>
              <w:jc w:val="center"/>
              <w:rPr>
                <w:b/>
              </w:rPr>
            </w:pPr>
            <w:bookmarkStart w:id="9" w:name="xdx_900_edei--EntityAddressAddressLine2_"/>
            <w:bookmarkEnd w:id="9"/>
            <w:r>
              <w:rPr>
                <w:b/>
              </w:rPr>
              <w:t>Suite 420</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 </w:t>
            </w:r>
          </w:p>
        </w:tc>
      </w:tr>
      <w:tr>
        <w:trPr/>
        <w:tc>
          <w:tcPr>
            <w:tcW w:w="3830" w:type="dxa"/>
            <w:tcBorders/>
            <w:vAlign w:val="center"/>
          </w:tcPr>
          <w:p>
            <w:pPr>
              <w:pStyle w:val="TableContents"/>
              <w:bidi w:val="0"/>
              <w:spacing w:before="0" w:after="283"/>
              <w:jc w:val="center"/>
              <w:rPr>
                <w:b/>
              </w:rPr>
            </w:pPr>
            <w:bookmarkStart w:id="10" w:name="xdx_900_edei--EntityAddressCityOrTown_c2"/>
            <w:bookmarkEnd w:id="10"/>
            <w:r>
              <w:rPr>
                <w:b/>
              </w:rPr>
              <w:t xml:space="preserve">Montréal, </w:t>
            </w:r>
            <w:bookmarkStart w:id="11" w:name="xdx_907_edei--EntityAddressStateOrProvin"/>
            <w:bookmarkEnd w:id="11"/>
            <w:r>
              <w:rPr>
                <w:b/>
              </w:rPr>
              <w:t xml:space="preserve">Québec </w:t>
            </w:r>
            <w:bookmarkStart w:id="12" w:name="xdx_909_edei--EntityAddressCountry_c2026"/>
            <w:bookmarkEnd w:id="12"/>
            <w:r>
              <w:rPr>
                <w:b/>
              </w:rPr>
              <w:t>CA</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b/>
              </w:rPr>
            </w:pPr>
            <w:bookmarkStart w:id="13" w:name="xdx_90A_edei--EntityAddressPostalZipCode"/>
            <w:bookmarkEnd w:id="13"/>
            <w:r>
              <w:rPr>
                <w:b/>
              </w:rPr>
              <w:t>H4M 2X6</w:t>
            </w:r>
          </w:p>
        </w:tc>
      </w:tr>
      <w:tr>
        <w:trPr/>
        <w:tc>
          <w:tcPr>
            <w:tcW w:w="3830" w:type="dxa"/>
            <w:tcBorders/>
            <w:vAlign w:val="center"/>
          </w:tcPr>
          <w:p>
            <w:pPr>
              <w:pStyle w:val="TableContents"/>
              <w:bidi w:val="0"/>
              <w:spacing w:before="0" w:after="283"/>
              <w:jc w:val="center"/>
              <w:rPr/>
            </w:pPr>
            <w:r>
              <w:rPr/>
              <w:t>(Address of principal executive offices)</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4" w:name="xdx_906_edei--CityAreaCode_c20260812__20"/>
      <w:bookmarkEnd w:id="14"/>
      <w:r>
        <w:rPr>
          <w:rFonts w:ascii="Times New Roman;Times;Serif" w:hAnsi="Times New Roman;Times;Serif"/>
          <w:b/>
          <w:i w:val="false"/>
          <w:caps w:val="false"/>
          <w:smallCaps w:val="false"/>
          <w:sz w:val="20"/>
        </w:rPr>
        <w:t xml:space="preserve">514) </w:t>
      </w:r>
      <w:bookmarkStart w:id="15" w:name="xdx_907_edei--LocalPhoneNumber_c20260812"/>
      <w:bookmarkEnd w:id="15"/>
      <w:r>
        <w:rPr>
          <w:rFonts w:ascii="Times New Roman;Times;Serif" w:hAnsi="Times New Roman;Times;Serif"/>
          <w:b/>
          <w:i w:val="false"/>
          <w:caps w:val="false"/>
          <w:smallCaps w:val="false"/>
          <w:sz w:val="20"/>
        </w:rPr>
        <w:t>336-0444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2_edei--WrittenCommunications_c202"/>
            <w:bookmarkEnd w:id="16"/>
            <w:r>
              <w:rPr/>
              <w:t>☐</w:t>
            </w:r>
          </w:p>
        </w:tc>
        <w:tc>
          <w:tcPr>
            <w:tcW w:w="85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Written communications pursuant to Rule 425 under the Securities Act (17 CFR 230.425)</w:t>
            </w:r>
          </w:p>
        </w:tc>
      </w:tr>
    </w:tbl>
    <w:p>
      <w:pPr>
        <w:pStyle w:val="TextBody"/>
        <w:bidi w:val="0"/>
        <w:spacing w:before="0" w:after="0"/>
        <w:ind w:left="58"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0_edei--SolicitingMaterial_c202608"/>
            <w:bookmarkEnd w:id="17"/>
            <w:r>
              <w:rPr/>
              <w:t>☐</w:t>
            </w:r>
          </w:p>
        </w:tc>
        <w:tc>
          <w:tcPr>
            <w:tcW w:w="85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Soliciting material pursuant to Rule 14a-12 under the Exchange Act (17 CFR 240.14a-12)</w:t>
            </w:r>
          </w:p>
        </w:tc>
      </w:tr>
    </w:tbl>
    <w:p>
      <w:pPr>
        <w:pStyle w:val="TextBody"/>
        <w:bidi w:val="0"/>
        <w:spacing w:before="0" w:after="0"/>
        <w:ind w:left="58"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B_edei--PreCommencementTenderOffer"/>
            <w:bookmarkEnd w:id="18"/>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14d-2(b) under the Exchange Act (17 CFR 240.14d-2(b))</w:t>
            </w:r>
          </w:p>
        </w:tc>
      </w:tr>
    </w:tbl>
    <w:p>
      <w:pPr>
        <w:pStyle w:val="TextBody"/>
        <w:bidi w:val="0"/>
        <w:spacing w:before="0" w:after="0"/>
        <w:ind w:left="58"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9" w:name="xdx_905_edei--PreCommencementIssuerTende"/>
            <w:bookmarkEnd w:id="19"/>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13e-4(c) under the Exchange Act (17 CFR 240.13e-4(c))</w:t>
            </w:r>
          </w:p>
        </w:tc>
      </w:tr>
    </w:tbl>
    <w:p>
      <w:pPr>
        <w:pStyle w:val="TextBody"/>
        <w:bidi w:val="0"/>
        <w:spacing w:before="0" w:after="0"/>
        <w:ind w:left="58"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7260" w:type="dxa"/>
        <w:jc w:val="left"/>
        <w:tblInd w:w="0" w:type="dxa"/>
        <w:tblLayout w:type="fixed"/>
        <w:tblCellMar>
          <w:top w:w="0" w:type="dxa"/>
          <w:left w:w="0" w:type="dxa"/>
          <w:bottom w:w="0" w:type="dxa"/>
          <w:right w:w="0" w:type="dxa"/>
        </w:tblCellMar>
      </w:tblPr>
      <w:tblGrid>
        <w:gridCol w:w="1805"/>
        <w:gridCol w:w="60"/>
        <w:gridCol w:w="1925"/>
        <w:gridCol w:w="60"/>
        <w:gridCol w:w="3410"/>
      </w:tblGrid>
      <w:tr>
        <w:trPr/>
        <w:tc>
          <w:tcPr>
            <w:tcW w:w="1805" w:type="dxa"/>
            <w:tcBorders/>
            <w:vAlign w:val="center"/>
          </w:tcPr>
          <w:p>
            <w:pPr>
              <w:pStyle w:val="TableContents"/>
              <w:bidi w:val="0"/>
              <w:spacing w:before="0" w:after="283"/>
              <w:jc w:val="center"/>
              <w:rPr>
                <w:b/>
              </w:rPr>
            </w:pPr>
            <w:r>
              <w:rPr>
                <w:b/>
              </w:rPr>
              <w:t>Title of each class</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b/>
              </w:rPr>
            </w:pPr>
            <w:r>
              <w:rPr>
                <w:b/>
              </w:rPr>
              <w:t>Trading Symbol(s)</w:t>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center"/>
              <w:rPr>
                <w:b/>
              </w:rPr>
            </w:pPr>
            <w:r>
              <w:rPr>
                <w:b/>
              </w:rPr>
              <w:t>Name of each exchange on which</w:t>
              <w:br/>
              <w:t>registered</w:t>
            </w:r>
          </w:p>
        </w:tc>
      </w:tr>
      <w:tr>
        <w:trPr/>
        <w:tc>
          <w:tcPr>
            <w:tcW w:w="1805" w:type="dxa"/>
            <w:tcBorders/>
            <w:vAlign w:val="center"/>
          </w:tcPr>
          <w:p>
            <w:pPr>
              <w:pStyle w:val="TableContents"/>
              <w:bidi w:val="0"/>
              <w:spacing w:before="0" w:after="283"/>
              <w:jc w:val="center"/>
              <w:rPr/>
            </w:pPr>
            <w:bookmarkStart w:id="20" w:name="xdx_90A_edei--Security12bTitle_c20260812"/>
            <w:bookmarkEnd w:id="20"/>
            <w:r>
              <w:rPr/>
              <w:t>Common Shares</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283"/>
              <w:jc w:val="center"/>
              <w:rPr/>
            </w:pPr>
            <w:bookmarkStart w:id="21" w:name="xdx_901_edei--TradingSymbol_c20260812__2"/>
            <w:bookmarkEnd w:id="21"/>
            <w:r>
              <w:rPr/>
              <w:t>MIST</w:t>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283"/>
              <w:jc w:val="center"/>
              <w:rPr/>
            </w:pPr>
            <w:bookmarkStart w:id="22" w:name="xdx_90C_edei--SecurityExchangeName_c2026"/>
            <w:bookmarkEnd w:id="22"/>
            <w:r>
              <w:rPr/>
              <w:t>The Nasdaq Stock Market LLC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as defined in Rule 405 of the Securities Act of 1933 (§ 230.405 of this chapter) or Rule 12b–2 of the Securities Exchange Act of 1934 (§ 240.12b–2 of this chapter).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0_edei--EntityEmergingGrowthCompan"/>
      <w:bookmarkEnd w:id="23"/>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875"/>
        <w:gridCol w:w="398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2.02.</w:t>
            </w:r>
          </w:p>
        </w:tc>
        <w:tc>
          <w:tcPr>
            <w:tcW w:w="39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12, 2026, Milestone Pharmaceuticals Inc. issued a press release announcing its financial results for the second quarter ended June 30, 2026 and other business highlights. A copy of the press release is furnished as Exhibit 99.1 hereto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in this Item 2.02,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875"/>
        <w:gridCol w:w="3005"/>
      </w:tblGrid>
      <w:tr>
        <w:trPr/>
        <w:tc>
          <w:tcPr>
            <w:tcW w:w="8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9.01.</w:t>
            </w:r>
          </w:p>
        </w:tc>
        <w:tc>
          <w:tcPr>
            <w:tcW w:w="30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Financial Statements and Exhibits.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9625" w:type="dxa"/>
        <w:jc w:val="left"/>
        <w:tblInd w:w="0" w:type="dxa"/>
        <w:tblLayout w:type="fixed"/>
        <w:tblCellMar>
          <w:top w:w="0" w:type="dxa"/>
          <w:left w:w="0" w:type="dxa"/>
          <w:bottom w:w="28" w:type="dxa"/>
          <w:right w:w="0" w:type="dxa"/>
        </w:tblCellMar>
      </w:tblPr>
      <w:tblGrid>
        <w:gridCol w:w="665"/>
        <w:gridCol w:w="60"/>
        <w:gridCol w:w="8900"/>
      </w:tblGrid>
      <w:tr>
        <w:trPr/>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890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hyperlink w:anchor="tm2614433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8900" w:type="dxa"/>
            <w:tcBorders/>
            <w:tcMar>
              <w:bottom w:w="0" w:type="dxa"/>
            </w:tcMar>
            <w:vAlign w:val="center"/>
          </w:tcPr>
          <w:p>
            <w:pPr>
              <w:pStyle w:val="TableContents"/>
              <w:bidi w:val="0"/>
              <w:spacing w:before="0" w:after="283"/>
              <w:jc w:val="left"/>
              <w:rPr/>
            </w:pPr>
            <w:hyperlink w:anchor="tm2614433d1_ex99-1.htm">
              <w:r>
                <w:rPr>
                  <w:rStyle w:val="InternetLink"/>
                  <w:rFonts w:ascii="Times New Roman;Times;Serif" w:hAnsi="Times New Roman;Times;Serif"/>
                  <w:sz w:val="20"/>
                </w:rPr>
                <w:t>Press Release, dated August 12, 2026</w:t>
              </w:r>
            </w:hyperlink>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0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89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744" w:type="dxa"/>
        <w:jc w:val="left"/>
        <w:tblInd w:w="0" w:type="dxa"/>
        <w:tblLayout w:type="fixed"/>
        <w:tblCellMar>
          <w:top w:w="0" w:type="dxa"/>
          <w:left w:w="0" w:type="dxa"/>
          <w:bottom w:w="0" w:type="dxa"/>
          <w:right w:w="0" w:type="dxa"/>
        </w:tblCellMar>
      </w:tblPr>
      <w:tblGrid>
        <w:gridCol w:w="685"/>
        <w:gridCol w:w="3984"/>
        <w:gridCol w:w="75"/>
      </w:tblGrid>
      <w:tr>
        <w:trPr/>
        <w:tc>
          <w:tcPr>
            <w:tcW w:w="4669" w:type="dxa"/>
            <w:gridSpan w:val="2"/>
            <w:tcBorders/>
            <w:vAlign w:val="center"/>
          </w:tcPr>
          <w:p>
            <w:pPr>
              <w:pStyle w:val="TableContents"/>
              <w:bidi w:val="0"/>
              <w:spacing w:before="0" w:after="283"/>
              <w:jc w:val="left"/>
              <w:rPr>
                <w:b/>
              </w:rPr>
            </w:pPr>
            <w:r>
              <w:rPr>
                <w:b/>
              </w:rPr>
              <w:t>MILESTONE PHARMACEUTICALS INC.</w:t>
            </w:r>
          </w:p>
        </w:tc>
        <w:tc>
          <w:tcPr>
            <w:tcW w:w="75" w:type="dxa"/>
            <w:tcBorders/>
            <w:vAlign w:val="center"/>
          </w:tcPr>
          <w:p>
            <w:pPr>
              <w:pStyle w:val="TableContents"/>
              <w:bidi w:val="0"/>
              <w:spacing w:before="0" w:after="283"/>
              <w:jc w:val="left"/>
              <w:rPr/>
            </w:pPr>
            <w:r>
              <w:rPr/>
              <w:t> </w:t>
            </w:r>
          </w:p>
        </w:tc>
      </w:tr>
      <w:tr>
        <w:trPr/>
        <w:tc>
          <w:tcPr>
            <w:tcW w:w="466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pPr>
            <w:r>
              <w:rPr/>
              <w:t>By:</w:t>
            </w:r>
          </w:p>
        </w:tc>
        <w:tc>
          <w:tcPr>
            <w:tcW w:w="3984" w:type="dxa"/>
            <w:tcBorders>
              <w:bottom w:val="single" w:sz="8" w:space="0" w:color="000000"/>
            </w:tcBorders>
            <w:tcMar>
              <w:bottom w:w="28" w:type="dxa"/>
            </w:tcMar>
            <w:vAlign w:val="center"/>
          </w:tcPr>
          <w:p>
            <w:pPr>
              <w:pStyle w:val="TableContents"/>
              <w:bidi w:val="0"/>
              <w:spacing w:before="0" w:after="283"/>
              <w:jc w:val="left"/>
              <w:rPr/>
            </w:pPr>
            <w:r>
              <w:rPr/>
              <w:t>/s/Amit Hasija</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pPr>
            <w:r>
              <w:rPr/>
              <w:t> </w:t>
            </w:r>
          </w:p>
        </w:tc>
        <w:tc>
          <w:tcPr>
            <w:tcW w:w="3984" w:type="dxa"/>
            <w:tcBorders/>
            <w:vAlign w:val="center"/>
          </w:tcPr>
          <w:p>
            <w:pPr>
              <w:pStyle w:val="TableContents"/>
              <w:bidi w:val="0"/>
              <w:spacing w:before="0" w:after="283"/>
              <w:jc w:val="left"/>
              <w:rPr/>
            </w:pPr>
            <w:r>
              <w:rPr/>
              <w:t>Amit Hasija</w:t>
            </w:r>
          </w:p>
        </w:tc>
        <w:tc>
          <w:tcPr>
            <w:tcW w:w="75" w:type="dxa"/>
            <w:tcBorders/>
            <w:vAlign w:val="center"/>
          </w:tcPr>
          <w:p>
            <w:pPr>
              <w:pStyle w:val="TableContents"/>
              <w:bidi w:val="0"/>
              <w:spacing w:before="0" w:after="283"/>
              <w:jc w:val="left"/>
              <w:rPr/>
            </w:pPr>
            <w:r>
              <w:rPr/>
              <w:t> </w:t>
            </w:r>
          </w:p>
        </w:tc>
      </w:tr>
      <w:tr>
        <w:trPr/>
        <w:tc>
          <w:tcPr>
            <w:tcW w:w="685" w:type="dxa"/>
            <w:tcBorders/>
            <w:vAlign w:val="center"/>
          </w:tcPr>
          <w:p>
            <w:pPr>
              <w:pStyle w:val="TableContents"/>
              <w:bidi w:val="0"/>
              <w:spacing w:before="0" w:after="283"/>
              <w:jc w:val="left"/>
              <w:rPr/>
            </w:pPr>
            <w:r>
              <w:rPr/>
              <w:t> </w:t>
            </w:r>
          </w:p>
        </w:tc>
        <w:tc>
          <w:tcPr>
            <w:tcW w:w="3984" w:type="dxa"/>
            <w:tcBorders/>
            <w:vAlign w:val="center"/>
          </w:tcPr>
          <w:p>
            <w:pPr>
              <w:pStyle w:val="TableContents"/>
              <w:bidi w:val="0"/>
              <w:spacing w:before="0" w:after="283"/>
              <w:jc w:val="left"/>
              <w:rPr/>
            </w:pPr>
            <w:r>
              <w:rPr/>
              <w:t>Chief Financial Officer</w:t>
            </w:r>
          </w:p>
        </w:tc>
        <w:tc>
          <w:tcPr>
            <w:tcW w:w="75" w:type="dxa"/>
            <w:tcBorders/>
            <w:vAlign w:val="center"/>
          </w:tcPr>
          <w:p>
            <w:pPr>
              <w:pStyle w:val="TableContents"/>
              <w:bidi w:val="0"/>
              <w:spacing w:before="0" w:after="283"/>
              <w:jc w:val="left"/>
              <w:rPr/>
            </w:pPr>
            <w:r>
              <w:rPr/>
              <w:t> </w:t>
            </w:r>
          </w:p>
        </w:tc>
      </w:tr>
      <w:tr>
        <w:trPr/>
        <w:tc>
          <w:tcPr>
            <w:tcW w:w="466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669" w:type="dxa"/>
            <w:gridSpan w:val="2"/>
            <w:tcBorders/>
            <w:vAlign w:val="center"/>
          </w:tcPr>
          <w:p>
            <w:pPr>
              <w:pStyle w:val="TableContents"/>
              <w:bidi w:val="0"/>
              <w:spacing w:before="0" w:after="283"/>
              <w:jc w:val="left"/>
              <w:rPr/>
            </w:pPr>
            <w:r>
              <w:rPr/>
              <w:t>Dated: August 12,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4" w:name="tm2614433d1_ex99-1.htm"/>
      <w:bookmarkStart w:id="25" w:name="kstm2614433d1_ex991"/>
      <w:bookmarkEnd w:id="24"/>
      <w:bookmarkEnd w:id="2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Milestone Pharmaceuticals Announces Second Quarter 2026 Financial Results and Provides Corporate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50% of commercially insured lives in the U.S., representing a recent and significant increase, now have coverage for CARDAMYST® (etripamil) nasal spray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Phase 3 registrational trial of etripamil for atrial fibrillation with rapid ventricular rate (AFib-RVR) first clinical sites activated, advancing Milestone’s potential, second cardiovascular indication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$170.6 million in cash, cash equivalents and short-term investments as of June 30, 2026, provides runway into H2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to host investor call and webcast at 8:30am ET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MONTREAL and CHARLOTTE, N.C.,</w:t>
      </w:r>
      <w:r>
        <w:rPr>
          <w:rFonts w:ascii="Times New Roman;Times;Serif" w:hAnsi="Times New Roman;Times;Serif"/>
          <w:b w:val="false"/>
          <w:i w:val="false"/>
          <w:caps w:val="false"/>
          <w:smallCaps w:val="false"/>
          <w:sz w:val="20"/>
        </w:rPr>
        <w:t> August 12, 2026 – Milestone® Pharmaceuticals Inc. (Nasdaq: MIST), a biopharmaceutical company focused on the development and commercialization of innovative cardiovascular medicines, today announced financial results for the second quarter ended June 30, 2026, and provided corporate and regulatory updates.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continue to make steady progress on the launch of CARDAMYST for PSVT supported by prescription growth from a widening base of new prescribers and a meaningful recent increase in insurance coverage. We are confident that this increased coverage paired with optimized sales and marketing strategies positions us to drive acceleration of CARDAMYST prescriptions moving forward,” said Joseph Oliveto, President and Chief Executive Officer of Milestone Pharmaceuticals. “Separately, we have activated several sites in our Phase 3 ReVeRA-301 trial in AFib-RVR and look forward to enrolling the first patient. AFib-RVR is one of the most common heart arrhythmias, affecting millions of Americans. The trial is evaluating the same self-administered regimen already approved in PSVT, giving us a clear path toward extending etripamil to a larger, adjacent patient population.”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Launch Progress for CARDAMYST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CARDAMYST® (etripamil) nasal spray was launched for paroxysmal supraventricular tachycardia (PSVT) in mid-February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More than 800 unique prescribers have started patients on CARDAMYST through June 30, compared to approximately 200 at the end of Q1.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both"/>
              <w:rPr/>
            </w:pPr>
            <w:r>
              <w:rPr/>
              <w:t>More than 1,500 scripts for CARDAMYST have been filled for more than 1,300 patients with PSVT through June 30, 2026, compared to approximately 300 scripts for 300 patients at the end of Q1.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Commercial lives covered remained relatively unchanged through Q2 at approximately 25%; however, covered lives have significantly grown to approximately 50% to date as a result of recently reported formulary coverage for CARDAMYST from UnitedHealthcare and several other prominent commercial insurers.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988" w:type="dxa"/>
        <w:jc w:val="left"/>
        <w:tblInd w:w="0" w:type="dxa"/>
        <w:tblLayout w:type="fixed"/>
        <w:tblCellMar>
          <w:top w:w="0" w:type="dxa"/>
          <w:left w:w="0" w:type="dxa"/>
          <w:bottom w:w="0" w:type="dxa"/>
          <w:right w:w="0" w:type="dxa"/>
        </w:tblCellMar>
      </w:tblPr>
      <w:tblGrid>
        <w:gridCol w:w="38"/>
        <w:gridCol w:w="110"/>
        <w:gridCol w:w="884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840" w:type="dxa"/>
            <w:tcBorders/>
            <w:vAlign w:val="center"/>
          </w:tcPr>
          <w:p>
            <w:pPr>
              <w:pStyle w:val="TableContents"/>
              <w:bidi w:val="0"/>
              <w:spacing w:before="0" w:after="283"/>
              <w:jc w:val="both"/>
              <w:rPr>
                <w:sz w:val="20"/>
              </w:rPr>
            </w:pPr>
            <w:r>
              <w:rPr>
                <w:sz w:val="20"/>
              </w:rPr>
              <w:t>CARDAMYST has been nominated for the 2026 Prix Galien USA Awards for “Best Pharmaceutical Product.”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and Clinical Updates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review of the marketing authorization application for etripamil for PSVT in Europe remains on track for a decision from the European Medicines Agency (EMA) in the first half of 2027. The New Drug Application for etripamil for PSVT in China is currently under review by China’s National Medical Products Administration (NMPA). Our partner, Everest Medicines, is responsible for engagement with the NMPA for the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Two new articles have been published in the peer-reviewed </w:t>
      </w:r>
      <w:r>
        <w:rPr>
          <w:rFonts w:ascii="Times New Roman;Times;Serif" w:hAnsi="Times New Roman;Times;Serif"/>
          <w:b w:val="false"/>
          <w:i/>
          <w:caps w:val="false"/>
          <w:smallCaps w:val="false"/>
          <w:sz w:val="20"/>
        </w:rPr>
        <w:t xml:space="preserve">Journal of the American College of Cardiology: Advances, </w:t>
      </w:r>
      <w:r>
        <w:rPr>
          <w:rFonts w:ascii="Times New Roman;Times;Serif" w:hAnsi="Times New Roman;Times;Serif"/>
          <w:b w:val="false"/>
          <w:i w:val="false"/>
          <w:caps w:val="false"/>
          <w:smallCaps w:val="false"/>
          <w:sz w:val="20"/>
        </w:rPr>
        <w:t>supporting the efficacy, safety and emerging role of CARDAMYST for the management of PSVT.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Paroxysmal Supraventricular Tachycardia Treatment: Evaluating the Evidence for Established and Newly Approved Options</w:t>
            </w:r>
            <w:r>
              <w:rPr>
                <w:rFonts w:ascii="Times New Roman;Times;Serif" w:hAnsi="Times New Roman;Times;Serif"/>
                <w:sz w:val="20"/>
              </w:rPr>
              <w:t xml:space="preserve">, a summarization of the current acute PSVT treatment landscape, that includes the limitations of existing management approaches and the emerging role of etripamil nasal spray as an acute, self-administered option for outside of the healthcare setting.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Minimal Blood Pressure Effects of Intranasal Etripamil for Paroxysmal Supraventricular Tachycardia</w:t>
            </w:r>
            <w:r>
              <w:rPr>
                <w:rFonts w:ascii="Times New Roman;Times;Serif" w:hAnsi="Times New Roman;Times;Serif"/>
                <w:sz w:val="20"/>
              </w:rPr>
              <w:t>, an analysis showing that intranasal etripamil has minimal blood pressure effects, with hypotension and syncope occurring rarely across more than 1,600 clinical trial participants.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“The Impact of Paroxysmal Supraventricular Tachycardia on Patients’ Daily Life and Quality of Life Between Episodes,” an analysis which demonstrates the substantial burden between PSVT episodes, PSVT patients’ quality of life and full participation in daily activities, will be presented at the upcoming </w:t>
      </w:r>
      <w:r>
        <w:rPr>
          <w:rFonts w:ascii="Times New Roman;Times;Serif" w:hAnsi="Times New Roman;Times;Serif"/>
          <w:b w:val="false"/>
          <w:i w:val="false"/>
          <w:caps w:val="false"/>
          <w:smallCaps w:val="false"/>
          <w:sz w:val="20"/>
          <w:u w:val="single"/>
        </w:rPr>
        <w:t>European Society of Cardiology (ESC) Congress</w:t>
      </w:r>
      <w:r>
        <w:rPr>
          <w:rFonts w:ascii="Times New Roman;Times;Serif" w:hAnsi="Times New Roman;Times;Serif"/>
          <w:b w:val="false"/>
          <w:i w:val="false"/>
          <w:caps w:val="false"/>
          <w:smallCaps w:val="false"/>
          <w:sz w:val="20"/>
        </w:rPr>
        <w:t>, August 28-31,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242424"/>
          <w:sz w:val="20"/>
        </w:rPr>
        <w:t>Phase 3 registrational trial in a</w:t>
      </w:r>
      <w:r>
        <w:rPr>
          <w:rFonts w:ascii="Times New Roman;Times;Serif" w:hAnsi="Times New Roman;Times;Serif"/>
          <w:b/>
          <w:i w:val="false"/>
          <w:caps w:val="false"/>
          <w:smallCaps w:val="false"/>
          <w:sz w:val="20"/>
        </w:rPr>
        <w:t xml:space="preserve">trial fibrillation with rapid ventricular rate </w:t>
      </w:r>
      <w:r>
        <w:rPr>
          <w:rFonts w:ascii="Times New Roman;Times;Serif" w:hAnsi="Times New Roman;Times;Serif"/>
          <w:b/>
          <w:i w:val="false"/>
          <w:caps w:val="false"/>
          <w:smallCaps w:val="false"/>
          <w:color w:val="242424"/>
          <w:sz w:val="20"/>
        </w:rPr>
        <w:t>(AFib-RVR) is now open and enrolling patients</w:t>
      </w:r>
      <w:r>
        <w:rPr>
          <w:rFonts w:ascii="Times New Roman;Times;Serif" w:hAnsi="Times New Roman;Times;Serif"/>
          <w:b w:val="false"/>
          <w:i w:val="false"/>
          <w:caps w:val="false"/>
          <w:smallCaps w:val="false"/>
          <w:color w:val="242424"/>
          <w:sz w:val="20"/>
        </w:rPr>
        <w:t xml:space="preserve">. The ReVeRA-301 Phase 3 registrational trial evaluating self-administered etripamil as a potential treatment for patients with AFib-RVR is now open, with several sites activated and evaluating patients for enrollment. Previously announced plans to enroll the first patient in the second half of 2026 remain on track. The Company intends to follow the supplemental New Drug Application (sNDA) regulatory approval pathway and expects to leverage the initial PSVT indication and its safety database along with the results from the planned Phase 3 study in AFib-RVR.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Milestone had cash, cash equivalents, and short-term investments of $170.6 million, compared to $106.0 million as of December 31, 2025. The Company currently expects its cash, cash equivalents and short-term investments to be sufficient to cover operating expenses and capital expenditure into the second half of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revenues were $0.6 during the three months ended June 30, 2026. There was no product revenue during the three months ended June 30, 2025. For the six months ended June 30, 2026, product revenues were $0.8 million. There was no product revenue during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for the three months ended June 30, 2026, was $3.5 million, compared with $3.7 million for the prior year period. For the six months ended June 30, 2026, research and development expense was $6.8 million, compared with $8.6 million for the same period in 2025. The decrease was a result of a decrease in outside service costs related to drug development and research.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 for the three months ended June 30, 2026, was $22.6 million, compared with $8.9 million for the prior year period. For the six months ended June 30, 2026, selling, general and administrative expense was $43.3 million, compared with $24.4 million for the same period in 2025. The increase was a result of additional personnel costs, professional costs, and other operational expenses related to the launch of CARDAMYST.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net loss was $28.6 million or $0.21 per share, compared to a net loss of $13.0 million or $0.20 per share for the prior year period. For the six months ended June 30, 2026, net loss was $54.7 million, or $0.41 per share, compared with $33.7 million, or $0.51 per share, for the same period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details on the Company’s financials, refer to the Quarterly Report on Form 10-Q for the quarter ended June 30, 2026, filed with the U.S. Securities and Exchange Commission (SEC)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and Webcast Details</w:t>
      </w:r>
    </w:p>
    <w:p>
      <w:pPr>
        <w:pStyle w:val="TextBody"/>
        <w:bidi w:val="0"/>
        <w:spacing w:before="0" w:after="0"/>
        <w:ind w:left="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1760"/>
        <w:gridCol w:w="1370"/>
      </w:tblGrid>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Conference Dial-in:</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1-877-407-0792</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Dial-in:</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1-201-689-8263</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Conference ID:</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13761073</w:t>
            </w:r>
          </w:p>
        </w:tc>
      </w:tr>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Webcast link:</w:t>
            </w:r>
          </w:p>
        </w:tc>
        <w:tc>
          <w:tcPr>
            <w:tcW w:w="1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click here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CallMe™ link: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https://callme.viavid.com/viavid/?callme=true&amp;passcode=13756738&amp;h=true&amp;info=company-email&amp;r=true&amp;B=6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CallMe™: Participants can use guest dial-in numbers above and be answered by an operator OR click the CallMe™ link for instant telephone access to the event. The CallMe™ link will be made active 15 minutes prior to scheduled start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of the audio webcast of the call will be available under the “Investors and Media” section of Milestone’s corporate website, www.milestonepharma.com.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CARDAMYST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CARDAMYST® (etripamil) nasal spray is approved by the U.S. Food and Drug Administration (FDA) for the conversion of acute symptomatic episodes of paroxysmal supraventricular tachycardia (PSVT) to sinus rhythm in adults. It is a novel calcium channel blocker nasal spray designed as a self-administered rapid response therapy for patients, thereby bypassing the need for immediate medical oversight. The product is intended to provide health care providers with a new treatment option to enable on-demand care and patient self-management. This portable treatment may provide patients with active management and a greater sense of control over their condition. CARDAMYST is well studied with a robust clinical trial program that includes a completed Phase 3 clinical-stage program for the treatment of PSVT. Currently, etripamil is in Phase 2 development for treatment of PSVT in pediatric patients and Phase 3 development for control of acute atrial fibrillation with rapid ventricular rate (AFib-RVR) in adults. For more information, please visit </w:t>
      </w:r>
      <w:r>
        <w:rPr>
          <w:rFonts w:ascii="Times New Roman;Times;Serif" w:hAnsi="Times New Roman;Times;Serif"/>
          <w:b w:val="false"/>
          <w:i w:val="false"/>
          <w:caps w:val="false"/>
          <w:smallCaps w:val="false"/>
          <w:sz w:val="20"/>
          <w:u w:val="single"/>
        </w:rPr>
        <w:t>CARDAMYST.com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CARDAMYST is indicated for the conversion of acute symptomatic episodes of paroxysmal supraventricular tachycardia (PSVT) to sinus rhythm in adults.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IMPORTANT SAFETY INFORMATION FOR CARDAMYST (etripamil)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CARDAMYST?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CARDAMYST is a prescription medicine used to help restore normal sinus heart rhythm in adults who have symptoms of sudden episodes of fast heartbeat called paroxysmal supraventricular tachycardia (PSVT).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known if CARDAMYST is safe and effective in children.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 not use CARDAMYST if you:</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are allergic to CARDAMYST or any of its ingredients. See the Patient Information for a complete list of ingredients in CARDAMYST.</w:t>
            </w:r>
          </w:p>
        </w:tc>
      </w:tr>
    </w:tbl>
    <w:p>
      <w:pPr>
        <w:pStyle w:val="TextBody"/>
        <w:bidi w:val="0"/>
        <w:spacing w:before="0" w:after="0"/>
        <w:ind w:left="0" w:right="0" w:hanging="0"/>
        <w:jc w:val="left"/>
        <w:rPr>
          <w:caps w:val="false"/>
          <w:smallCaps w:val="false"/>
        </w:rPr>
      </w:pPr>
      <w:r>
        <w:rPr>
          <w:caps w:val="false"/>
          <w:smallCaps w:val="false"/>
        </w:rPr>
        <w:t> </w:t>
      </w:r>
    </w:p>
    <w:tbl>
      <w:tblPr>
        <w:tblW w:w="7848" w:type="dxa"/>
        <w:jc w:val="left"/>
        <w:tblInd w:w="0" w:type="dxa"/>
        <w:tblLayout w:type="fixed"/>
        <w:tblCellMar>
          <w:top w:w="0" w:type="dxa"/>
          <w:left w:w="0" w:type="dxa"/>
          <w:bottom w:w="0" w:type="dxa"/>
          <w:right w:w="0" w:type="dxa"/>
        </w:tblCellMar>
      </w:tblPr>
      <w:tblGrid>
        <w:gridCol w:w="38"/>
        <w:gridCol w:w="110"/>
        <w:gridCol w:w="770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7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have limitations in activities due to heart failure (moderate to severe heart failure).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have Wolff-Parkinson-White (WPW) syndrome, Lown-Ganong-Levine syndrome, or an abnormal heart rhythm pattern called pre-excitation (delta wave) on an electrocardiogram (ECG).</w:t>
            </w:r>
          </w:p>
        </w:tc>
      </w:tr>
    </w:tbl>
    <w:p>
      <w:pPr>
        <w:pStyle w:val="TextBody"/>
        <w:bidi w:val="0"/>
        <w:spacing w:before="0" w:after="0"/>
        <w:ind w:left="0" w:right="0" w:hanging="0"/>
        <w:jc w:val="left"/>
        <w:rPr>
          <w:caps w:val="false"/>
          <w:smallCaps w:val="false"/>
        </w:rPr>
      </w:pPr>
      <w:r>
        <w:rPr>
          <w:caps w:val="false"/>
          <w:smallCaps w:val="false"/>
        </w:rPr>
        <w:t> </w:t>
      </w:r>
    </w:p>
    <w:tbl>
      <w:tblPr>
        <w:tblW w:w="5733" w:type="dxa"/>
        <w:jc w:val="left"/>
        <w:tblInd w:w="0" w:type="dxa"/>
        <w:tblLayout w:type="fixed"/>
        <w:tblCellMar>
          <w:top w:w="0" w:type="dxa"/>
          <w:left w:w="0" w:type="dxa"/>
          <w:bottom w:w="0" w:type="dxa"/>
          <w:right w:w="0" w:type="dxa"/>
        </w:tblCellMar>
      </w:tblPr>
      <w:tblGrid>
        <w:gridCol w:w="38"/>
        <w:gridCol w:w="110"/>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5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have sick sinus syndrome without a permanent pacemaker.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658" w:type="dxa"/>
        <w:jc w:val="left"/>
        <w:tblInd w:w="0" w:type="dxa"/>
        <w:tblLayout w:type="fixed"/>
        <w:tblCellMar>
          <w:top w:w="0" w:type="dxa"/>
          <w:left w:w="0" w:type="dxa"/>
          <w:bottom w:w="0" w:type="dxa"/>
          <w:right w:w="0" w:type="dxa"/>
        </w:tblCellMar>
      </w:tblPr>
      <w:tblGrid>
        <w:gridCol w:w="38"/>
        <w:gridCol w:w="110"/>
        <w:gridCol w:w="551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5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have second degree or higher atrioventricular (AV) block.</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Before using CARDAMYST, tell your healthcare provider about all of your medical conditions, including if you:</w:t>
      </w:r>
    </w:p>
    <w:p>
      <w:pPr>
        <w:pStyle w:val="TextBody"/>
        <w:bidi w:val="0"/>
        <w:spacing w:before="0" w:after="0"/>
        <w:ind w:left="0" w:right="0" w:hanging="0"/>
        <w:jc w:val="left"/>
        <w:rPr>
          <w:caps w:val="false"/>
          <w:smallCaps w:val="false"/>
        </w:rPr>
      </w:pPr>
      <w:r>
        <w:rPr>
          <w:caps w:val="false"/>
          <w:smallCaps w:val="false"/>
        </w:rPr>
        <w:t> </w:t>
      </w:r>
    </w:p>
    <w:tbl>
      <w:tblPr>
        <w:tblW w:w="2598" w:type="dxa"/>
        <w:jc w:val="left"/>
        <w:tblInd w:w="0" w:type="dxa"/>
        <w:tblLayout w:type="fixed"/>
        <w:tblCellMar>
          <w:top w:w="0" w:type="dxa"/>
          <w:left w:w="0" w:type="dxa"/>
          <w:bottom w:w="0" w:type="dxa"/>
          <w:right w:w="0" w:type="dxa"/>
        </w:tblCellMar>
      </w:tblPr>
      <w:tblGrid>
        <w:gridCol w:w="38"/>
        <w:gridCol w:w="110"/>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4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have a history of fainting.</w:t>
            </w:r>
          </w:p>
        </w:tc>
      </w:tr>
    </w:tbl>
    <w:p>
      <w:pPr>
        <w:pStyle w:val="TextBody"/>
        <w:bidi w:val="0"/>
        <w:spacing w:before="0" w:after="0"/>
        <w:ind w:left="0" w:right="0" w:hanging="0"/>
        <w:jc w:val="left"/>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110"/>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4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have low blood pressure.</w:t>
            </w:r>
          </w:p>
        </w:tc>
      </w:tr>
    </w:tbl>
    <w:p>
      <w:pPr>
        <w:pStyle w:val="TextBody"/>
        <w:bidi w:val="0"/>
        <w:spacing w:before="0" w:after="0"/>
        <w:ind w:left="0" w:right="0" w:hanging="0"/>
        <w:jc w:val="left"/>
        <w:rPr>
          <w:caps w:val="false"/>
          <w:smallCaps w:val="false"/>
        </w:rPr>
      </w:pPr>
      <w:r>
        <w:rPr>
          <w:caps w:val="false"/>
          <w:smallCaps w:val="false"/>
        </w:rPr>
        <w:t> </w:t>
      </w:r>
    </w:p>
    <w:tbl>
      <w:tblPr>
        <w:tblW w:w="10113" w:type="dxa"/>
        <w:jc w:val="left"/>
        <w:tblInd w:w="0" w:type="dxa"/>
        <w:tblLayout w:type="fixed"/>
        <w:tblCellMar>
          <w:top w:w="0" w:type="dxa"/>
          <w:left w:w="0" w:type="dxa"/>
          <w:bottom w:w="0" w:type="dxa"/>
          <w:right w:w="0" w:type="dxa"/>
        </w:tblCellMar>
      </w:tblPr>
      <w:tblGrid>
        <w:gridCol w:w="38"/>
        <w:gridCol w:w="110"/>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are pregnant or plan to become pregnant. It is not known if CARDAMYST will harm your unborn baby.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are breastfeeding or plan to breastfeed. It is not known if CARDAMYST passes into your breast milk. You should stop breastfeeding for 12 hours after treatment with CARDAMYST. During this time, pump and throw away your breast milk. Talk to your healthcare provider about the best way to feed your baby after using CARDAMYST.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Tell your healthcare provider about all the medicines you take, </w:t>
      </w:r>
      <w:r>
        <w:rPr>
          <w:rFonts w:ascii="Times New Roman;Times;Serif" w:hAnsi="Times New Roman;Times;Serif"/>
          <w:b w:val="false"/>
          <w:i w:val="false"/>
          <w:caps w:val="false"/>
          <w:smallCaps w:val="false"/>
          <w:sz w:val="20"/>
        </w:rPr>
        <w:t>including prescription and over-the-counter medicines, vitamins, and herbal supplements.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possible side effects of CARDAMYST?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CARDAMYST may cause serious side effects,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Fainting due to CARDAMYST effects on blood pressure, heart rate, and electrical activity of the heart.</w:t>
            </w:r>
            <w:r>
              <w:rPr>
                <w:rFonts w:ascii="Times New Roman;Times;Serif" w:hAnsi="Times New Roman;Times;Serif"/>
              </w:rPr>
              <w:t> CARDAMYST may cause dizziness and fainting, especially in people with a history of fainting and certain heart problems, or people with a history of fainting during an episode of PSVT. Use CARDAMYST while sitting in a safe area where you will not fall if you become dizzy or lightheaded. Lie down if you feel dizzy or lightheaded after using CARDAMYST. If fainting occurs after using CARDAMYST, caregivers should place you on your back and seek medical help.</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most common side effects of CARDAMYST include:</w:t>
      </w:r>
    </w:p>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10" w:type="dxa"/>
        <w:tblLayout w:type="fixed"/>
        <w:tblCellMar>
          <w:top w:w="28" w:type="dxa"/>
          <w:left w:w="108" w:type="dxa"/>
          <w:bottom w:w="28" w:type="dxa"/>
          <w:right w:w="108" w:type="dxa"/>
        </w:tblCellMar>
      </w:tblPr>
      <w:tblGrid>
        <w:gridCol w:w="1895"/>
        <w:gridCol w:w="1775"/>
      </w:tblGrid>
      <w:tr>
        <w:trPr/>
        <w:tc>
          <w:tcPr>
            <w:tcW w:w="1895" w:type="dxa"/>
            <w:tcBorders>
              <w:top w:val="single" w:sz="8" w:space="0" w:color="000000"/>
              <w:left w:val="single" w:sz="8" w:space="0" w:color="000000"/>
              <w:bottom w:val="single" w:sz="8" w:space="0" w:color="000000"/>
              <w:right w:val="single" w:sz="8" w:space="0" w:color="000000"/>
            </w:tcBorders>
            <w:vAlign w:val="center"/>
          </w:tcPr>
          <w:p>
            <w:pPr>
              <w:pStyle w:val="TableContents"/>
              <w:shd w:fill="FFFFFF" w:val="clear"/>
              <w:bidi w:val="0"/>
              <w:spacing w:before="0" w:after="0"/>
              <w:ind w:left="72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nasal discomfort</w:t>
            </w:r>
          </w:p>
          <w:p>
            <w:pPr>
              <w:pStyle w:val="TableContents"/>
              <w:shd w:fill="FFFFFF" w:val="clear"/>
              <w:bidi w:val="0"/>
              <w:spacing w:before="0" w:after="0"/>
              <w:ind w:left="72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nasal congestion</w:t>
            </w:r>
          </w:p>
          <w:p>
            <w:pPr>
              <w:pStyle w:val="TableContents"/>
              <w:shd w:fill="FFFFFF" w:val="clear"/>
              <w:bidi w:val="0"/>
              <w:spacing w:before="0" w:after="0"/>
              <w:ind w:left="72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runny nose</w:t>
            </w:r>
          </w:p>
        </w:tc>
        <w:tc>
          <w:tcPr>
            <w:tcW w:w="1775" w:type="dxa"/>
            <w:tcBorders>
              <w:top w:val="single" w:sz="8" w:space="0" w:color="000000"/>
              <w:bottom w:val="single" w:sz="8" w:space="0" w:color="000000"/>
              <w:right w:val="single" w:sz="8" w:space="0" w:color="000000"/>
            </w:tcBorders>
            <w:tcMar>
              <w:left w:w="0" w:type="dxa"/>
            </w:tcMar>
            <w:vAlign w:val="center"/>
          </w:tcPr>
          <w:p>
            <w:pPr>
              <w:pStyle w:val="TableContents"/>
              <w:shd w:fill="FFFFFF" w:val="clear"/>
              <w:bidi w:val="0"/>
              <w:spacing w:before="0" w:after="0"/>
              <w:ind w:left="72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throat irritation</w:t>
            </w:r>
          </w:p>
          <w:p>
            <w:pPr>
              <w:pStyle w:val="TableContents"/>
              <w:shd w:fill="FFFFFF" w:val="clear"/>
              <w:bidi w:val="0"/>
              <w:spacing w:before="0" w:after="0"/>
              <w:ind w:left="720" w:right="0" w:hanging="360"/>
              <w:jc w:val="both"/>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nosebleed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are not all of the possible side effects for CARDAMYST. Call your doctor for medical advice about side effects. You may report side effects to FDA at 1-800-FDA-1088.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see the full Prescribing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https://milestonepharma.com/etripamilprescribinginformation.pdf</w:t>
      </w:r>
      <w:r>
        <w:rPr>
          <w:rFonts w:ascii="Times New Roman;Times;Serif" w:hAnsi="Times New Roman;Times;Serif"/>
          <w:b w:val="false"/>
          <w:i w:val="false"/>
          <w:caps w:val="false"/>
          <w:smallCaps w:val="false"/>
          <w:sz w:val="20"/>
        </w:rPr>
        <w:t> for CARDAMYST.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Milestone Pharmaceuticals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Milestone Pharmaceuticals Inc. (Nasdaq: MIST) is an emerging commercial-stage biopharmaceutical company advancing innovative cardiovascular medicines to benefit people living with certain heart conditions. Milestone’s lead product is CARDAMYST® (etripamil) nasal spray, a novel calcium channel blocker, which is FDA-approved for the conversion of acute symptomatic episodes of paroxysmal supraventricular tachycardia (PSVT) to sinus rhythm in adults. Etripamil is also in Phase 3 development for the control of symptomatic episodic attacks associated with AFib-RVR. </w:t>
      </w:r>
      <w:r>
        <w:rPr>
          <w:rFonts w:ascii="Times New Roman;Times;Serif" w:hAnsi="Times New Roman;Times;Serif"/>
          <w:b w:val="false"/>
          <w:i w:val="false"/>
          <w:caps w:val="false"/>
          <w:smallCaps w:val="false"/>
          <w:sz w:val="20"/>
          <w:u w:val="single"/>
        </w:rPr>
        <w:t>https://milestonepharma.com/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on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contains forward-looking statements within the meaning of the Private Securities Litigation Reform Act of 1995. Words such as “believe,” “continue,” “could,” “demonstrate,” “designed,” “develop,” “estimate,” “expect,” “may,” “pending,” “plan,” “potential,” “progress,” “will,” “intend” and similar expressions (as well as other words or expressions referencing future events, conditions, or circumstances) are intended to identify forward-looking statements. These forward-looking statements are based on Milestone’s expectations and assumptions as of the date of this press release. Each of these forward-looking statements involves risks and uncertainties. Actual results may differ materially from these forward-looking statements. Forward-looking statements contained in this press release include statements regarding: the commercialization and adoption of CARDAMYST; the timing and outcomes of future interactions with U.S. and foreign regulatory bodies, including the FDA, EMA and NMPA; the expected timing of initiation, completion, and results and data of Milestone’s ongoing and planned clinical studies, including the Phase 3 study in AFib-RVR; Milestone’s anticipated cash runway; and other statements not related to historical facts. Important factors that could cause actual results to differ materially from those in the forward-looking statements include, but are not limited to whether Milestone’s future interactions with the EMA will have satisfactory outcomes; whether and when, if at all, Milestone’s MMA for etripamil will be approved by the EMA; uncertainties related to the timing of initiation, enrollment, completion, evaluation and results of Milestone’s clinical trials; risks and uncertainty related to the complexity inherent in cleaning, verifying and analyzing trial data; and whether the clinical trials will validate the safety and efficacy of etripamil for PSVT or other indications, among others, general economic, political, and market conditions, including deteriorating market conditions due to investor concerns regarding inflation, international tariffs and conflicts, and overall fluctuations in the financial markets in the United States and abroad, risks related to pandemics and public health emergencies, and risks related the sufficiency of Milestone’s capital resources and its ability to raise additional capital in the current economic climate. These and other risks are set forth in Milestone’s filings with the SEC, including in its annual report on Form 10-K for the year ended December 31, 2025, under the caption “Risk Factors,” as such discussions may be updated from time to time by subsequent filings Milestone may make with the SEC. Except as required by law, Milestone assumes no obligation to update any forward-looking statements contained herein to reflect any change in expectations, even as new information becomes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Relations</w:t>
      </w:r>
      <w:r>
        <w:rPr>
          <w:rFonts w:ascii="Times New Roman;Times;Serif" w:hAnsi="Times New Roman;Times;Serif"/>
          <w:b w:val="false"/>
          <w:i w:val="false"/>
          <w:caps w:val="false"/>
          <w:smallCaps w:val="false"/>
          <w:sz w:val="20"/>
        </w:rPr>
        <w:br/>
        <w:t>Kevin Gardner, </w:t>
      </w:r>
      <w:r>
        <w:rPr>
          <w:rFonts w:ascii="Times New Roman;Times;Serif" w:hAnsi="Times New Roman;Times;Serif"/>
          <w:b w:val="false"/>
          <w:i w:val="false"/>
          <w:caps w:val="false"/>
          <w:smallCaps w:val="false"/>
          <w:sz w:val="20"/>
          <w:u w:val="single"/>
        </w:rPr>
        <w:t>kgardner@lifesciadvisors.com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 Relations</w:t>
      </w:r>
      <w:r>
        <w:rPr>
          <w:rFonts w:ascii="Times New Roman;Times;Serif" w:hAnsi="Times New Roman;Times;Serif"/>
          <w:b w:val="false"/>
          <w:i w:val="false"/>
          <w:caps w:val="false"/>
          <w:smallCaps w:val="false"/>
          <w:sz w:val="20"/>
        </w:rPr>
        <w:br/>
        <w:t>Rebecca Novak, </w:t>
      </w:r>
      <w:r>
        <w:rPr>
          <w:rFonts w:ascii="Times New Roman;Times;Serif" w:hAnsi="Times New Roman;Times;Serif"/>
          <w:b w:val="false"/>
          <w:i w:val="false"/>
          <w:caps w:val="false"/>
          <w:smallCaps w:val="false"/>
          <w:sz w:val="20"/>
          <w:u w:val="single"/>
        </w:rPr>
        <w:t>rnovak@milestonepharma.com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Milestone Pharmaceuticals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 (Unaudited)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of U.S. dollars, except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80"/>
        <w:gridCol w:w="60"/>
        <w:gridCol w:w="169"/>
        <w:gridCol w:w="1021"/>
        <w:gridCol w:w="80"/>
        <w:gridCol w:w="60"/>
        <w:gridCol w:w="232"/>
        <w:gridCol w:w="1408"/>
        <w:gridCol w:w="95"/>
      </w:tblGrid>
      <w:tr>
        <w:trPr/>
        <w:tc>
          <w:tcPr>
            <w:tcW w:w="70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0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169,728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73,046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32,914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tax credits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180,327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111,921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181,625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113,561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7,644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13,979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net of 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secured convertible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57,191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 financing obligation, long-term</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81,763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163,407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71,792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0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Equity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7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no par value, unlimited shares authorized, 124,497,980 shares issued and outstanding as of June 30, 2026, 106,236,344 shares issued and outstanding as of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384,985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352,619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Pre-funded warrants - 16,412,925 issued and outstanding as of June 30, 2026, and 16,412,925 as of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55,649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64,104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(485,283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(430,603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0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70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41,769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0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181,625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113,561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Milestone Pharmaceuticals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Loss (Unaudited)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of U.S. dollars,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72"/>
        <w:gridCol w:w="60"/>
        <w:gridCol w:w="127"/>
        <w:gridCol w:w="1076"/>
        <w:gridCol w:w="81"/>
        <w:gridCol w:w="61"/>
        <w:gridCol w:w="127"/>
        <w:gridCol w:w="969"/>
        <w:gridCol w:w="80"/>
        <w:gridCol w:w="60"/>
        <w:gridCol w:w="125"/>
        <w:gridCol w:w="1055"/>
        <w:gridCol w:w="80"/>
        <w:gridCol w:w="60"/>
        <w:gridCol w:w="125"/>
        <w:gridCol w:w="950"/>
        <w:gridCol w:w="97"/>
      </w:tblGrid>
      <w:tr>
        <w:trPr/>
        <w:tc>
          <w:tcPr>
            <w:tcW w:w="50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9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1"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09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7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50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revenue,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and other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507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50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net of tax credits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3,509</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8,647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22,648</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24,407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26,189</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33,054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507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(25,630</w:t>
            </w:r>
          </w:p>
        </w:tc>
        <w:tc>
          <w:tcPr>
            <w:tcW w:w="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(49,293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(33,054</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6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50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1,741</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(4,725</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(1,886</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507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and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(28,614</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(33,727</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507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number of shares and pre-funded warrants outstanding,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138,691,580</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66,380,118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134,512,026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66,333,024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507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per share,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w:t>
            </w:r>
          </w:p>
        </w:tc>
        <w:tc>
          <w:tcPr>
            <w:tcW w:w="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(0.51</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3183</Words>
  <Characters>18400</Characters>
  <CharactersWithSpaces>21972</CharactersWithSpaces>
  <Paragraphs>1074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