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60" w:before="0" w:after="0"/>
        <w:ind w:left="0" w:right="0" w:hanging="0"/>
        <w:jc w:val="left"/>
        <w:rPr/>
      </w:pPr>
      <w:hyperlink w:anchor="TOC">
        <w:bookmarkStart w:id="0" w:name="tm2614252-1_s3.htm"/>
        <w:bookmarkStart w:id="1" w:name="kstm26142521_s3"/>
        <w:bookmarkEnd w:id="0"/>
        <w:bookmarkEnd w:id="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r>
        <mc:AlternateContent>
          <mc:Choice Requires="wps">
            <w:drawing>
              <wp:anchor behindDoc="0" distT="0" distB="0" distL="0" distR="0" simplePos="0" locked="0" layoutInCell="1" allowOverlap="1" relativeHeight="11">
                <wp:simplePos x="0" y="0"/>
                <wp:positionH relativeFrom="page">
                  <wp:posOffset>617855</wp:posOffset>
                </wp:positionH>
                <wp:positionV relativeFrom="page">
                  <wp:posOffset>9383395</wp:posOffset>
                </wp:positionV>
                <wp:extent cx="7560310" cy="381000"/>
                <wp:effectExtent l="0" t="0" r="0" b="0"/>
                <wp:wrapNone/>
                <wp:docPr id="1" name="Frame194"/>
                <a:graphic xmlns:a="http://schemas.openxmlformats.org/drawingml/2006/main">
                  <a:graphicData uri="http://schemas.microsoft.com/office/word/2010/wordprocessingShape">
                    <wps:wsp>
                      <wps:cNvSpPr txBox="1"/>
                      <wps:spPr>
                        <a:xfrm>
                          <a:off x="0" y="0"/>
                          <a:ext cx="7560310" cy="381000"/>
                        </a:xfrm>
                        <a:prstGeom prst="rect"/>
                        <a:solidFill>
                          <a:srgbClr val="FFFFFF"/>
                        </a:solidFill>
                      </wps:spPr>
                      <wps:txbx>
                        <w:txbxContent>
                          <w:p>
                            <w:pPr>
                              <w:pStyle w:val="TextBody"/>
                              <w:bidi w:val="0"/>
                              <w:spacing w:lineRule="atLeast" w:line="190" w:before="0" w:after="0"/>
                              <w:jc w:val="both"/>
                              <w:rPr>
                                <w:rFonts w:ascii="Helvetica;Arial;sans-serif" w:hAnsi="Helvetica;Arial;sans-serif"/>
                                <w:b/>
                                <w:color w:val="FC0014"/>
                                <w:sz w:val="16"/>
                              </w:rPr>
                            </w:pPr>
                            <w:r>
                              <w:rPr>
                                <w:rFonts w:ascii="Helvetica;Arial;sans-serif" w:hAnsi="Helvetica;Arial;sans-serif"/>
                                <w:b/>
                                <w:color w:val="FC0014"/>
                                <w:spacing w:val="-2"/>
                                <w:sz w:val="16"/>
                              </w:rPr>
                              <w:t>The information in this prospectus is not complete and may be changed. These securities may not be sold until the registration statement filed with the Securities and Exchange Commission is effective. This prospectus is not an offer to sell nor does it seek an offer to buy these securities in any jurisdiction where the offer or sale is not permitted.</w:t>
                            </w:r>
                            <w:r>
                              <w:rPr>
                                <w:rFonts w:ascii="Helvetica;Arial;sans-serif" w:hAnsi="Helvetica;Arial;sans-serif"/>
                                <w:b/>
                                <w:color w:val="000000"/>
                                <w:spacing w:val="-2"/>
                                <w:sz w:val="16"/>
                              </w:rPr>
                              <w:t xml:space="preserve"> </w:t>
                            </w:r>
                          </w:p>
                        </w:txbxContent>
                      </wps:txbx>
                      <wps:bodyPr anchor="t" lIns="0" tIns="0" rIns="0" bIns="0">
                        <a:noAutofit/>
                      </wps:bodyPr>
                    </wps:wsp>
                  </a:graphicData>
                </a:graphic>
              </wp:anchor>
            </w:drawing>
          </mc:Choice>
          <mc:Fallback>
            <w:pict>
              <v:rect style="position:absolute;rotation:-0;width:595.3pt;height:30pt;mso-wrap-distance-left:0pt;mso-wrap-distance-right:0pt;mso-wrap-distance-top:0pt;mso-wrap-distance-bottom:0pt;margin-top:738.85pt;mso-position-vertical-relative:page;margin-left:48.65pt;mso-position-horizontal-relative:page">
                <v:textbox>
                  <w:txbxContent>
                    <w:p>
                      <w:pPr>
                        <w:pStyle w:val="TextBody"/>
                        <w:bidi w:val="0"/>
                        <w:spacing w:lineRule="atLeast" w:line="190" w:before="0" w:after="0"/>
                        <w:jc w:val="both"/>
                        <w:rPr>
                          <w:rFonts w:ascii="Helvetica;Arial;sans-serif" w:hAnsi="Helvetica;Arial;sans-serif"/>
                          <w:b/>
                          <w:color w:val="FC0014"/>
                          <w:sz w:val="16"/>
                        </w:rPr>
                      </w:pPr>
                      <w:r>
                        <w:rPr>
                          <w:rFonts w:ascii="Helvetica;Arial;sans-serif" w:hAnsi="Helvetica;Arial;sans-serif"/>
                          <w:b/>
                          <w:color w:val="FC0014"/>
                          <w:spacing w:val="-2"/>
                          <w:sz w:val="16"/>
                        </w:rPr>
                        <w:t>The information in this prospectus is not complete and may be changed. These securities may not be sold until the registration statement filed with the Securities and Exchange Commission is effective. This prospectus is not an offer to sell nor does it seek an offer to buy these securities in any jurisdiction where the offer or sale is not permitted.</w:t>
                      </w:r>
                      <w:r>
                        <w:rPr>
                          <w:rFonts w:ascii="Helvetica;Arial;sans-serif" w:hAnsi="Helvetica;Arial;sans-serif"/>
                          <w:b/>
                          <w:color w:val="000000"/>
                          <w:spacing w:val="-2"/>
                          <w:sz w:val="16"/>
                        </w:rPr>
                        <w:t xml:space="preserve"> </w:t>
                      </w:r>
                    </w:p>
                  </w:txbxContent>
                </v:textbox>
                <w10:wrap type="none"/>
              </v:rect>
            </w:pict>
          </mc:Fallback>
        </mc:AlternateContent>
      </w:r>
      <w:r>
        <mc:AlternateContent>
          <mc:Choice Requires="wps">
            <w:drawing>
              <wp:anchor behindDoc="0" distT="0" distB="0" distL="0" distR="0" simplePos="0" locked="0" layoutInCell="1" allowOverlap="1" relativeHeight="2">
                <wp:simplePos x="0" y="0"/>
                <wp:positionH relativeFrom="page">
                  <wp:posOffset>617855</wp:posOffset>
                </wp:positionH>
                <wp:positionV relativeFrom="page">
                  <wp:posOffset>9383395</wp:posOffset>
                </wp:positionV>
                <wp:extent cx="7560310" cy="381000"/>
                <wp:effectExtent l="0" t="0" r="0" b="0"/>
                <wp:wrapNone/>
                <wp:docPr id="2" name="Frame8"/>
                <a:graphic xmlns:a="http://schemas.openxmlformats.org/drawingml/2006/main">
                  <a:graphicData uri="http://schemas.microsoft.com/office/word/2010/wordprocessingShape">
                    <wps:wsp>
                      <wps:cNvSpPr txBox="1"/>
                      <wps:spPr>
                        <a:xfrm>
                          <a:off x="0" y="0"/>
                          <a:ext cx="7560310" cy="381000"/>
                        </a:xfrm>
                        <a:prstGeom prst="rect"/>
                        <a:solidFill>
                          <a:srgbClr val="FFFFFF"/>
                        </a:solidFill>
                      </wps:spPr>
                      <wps:txbx>
                        <w:txbxContent>
                          <w:p>
                            <w:pPr>
                              <w:pStyle w:val="TextBody"/>
                              <w:bidi w:val="0"/>
                              <w:spacing w:lineRule="atLeast" w:line="190" w:before="0" w:after="0"/>
                              <w:jc w:val="both"/>
                              <w:rPr>
                                <w:rFonts w:ascii="Helvetica;Arial;sans-serif" w:hAnsi="Helvetica;Arial;sans-serif"/>
                                <w:b/>
                                <w:color w:val="FC0014"/>
                                <w:sz w:val="16"/>
                              </w:rPr>
                            </w:pPr>
                            <w:r>
                              <w:rPr>
                                <w:rFonts w:ascii="Helvetica;Arial;sans-serif" w:hAnsi="Helvetica;Arial;sans-serif"/>
                                <w:b/>
                                <w:color w:val="FC0014"/>
                                <w:spacing w:val="-2"/>
                                <w:sz w:val="16"/>
                              </w:rPr>
                              <w:t>The information in this prospectus is not complete and may be changed. These securities may not be sold until the registration statement filed with the Securities and Exchange Commission is effective. This prospectus is not an offer to sell nor does it seek an offer to buy these securities in any jurisdiction where the offer or sale is not permitted.</w:t>
                            </w:r>
                            <w:r>
                              <w:rPr>
                                <w:rFonts w:ascii="Helvetica;Arial;sans-serif" w:hAnsi="Helvetica;Arial;sans-serif"/>
                                <w:b/>
                                <w:color w:val="000000"/>
                                <w:spacing w:val="-2"/>
                                <w:sz w:val="16"/>
                              </w:rPr>
                              <w:t xml:space="preserve"> </w:t>
                            </w:r>
                          </w:p>
                        </w:txbxContent>
                      </wps:txbx>
                      <wps:bodyPr anchor="t" lIns="0" tIns="0" rIns="0" bIns="0">
                        <a:noAutofit/>
                      </wps:bodyPr>
                    </wps:wsp>
                  </a:graphicData>
                </a:graphic>
              </wp:anchor>
            </w:drawing>
          </mc:Choice>
          <mc:Fallback>
            <w:pict>
              <v:rect style="position:absolute;rotation:-0;width:595.3pt;height:30pt;mso-wrap-distance-left:0pt;mso-wrap-distance-right:0pt;mso-wrap-distance-top:0pt;mso-wrap-distance-bottom:0pt;margin-top:738.85pt;mso-position-vertical-relative:page;margin-left:48.65pt;mso-position-horizontal-relative:page">
                <v:textbox>
                  <w:txbxContent>
                    <w:p>
                      <w:pPr>
                        <w:pStyle w:val="TextBody"/>
                        <w:bidi w:val="0"/>
                        <w:spacing w:lineRule="atLeast" w:line="190" w:before="0" w:after="0"/>
                        <w:jc w:val="both"/>
                        <w:rPr>
                          <w:rFonts w:ascii="Helvetica;Arial;sans-serif" w:hAnsi="Helvetica;Arial;sans-serif"/>
                          <w:b/>
                          <w:color w:val="FC0014"/>
                          <w:sz w:val="16"/>
                        </w:rPr>
                      </w:pPr>
                      <w:r>
                        <w:rPr>
                          <w:rFonts w:ascii="Helvetica;Arial;sans-serif" w:hAnsi="Helvetica;Arial;sans-serif"/>
                          <w:b/>
                          <w:color w:val="FC0014"/>
                          <w:spacing w:val="-2"/>
                          <w:sz w:val="16"/>
                        </w:rPr>
                        <w:t>The information in this prospectus is not complete and may be changed. These securities may not be sold until the registration statement filed with the Securities and Exchange Commission is effective. This prospectus is not an offer to sell nor does it seek an offer to buy these securities in any jurisdiction where the offer or sale is not permitted.</w:t>
                      </w:r>
                      <w:r>
                        <w:rPr>
                          <w:rFonts w:ascii="Helvetica;Arial;sans-serif" w:hAnsi="Helvetica;Arial;sans-serif"/>
                          <w:b/>
                          <w:color w:val="000000"/>
                          <w:spacing w:val="-2"/>
                          <w:sz w:val="16"/>
                        </w:rPr>
                        <w:t xml:space="preserve"> </w:t>
                      </w:r>
                    </w:p>
                  </w:txbxContent>
                </v:textbox>
                <w10:wrap type="none"/>
              </v:rect>
            </w:pict>
          </mc:Fallback>
        </mc:AlternateContent>
      </w:r>
    </w:p>
    <w:p>
      <w:pPr>
        <w:pStyle w:val="TextBody"/>
        <w:bidi w:val="0"/>
        <w:spacing w:lineRule="atLeast" w:line="190" w:before="557" w:after="437"/>
        <w:ind w:left="540" w:right="0" w:hanging="0"/>
        <w:jc w:val="center"/>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As filed with the Securities and Exchange Commission on May 13, 2026</w:t>
      </w:r>
      <w:r>
        <w:rPr>
          <w:rFonts w:ascii="Times New Roman;Times;serif" w:hAnsi="Times New Roman;Times;serif"/>
          <w:b/>
          <w:i w:val="false"/>
          <w:caps w:val="false"/>
          <w:smallCaps w:val="false"/>
          <w:color w:val="000000"/>
          <w:spacing w:val="4"/>
          <w:sz w:val="18"/>
        </w:rPr>
        <w:t xml:space="preserve"> </w:t>
      </w:r>
    </w:p>
    <w:p>
      <w:pPr>
        <w:pStyle w:val="TextBody"/>
        <w:bidi w:val="0"/>
        <w:spacing w:lineRule="atLeast" w:line="190" w:before="10" w:after="283"/>
        <w:jc w:val="right"/>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Registration No. 333-     </w:t>
      </w:r>
      <w:r>
        <w:rPr>
          <w:rFonts w:ascii="Times New Roman;Times;serif" w:hAnsi="Times New Roman;Times;serif"/>
          <w:b/>
          <w:i w:val="false"/>
          <w:caps w:val="false"/>
          <w:smallCaps w:val="false"/>
          <w:color w:val="000000"/>
          <w:sz w:val="18"/>
        </w:rPr>
        <w:t>​</w:t>
      </w:r>
    </w:p>
    <w:p>
      <w:pPr>
        <w:pStyle w:val="TextBody"/>
        <w:bidi w:val="0"/>
        <w:spacing w:before="34" w:after="283"/>
        <w:ind w:left="540"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TextBody"/>
        <w:bidi w:val="0"/>
        <w:spacing w:before="24" w:after="283"/>
        <w:ind w:left="54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320" w:before="54" w:after="283"/>
        <w:jc w:val="center"/>
        <w:rPr>
          <w:rFonts w:ascii="Times New Roman;Times;serif" w:hAnsi="Times New Roman;Times;serif"/>
          <w:b/>
          <w:i w:val="false"/>
          <w:caps w:val="false"/>
          <w:smallCaps w:val="false"/>
          <w:color w:val="000000"/>
          <w:sz w:val="32"/>
        </w:rPr>
      </w:pPr>
      <w:r>
        <w:rPr>
          <w:rFonts w:ascii="Times New Roman;Times;serif" w:hAnsi="Times New Roman;Times;serif"/>
          <w:b/>
          <w:i w:val="false"/>
          <w:caps w:val="false"/>
          <w:smallCaps w:val="false"/>
          <w:color w:val="000000"/>
          <w:spacing w:val="-6"/>
          <w:sz w:val="32"/>
        </w:rPr>
        <w:t>UNITED STATES</w:t>
      </w:r>
      <w:r>
        <w:rPr>
          <w:rFonts w:ascii="Times New Roman;Times;serif" w:hAnsi="Times New Roman;Times;serif"/>
          <w:b/>
          <w:i w:val="false"/>
          <w:caps w:val="false"/>
          <w:smallCaps w:val="false"/>
          <w:color w:val="000000"/>
          <w:sz w:val="32"/>
        </w:rPr>
        <w:t xml:space="preserve"> </w:t>
        <w:br/>
      </w:r>
      <w:r>
        <w:rPr>
          <w:rFonts w:ascii="Times New Roman;Times;serif" w:hAnsi="Times New Roman;Times;serif"/>
          <w:b/>
          <w:i w:val="false"/>
          <w:caps w:val="false"/>
          <w:smallCaps w:val="false"/>
          <w:color w:val="000000"/>
          <w:spacing w:val="-6"/>
          <w:sz w:val="32"/>
        </w:rPr>
        <w:t>SECURITIES AND EXCHANGE COMMISSION</w:t>
      </w:r>
      <w:r>
        <w:rPr>
          <w:rFonts w:ascii="Times New Roman;Times;serif" w:hAnsi="Times New Roman;Times;serif"/>
          <w:b/>
          <w:i w:val="false"/>
          <w:caps w:val="false"/>
          <w:smallCaps w:val="false"/>
          <w:color w:val="000000"/>
          <w:sz w:val="32"/>
        </w:rPr>
        <w:t xml:space="preserve"> </w:t>
        <w:br/>
      </w:r>
      <w:r>
        <w:rPr>
          <w:rFonts w:ascii="Times New Roman;Times;serif" w:hAnsi="Times New Roman;Times;serif"/>
          <w:b/>
          <w:i w:val="false"/>
          <w:caps w:val="false"/>
          <w:smallCaps w:val="false"/>
          <w:color w:val="000000"/>
          <w:spacing w:val="-4"/>
          <w:sz w:val="18"/>
        </w:rPr>
        <w:t>Washington, D.C. 20549</w:t>
      </w:r>
      <w:r>
        <w:rPr>
          <w:rFonts w:ascii="Times New Roman;Times;serif" w:hAnsi="Times New Roman;Times;serif"/>
          <w:b/>
          <w:i w:val="false"/>
          <w:caps w:val="false"/>
          <w:smallCaps w:val="false"/>
          <w:color w:val="000000"/>
          <w:spacing w:val="6"/>
          <w:sz w:val="32"/>
        </w:rPr>
        <w:t xml:space="preserve"> </w:t>
      </w:r>
    </w:p>
    <w:p>
      <w:pPr>
        <w:pStyle w:val="TextBody"/>
        <w:bidi w:val="0"/>
        <w:spacing w:before="14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330" w:before="94" w:after="283"/>
        <w:jc w:val="center"/>
        <w:rPr>
          <w:rFonts w:ascii="Times New Roman;Times;serif" w:hAnsi="Times New Roman;Times;serif"/>
          <w:b/>
          <w:i w:val="false"/>
          <w:caps w:val="false"/>
          <w:smallCaps w:val="false"/>
          <w:color w:val="000000"/>
          <w:sz w:val="32"/>
        </w:rPr>
      </w:pPr>
      <w:r>
        <w:rPr>
          <w:rFonts w:ascii="Times New Roman;Times;serif" w:hAnsi="Times New Roman;Times;serif"/>
          <w:b/>
          <w:i w:val="false"/>
          <w:caps w:val="false"/>
          <w:smallCaps w:val="false"/>
          <w:color w:val="000000"/>
          <w:spacing w:val="-6"/>
          <w:sz w:val="32"/>
        </w:rPr>
        <w:t>FORM S-3</w:t>
      </w:r>
      <w:r>
        <w:rPr>
          <w:rFonts w:ascii="Times New Roman;Times;serif" w:hAnsi="Times New Roman;Times;serif"/>
          <w:b/>
          <w:i w:val="false"/>
          <w:caps w:val="false"/>
          <w:smallCaps w:val="false"/>
          <w:color w:val="000000"/>
          <w:spacing w:val="6"/>
          <w:sz w:val="32"/>
        </w:rPr>
        <w:t xml:space="preserve"> </w:t>
      </w:r>
    </w:p>
    <w:p>
      <w:pPr>
        <w:pStyle w:val="TextBody"/>
        <w:bidi w:val="0"/>
        <w:spacing w:lineRule="atLeast" w:line="180" w:before="60" w:after="283"/>
        <w:jc w:val="center"/>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REGISTRATION STATEMENT</w:t>
      </w:r>
      <w:r>
        <w:rPr>
          <w:rFonts w:ascii="Times New Roman;Times;serif" w:hAnsi="Times New Roman;Times;serif"/>
          <w:b/>
          <w:i w:val="false"/>
          <w:caps w:val="false"/>
          <w:smallCaps w:val="false"/>
          <w:color w:val="000000"/>
          <w:sz w:val="18"/>
        </w:rPr>
        <w:t xml:space="preserve"> </w:t>
        <w:br/>
      </w:r>
      <w:r>
        <w:rPr>
          <w:rFonts w:ascii="Times New Roman;Times;serif" w:hAnsi="Times New Roman;Times;serif"/>
          <w:b/>
          <w:i w:val="false"/>
          <w:caps w:val="false"/>
          <w:smallCaps w:val="false"/>
          <w:color w:val="000000"/>
          <w:spacing w:val="-4"/>
          <w:sz w:val="18"/>
        </w:rPr>
        <w:t>UNDER</w:t>
      </w:r>
      <w:r>
        <w:rPr>
          <w:rFonts w:ascii="Times New Roman;Times;serif" w:hAnsi="Times New Roman;Times;serif"/>
          <w:b/>
          <w:i w:val="false"/>
          <w:caps w:val="false"/>
          <w:smallCaps w:val="false"/>
          <w:color w:val="000000"/>
          <w:sz w:val="18"/>
        </w:rPr>
        <w:t xml:space="preserve"> </w:t>
        <w:br/>
      </w:r>
      <w:r>
        <w:rPr>
          <w:rFonts w:ascii="Times New Roman;Times;serif" w:hAnsi="Times New Roman;Times;serif"/>
          <w:b/>
          <w:i w:val="false"/>
          <w:caps w:val="false"/>
          <w:smallCaps w:val="false"/>
          <w:color w:val="000000"/>
          <w:spacing w:val="-4"/>
          <w:sz w:val="18"/>
        </w:rPr>
        <w:t>THE SECURITIES ACT OF 1933</w:t>
      </w:r>
      <w:r>
        <w:rPr>
          <w:rFonts w:ascii="Times New Roman;Times;serif" w:hAnsi="Times New Roman;Times;serif"/>
          <w:b/>
          <w:i w:val="false"/>
          <w:caps w:val="false"/>
          <w:smallCaps w:val="false"/>
          <w:color w:val="000000"/>
          <w:spacing w:val="4"/>
          <w:sz w:val="18"/>
        </w:rPr>
        <w:t xml:space="preserve"> </w:t>
      </w:r>
    </w:p>
    <w:p>
      <w:pPr>
        <w:pStyle w:val="TextBody"/>
        <w:bidi w:val="0"/>
        <w:spacing w:before="10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330" w:before="184" w:after="283"/>
        <w:jc w:val="center"/>
        <w:rPr>
          <w:rFonts w:ascii="Times New Roman;Times;serif" w:hAnsi="Times New Roman;Times;serif"/>
          <w:b/>
          <w:i w:val="false"/>
          <w:caps w:val="false"/>
          <w:smallCaps w:val="false"/>
          <w:color w:val="000000"/>
          <w:sz w:val="32"/>
        </w:rPr>
      </w:pPr>
      <w:r>
        <w:rPr>
          <w:rFonts w:ascii="Times New Roman;Times;serif" w:hAnsi="Times New Roman;Times;serif"/>
          <w:b/>
          <w:i w:val="false"/>
          <w:caps w:val="false"/>
          <w:smallCaps w:val="false"/>
          <w:color w:val="000000"/>
          <w:spacing w:val="-6"/>
          <w:sz w:val="32"/>
        </w:rPr>
        <w:t>Milestone Pharmaceuticals Inc.</w:t>
      </w:r>
      <w:r>
        <w:rPr>
          <w:rFonts w:ascii="Times New Roman;Times;serif" w:hAnsi="Times New Roman;Times;serif"/>
          <w:b/>
          <w:i w:val="false"/>
          <w:caps w:val="false"/>
          <w:smallCaps w:val="false"/>
          <w:color w:val="000000"/>
          <w:spacing w:val="6"/>
          <w:sz w:val="32"/>
        </w:rPr>
        <w:t xml:space="preserve"> </w:t>
      </w:r>
    </w:p>
    <w:p>
      <w:pPr>
        <w:pStyle w:val="TextBody"/>
        <w:bidi w:val="0"/>
        <w:spacing w:lineRule="atLeast" w:line="170" w:before="0" w:after="283"/>
        <w:jc w:val="center"/>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(Exact name of registrant as specified in its charter) </w:t>
      </w:r>
    </w:p>
    <w:p>
      <w:pPr>
        <w:pStyle w:val="TextBody"/>
        <w:bidi w:val="0"/>
        <w:spacing w:before="94" w:after="283"/>
        <w:jc w:val="center"/>
        <w:rPr>
          <w:caps w:val="false"/>
          <w:smallCaps w:val="false"/>
          <w:color w:val="000000"/>
          <w:bdr w:val="single" w:sz="8" w:space="1" w:color="000000"/>
        </w:rPr>
      </w:pPr>
      <w:r>
        <w:rPr>
          <w:caps w:val="false"/>
          <w:smallCaps w:val="false"/>
          <w:color w:val="000000"/>
          <w:bdr w:val="single" w:sz="8" w:space="1" w:color="000000"/>
        </w:rPr>
        <w:t>​</w:t>
      </w:r>
    </w:p>
    <w:tbl>
      <w:tblPr>
        <w:tblW w:w="4647" w:type="dxa"/>
        <w:jc w:val="left"/>
        <w:tblInd w:w="540" w:type="dxa"/>
        <w:tblLayout w:type="fixed"/>
        <w:tblCellMar>
          <w:top w:w="0" w:type="dxa"/>
          <w:left w:w="0" w:type="dxa"/>
          <w:bottom w:w="0" w:type="dxa"/>
          <w:right w:w="0" w:type="dxa"/>
        </w:tblCellMar>
      </w:tblPr>
      <w:tblGrid>
        <w:gridCol w:w="124"/>
        <w:gridCol w:w="2341"/>
        <w:gridCol w:w="109"/>
        <w:gridCol w:w="109"/>
        <w:gridCol w:w="1810"/>
        <w:gridCol w:w="154"/>
      </w:tblGrid>
      <w:tr>
        <w:trPr/>
        <w:tc>
          <w:tcPr>
            <w:tcW w:w="124" w:type="dxa"/>
            <w:tcBorders/>
            <w:vAlign w:val="center"/>
          </w:tcPr>
          <w:p>
            <w:pPr>
              <w:pStyle w:val="TableContents"/>
              <w:bidi w:val="0"/>
              <w:spacing w:before="0" w:after="283"/>
              <w:jc w:val="left"/>
              <w:rPr/>
            </w:pPr>
            <w:r>
              <w:rPr/>
              <w:t>​</w:t>
            </w:r>
          </w:p>
        </w:tc>
        <w:tc>
          <w:tcPr>
            <w:tcW w:w="2341" w:type="dxa"/>
            <w:tcBorders/>
            <w:vAlign w:val="center"/>
          </w:tcPr>
          <w:p>
            <w:pPr>
              <w:pStyle w:val="TableContents"/>
              <w:bidi w:val="0"/>
              <w:spacing w:before="0" w:after="0"/>
              <w:jc w:val="center"/>
              <w:rPr/>
            </w:pPr>
            <w:r>
              <w:rPr>
                <w:spacing w:val="-4"/>
              </w:rPr>
              <w:t>Québec</w:t>
            </w:r>
            <w:r>
              <w:rPr/>
              <w:t xml:space="preserve"> </w:t>
            </w:r>
          </w:p>
          <w:p>
            <w:pPr>
              <w:pStyle w:val="TableContents"/>
              <w:bidi w:val="0"/>
              <w:spacing w:lineRule="atLeast" w:line="160" w:before="36" w:after="283"/>
              <w:jc w:val="center"/>
              <w:rPr>
                <w:b w:val="false"/>
                <w:sz w:val="16"/>
              </w:rPr>
            </w:pPr>
            <w:r>
              <w:rPr>
                <w:b w:val="false"/>
                <w:spacing w:val="3"/>
                <w:sz w:val="16"/>
              </w:rPr>
              <w:t>(State or other jurisdiction of</w:t>
            </w:r>
            <w:r>
              <w:rPr>
                <w:b w:val="false"/>
                <w:sz w:val="16"/>
              </w:rPr>
              <w:t xml:space="preserve"> </w:t>
              <w:br/>
            </w:r>
            <w:r>
              <w:rPr>
                <w:b w:val="false"/>
                <w:spacing w:val="3"/>
                <w:sz w:val="16"/>
              </w:rPr>
              <w:t xml:space="preserve">incorporation or organization)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810" w:type="dxa"/>
            <w:tcBorders/>
            <w:vAlign w:val="center"/>
          </w:tcPr>
          <w:p>
            <w:pPr>
              <w:pStyle w:val="TableContents"/>
              <w:bidi w:val="0"/>
              <w:spacing w:before="0" w:after="0"/>
              <w:jc w:val="center"/>
              <w:rPr/>
            </w:pPr>
            <w:r>
              <w:rPr>
                <w:spacing w:val="-4"/>
              </w:rPr>
              <w:t>Not applicable</w:t>
            </w:r>
            <w:r>
              <w:rPr/>
              <w:t xml:space="preserve"> </w:t>
            </w:r>
          </w:p>
          <w:p>
            <w:pPr>
              <w:pStyle w:val="TableContents"/>
              <w:bidi w:val="0"/>
              <w:spacing w:lineRule="atLeast" w:line="160" w:before="36" w:after="283"/>
              <w:jc w:val="center"/>
              <w:rPr>
                <w:b w:val="false"/>
                <w:sz w:val="16"/>
              </w:rPr>
            </w:pPr>
            <w:r>
              <w:rPr>
                <w:b w:val="false"/>
                <w:spacing w:val="3"/>
                <w:sz w:val="16"/>
              </w:rPr>
              <w:t>(I.R.S. Employer</w:t>
            </w:r>
            <w:r>
              <w:rPr>
                <w:b w:val="false"/>
                <w:sz w:val="16"/>
              </w:rPr>
              <w:t xml:space="preserve"> </w:t>
              <w:br/>
            </w:r>
            <w:r>
              <w:rPr>
                <w:b w:val="false"/>
                <w:spacing w:val="3"/>
                <w:sz w:val="16"/>
              </w:rPr>
              <w:t>Identification Number)</w:t>
            </w:r>
            <w:r>
              <w:rPr>
                <w:b w:val="false"/>
                <w:sz w:val="16"/>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180" w:before="204" w:after="283"/>
        <w:ind w:left="540" w:right="0" w:hanging="0"/>
        <w:jc w:val="center"/>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1111 Dr. Frederik-Philips Boulevard, Suite 420</w:t>
      </w:r>
      <w:r>
        <w:rPr>
          <w:rFonts w:ascii="Times New Roman;Times;serif" w:hAnsi="Times New Roman;Times;serif"/>
          <w:b/>
          <w:i w:val="false"/>
          <w:caps w:val="false"/>
          <w:smallCaps w:val="false"/>
          <w:color w:val="000000"/>
          <w:sz w:val="18"/>
        </w:rPr>
        <w:t xml:space="preserve"> </w:t>
        <w:br/>
      </w:r>
      <w:r>
        <w:rPr>
          <w:rFonts w:ascii="Times New Roman;Times;serif" w:hAnsi="Times New Roman;Times;serif"/>
          <w:b/>
          <w:i w:val="false"/>
          <w:caps w:val="false"/>
          <w:smallCaps w:val="false"/>
          <w:color w:val="000000"/>
          <w:spacing w:val="-4"/>
          <w:sz w:val="18"/>
        </w:rPr>
        <w:t>Montréal, Québec CA H4M 2X6</w:t>
      </w:r>
      <w:r>
        <w:rPr>
          <w:rFonts w:ascii="Times New Roman;Times;serif" w:hAnsi="Times New Roman;Times;serif"/>
          <w:b/>
          <w:i w:val="false"/>
          <w:caps w:val="false"/>
          <w:smallCaps w:val="false"/>
          <w:color w:val="000000"/>
          <w:sz w:val="18"/>
        </w:rPr>
        <w:t xml:space="preserve"> </w:t>
        <w:br/>
      </w:r>
      <w:r>
        <w:rPr>
          <w:rFonts w:ascii="Times New Roman;Times;serif" w:hAnsi="Times New Roman;Times;serif"/>
          <w:b/>
          <w:i w:val="false"/>
          <w:caps w:val="false"/>
          <w:smallCaps w:val="false"/>
          <w:color w:val="000000"/>
          <w:spacing w:val="-4"/>
          <w:sz w:val="18"/>
        </w:rPr>
        <w:t>(514) 336-0444</w:t>
      </w:r>
      <w:r>
        <w:rPr>
          <w:rFonts w:ascii="Times New Roman;Times;serif" w:hAnsi="Times New Roman;Times;serif"/>
          <w:b/>
          <w:i w:val="false"/>
          <w:caps w:val="false"/>
          <w:smallCaps w:val="false"/>
          <w:color w:val="000000"/>
          <w:spacing w:val="4"/>
          <w:sz w:val="18"/>
        </w:rPr>
        <w:t xml:space="preserve"> </w:t>
      </w:r>
    </w:p>
    <w:p>
      <w:pPr>
        <w:pStyle w:val="TextBody"/>
        <w:bidi w:val="0"/>
        <w:spacing w:lineRule="atLeast" w:line="170" w:before="20" w:after="283"/>
        <w:jc w:val="center"/>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(Address, including zip code, and telephone number, including area code, of registrant’s principal executive offices) </w:t>
      </w:r>
    </w:p>
    <w:p>
      <w:pPr>
        <w:pStyle w:val="TextBody"/>
        <w:bidi w:val="0"/>
        <w:spacing w:lineRule="atLeast" w:line="180" w:before="50" w:after="283"/>
        <w:jc w:val="center"/>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Joseph Oliveto</w:t>
      </w:r>
      <w:r>
        <w:rPr>
          <w:rFonts w:ascii="Times New Roman;Times;serif" w:hAnsi="Times New Roman;Times;serif"/>
          <w:b/>
          <w:i w:val="false"/>
          <w:caps w:val="false"/>
          <w:smallCaps w:val="false"/>
          <w:color w:val="000000"/>
          <w:sz w:val="18"/>
        </w:rPr>
        <w:t xml:space="preserve"> </w:t>
        <w:br/>
      </w:r>
      <w:r>
        <w:rPr>
          <w:rFonts w:ascii="Times New Roman;Times;serif" w:hAnsi="Times New Roman;Times;serif"/>
          <w:b/>
          <w:i w:val="false"/>
          <w:caps w:val="false"/>
          <w:smallCaps w:val="false"/>
          <w:color w:val="000000"/>
          <w:spacing w:val="-4"/>
          <w:sz w:val="18"/>
        </w:rPr>
        <w:t>Chief Executive Officer</w:t>
      </w:r>
      <w:r>
        <w:rPr>
          <w:rFonts w:ascii="Times New Roman;Times;serif" w:hAnsi="Times New Roman;Times;serif"/>
          <w:b/>
          <w:i w:val="false"/>
          <w:caps w:val="false"/>
          <w:smallCaps w:val="false"/>
          <w:color w:val="000000"/>
          <w:sz w:val="18"/>
        </w:rPr>
        <w:t xml:space="preserve"> </w:t>
        <w:br/>
      </w:r>
      <w:r>
        <w:rPr>
          <w:rFonts w:ascii="Times New Roman;Times;serif" w:hAnsi="Times New Roman;Times;serif"/>
          <w:b/>
          <w:i w:val="false"/>
          <w:caps w:val="false"/>
          <w:smallCaps w:val="false"/>
          <w:color w:val="000000"/>
          <w:spacing w:val="-4"/>
          <w:sz w:val="18"/>
        </w:rPr>
        <w:t>Milestone Pharmaceuticals USA Inc.</w:t>
      </w:r>
      <w:r>
        <w:rPr>
          <w:rFonts w:ascii="Times New Roman;Times;serif" w:hAnsi="Times New Roman;Times;serif"/>
          <w:b/>
          <w:i w:val="false"/>
          <w:caps w:val="false"/>
          <w:smallCaps w:val="false"/>
          <w:color w:val="000000"/>
          <w:sz w:val="18"/>
        </w:rPr>
        <w:t xml:space="preserve"> </w:t>
        <w:br/>
      </w:r>
      <w:r>
        <w:rPr>
          <w:rFonts w:ascii="Times New Roman;Times;serif" w:hAnsi="Times New Roman;Times;serif"/>
          <w:b/>
          <w:i w:val="false"/>
          <w:caps w:val="false"/>
          <w:smallCaps w:val="false"/>
          <w:color w:val="000000"/>
          <w:spacing w:val="-4"/>
          <w:sz w:val="18"/>
        </w:rPr>
        <w:t>6210 Ardrey Kell Road</w:t>
      </w:r>
      <w:r>
        <w:rPr>
          <w:rFonts w:ascii="Times New Roman;Times;serif" w:hAnsi="Times New Roman;Times;serif"/>
          <w:b/>
          <w:i w:val="false"/>
          <w:caps w:val="false"/>
          <w:smallCaps w:val="false"/>
          <w:color w:val="000000"/>
          <w:sz w:val="18"/>
        </w:rPr>
        <w:br/>
      </w:r>
      <w:r>
        <w:rPr>
          <w:rFonts w:ascii="Times New Roman;Times;serif" w:hAnsi="Times New Roman;Times;serif"/>
          <w:b/>
          <w:i w:val="false"/>
          <w:caps w:val="false"/>
          <w:smallCaps w:val="false"/>
          <w:color w:val="000000"/>
          <w:spacing w:val="-4"/>
          <w:sz w:val="18"/>
        </w:rPr>
        <w:t>Suite 650</w:t>
      </w:r>
      <w:r>
        <w:rPr>
          <w:rFonts w:ascii="Times New Roman;Times;serif" w:hAnsi="Times New Roman;Times;serif"/>
          <w:b/>
          <w:i w:val="false"/>
          <w:caps w:val="false"/>
          <w:smallCaps w:val="false"/>
          <w:color w:val="000000"/>
          <w:sz w:val="18"/>
        </w:rPr>
        <w:br/>
      </w:r>
      <w:r>
        <w:rPr>
          <w:rFonts w:ascii="Times New Roman;Times;serif" w:hAnsi="Times New Roman;Times;serif"/>
          <w:b/>
          <w:i w:val="false"/>
          <w:caps w:val="false"/>
          <w:smallCaps w:val="false"/>
          <w:color w:val="000000"/>
          <w:spacing w:val="-4"/>
          <w:sz w:val="18"/>
        </w:rPr>
        <w:t>Charlotte, NC 28277</w:t>
      </w:r>
      <w:r>
        <w:rPr>
          <w:rFonts w:ascii="Times New Roman;Times;serif" w:hAnsi="Times New Roman;Times;serif"/>
          <w:b/>
          <w:i w:val="false"/>
          <w:caps w:val="false"/>
          <w:smallCaps w:val="false"/>
          <w:color w:val="000000"/>
          <w:sz w:val="18"/>
        </w:rPr>
        <w:br/>
      </w:r>
      <w:r>
        <w:rPr>
          <w:rFonts w:ascii="Times New Roman;Times;serif" w:hAnsi="Times New Roman;Times;serif"/>
          <w:b/>
          <w:i w:val="false"/>
          <w:caps w:val="false"/>
          <w:smallCaps w:val="false"/>
          <w:color w:val="000000"/>
          <w:spacing w:val="-4"/>
          <w:sz w:val="18"/>
        </w:rPr>
        <w:t>(514) 336-0444</w:t>
      </w:r>
      <w:r>
        <w:rPr>
          <w:rFonts w:ascii="Times New Roman;Times;serif" w:hAnsi="Times New Roman;Times;serif"/>
          <w:b/>
          <w:i w:val="false"/>
          <w:caps w:val="false"/>
          <w:smallCaps w:val="false"/>
          <w:color w:val="000000"/>
          <w:spacing w:val="4"/>
          <w:sz w:val="18"/>
        </w:rPr>
        <w:t xml:space="preserve"> </w:t>
      </w:r>
    </w:p>
    <w:p>
      <w:pPr>
        <w:pStyle w:val="TextBody"/>
        <w:bidi w:val="0"/>
        <w:spacing w:before="100"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170" w:before="64" w:after="283"/>
        <w:jc w:val="center"/>
        <w:rPr>
          <w:rFonts w:ascii="Times New Roman;Times;serif" w:hAnsi="Times New Roman;Times;serif"/>
          <w:b w:val="false"/>
          <w:i w:val="false"/>
          <w:caps w:val="false"/>
          <w:smallCaps w:val="false"/>
          <w:color w:val="000000"/>
          <w:spacing w:val="3"/>
          <w:sz w:val="16"/>
        </w:rPr>
      </w:pPr>
      <w:r>
        <w:rPr>
          <w:rFonts w:ascii="Times New Roman;Times;serif" w:hAnsi="Times New Roman;Times;serif"/>
          <w:b w:val="false"/>
          <w:i w:val="false"/>
          <w:caps w:val="false"/>
          <w:smallCaps w:val="false"/>
          <w:color w:val="000000"/>
          <w:spacing w:val="3"/>
          <w:sz w:val="16"/>
        </w:rPr>
        <w:t xml:space="preserve">(Name, address, including zip code, and telephone number, including area code, of agent for service) </w:t>
      </w:r>
    </w:p>
    <w:p>
      <w:pPr>
        <w:pStyle w:val="TextBody"/>
        <w:bidi w:val="0"/>
        <w:spacing w:lineRule="atLeast" w:line="190" w:before="50" w:after="283"/>
        <w:jc w:val="center"/>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Copies to:</w:t>
      </w:r>
      <w:r>
        <w:rPr>
          <w:rFonts w:ascii="Times New Roman;Times;serif" w:hAnsi="Times New Roman;Times;serif"/>
          <w:b/>
          <w:i w:val="false"/>
          <w:caps w:val="false"/>
          <w:smallCaps w:val="false"/>
          <w:color w:val="000000"/>
          <w:spacing w:val="4"/>
          <w:sz w:val="18"/>
        </w:rPr>
        <w:t xml:space="preserve"> </w:t>
      </w:r>
    </w:p>
    <w:tbl>
      <w:tblPr>
        <w:tblW w:w="7173" w:type="dxa"/>
        <w:jc w:val="left"/>
        <w:tblInd w:w="540" w:type="dxa"/>
        <w:tblLayout w:type="fixed"/>
        <w:tblCellMar>
          <w:top w:w="0" w:type="dxa"/>
          <w:left w:w="0" w:type="dxa"/>
          <w:bottom w:w="0" w:type="dxa"/>
          <w:right w:w="0" w:type="dxa"/>
        </w:tblCellMar>
      </w:tblPr>
      <w:tblGrid>
        <w:gridCol w:w="124"/>
        <w:gridCol w:w="3063"/>
        <w:gridCol w:w="109"/>
        <w:gridCol w:w="109"/>
        <w:gridCol w:w="3614"/>
        <w:gridCol w:w="154"/>
      </w:tblGrid>
      <w:tr>
        <w:trPr/>
        <w:tc>
          <w:tcPr>
            <w:tcW w:w="124" w:type="dxa"/>
            <w:tcBorders/>
            <w:vAlign w:val="center"/>
          </w:tcPr>
          <w:p>
            <w:pPr>
              <w:pStyle w:val="TableContents"/>
              <w:bidi w:val="0"/>
              <w:spacing w:before="0" w:after="283"/>
              <w:jc w:val="left"/>
              <w:rPr/>
            </w:pPr>
            <w:r>
              <w:rPr/>
              <w:t>​</w:t>
            </w:r>
          </w:p>
        </w:tc>
        <w:tc>
          <w:tcPr>
            <w:tcW w:w="3063" w:type="dxa"/>
            <w:tcBorders/>
            <w:vAlign w:val="center"/>
          </w:tcPr>
          <w:p>
            <w:pPr>
              <w:pStyle w:val="TableContents"/>
              <w:bidi w:val="0"/>
              <w:spacing w:lineRule="atLeast" w:line="216" w:before="0" w:after="0"/>
              <w:jc w:val="center"/>
              <w:rPr/>
            </w:pPr>
            <w:r>
              <w:rPr>
                <w:spacing w:val="-4"/>
              </w:rPr>
              <w:t>Ryan S. Sansom</w:t>
            </w:r>
            <w:r>
              <w:rPr/>
              <w:t xml:space="preserve"> </w:t>
              <w:br/>
            </w:r>
            <w:r>
              <w:rPr>
                <w:spacing w:val="-4"/>
              </w:rPr>
              <w:t>Cooley LLP</w:t>
            </w:r>
            <w:r>
              <w:rPr/>
              <w:t xml:space="preserve"> </w:t>
              <w:br/>
            </w:r>
            <w:r>
              <w:rPr>
                <w:spacing w:val="-4"/>
              </w:rPr>
              <w:t>500 Boylston Street, 14th Floor</w:t>
            </w:r>
            <w:r>
              <w:rPr/>
              <w:t xml:space="preserve"> </w:t>
              <w:br/>
            </w:r>
            <w:r>
              <w:rPr>
                <w:spacing w:val="-4"/>
              </w:rPr>
              <w:t>Boston, MA 02116</w:t>
            </w:r>
            <w:r>
              <w:rPr/>
              <w:t xml:space="preserve"> </w:t>
              <w:br/>
            </w:r>
            <w:r>
              <w:rPr>
                <w:spacing w:val="-4"/>
              </w:rPr>
              <w:t>(617) 937-2300</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614" w:type="dxa"/>
            <w:tcBorders/>
            <w:vAlign w:val="center"/>
          </w:tcPr>
          <w:p>
            <w:pPr>
              <w:pStyle w:val="TableContents"/>
              <w:bidi w:val="0"/>
              <w:spacing w:lineRule="atLeast" w:line="216" w:before="0" w:after="0"/>
              <w:jc w:val="center"/>
              <w:rPr/>
            </w:pPr>
            <w:r>
              <w:rPr>
                <w:spacing w:val="-4"/>
              </w:rPr>
              <w:t>Francois Paradis</w:t>
            </w:r>
            <w:r>
              <w:rPr/>
              <w:t xml:space="preserve"> </w:t>
              <w:br/>
            </w:r>
            <w:r>
              <w:rPr>
                <w:spacing w:val="-4"/>
              </w:rPr>
              <w:t>Osler, Hoskin &amp; Harcourt LLP</w:t>
            </w:r>
            <w:r>
              <w:rPr/>
              <w:t xml:space="preserve"> </w:t>
              <w:br/>
            </w:r>
            <w:r>
              <w:rPr>
                <w:spacing w:val="-4"/>
              </w:rPr>
              <w:t>1000 De La Gauchetière Street West,</w:t>
            </w:r>
            <w:r>
              <w:rPr/>
              <w:t xml:space="preserve"> </w:t>
              <w:br/>
            </w:r>
            <w:r>
              <w:rPr>
                <w:spacing w:val="-4"/>
              </w:rPr>
              <w:t>Suite 1100</w:t>
            </w:r>
            <w:r>
              <w:rPr/>
              <w:t xml:space="preserve"> </w:t>
              <w:br/>
            </w:r>
            <w:r>
              <w:rPr>
                <w:spacing w:val="-4"/>
              </w:rPr>
              <w:t>Montréal, Québec CA H3B 4W5</w:t>
            </w:r>
            <w:r>
              <w:rPr/>
              <w:t xml:space="preserve"> </w:t>
              <w:br/>
            </w:r>
            <w:r>
              <w:rPr>
                <w:spacing w:val="-4"/>
              </w:rPr>
              <w:t>(514) 904-8100</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before="0" w:after="283"/>
        <w:ind w:left="540" w:right="0" w:hanging="0"/>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190" w:before="94" w:after="283"/>
        <w:ind w:left="540" w:right="0" w:firstLine="400"/>
        <w:jc w:val="left"/>
        <w:rPr>
          <w:rFonts w:ascii="Times New Roman;Times;serif" w:hAnsi="Times New Roman;Times;serif"/>
          <w:b w:val="false"/>
          <w:i w:val="false"/>
          <w:caps w:val="false"/>
          <w:smallCaps w:val="false"/>
          <w:color w:val="000000"/>
          <w:sz w:val="18"/>
        </w:rPr>
      </w:pPr>
      <w:r>
        <w:rPr>
          <w:rFonts w:ascii="Times New Roman;Times;serif" w:hAnsi="Times New Roman;Times;serif"/>
          <w:b/>
          <w:i w:val="false"/>
          <w:caps w:val="false"/>
          <w:smallCaps w:val="false"/>
          <w:color w:val="000000"/>
          <w:spacing w:val="-4"/>
          <w:sz w:val="18"/>
        </w:rPr>
        <w:t>Approximate date of commencement of proposed sale to the public:</w:t>
      </w:r>
      <w:r>
        <w:rPr>
          <w:rFonts w:ascii="Times New Roman;Times;serif" w:hAnsi="Times New Roman;Times;serif"/>
          <w:b w:val="false"/>
          <w:i w:val="false"/>
          <w:caps w:val="false"/>
          <w:smallCaps w:val="false"/>
          <w:color w:val="000000"/>
          <w:spacing w:val="4"/>
          <w:sz w:val="18"/>
        </w:rPr>
        <w:t xml:space="preserve"> From time to time after this Registration Statement becomes effective. </w:t>
      </w:r>
    </w:p>
    <w:p>
      <w:pPr>
        <w:pStyle w:val="TextBody"/>
        <w:bidi w:val="0"/>
        <w:spacing w:lineRule="atLeast" w:line="180" w:before="50" w:after="283"/>
        <w:ind w:left="540" w:right="0" w:firstLine="40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If the only securities being registered on this Form are being offered pursuant to dividend or interest reinvestment plans, please check the following box: ☐ </w:t>
      </w:r>
    </w:p>
    <w:p>
      <w:pPr>
        <w:pStyle w:val="TextBody"/>
        <w:bidi w:val="0"/>
        <w:spacing w:lineRule="atLeast" w:line="180" w:before="50" w:after="283"/>
        <w:ind w:left="540" w:right="0" w:firstLine="40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If any of the securities being registered on this Form are to be offered on a delayed or continuous basis pursuant to Rule 415 under the Securities Act of 1933, as amended, other than securities offered only in connection with dividend or interest reinvestment plans, check the following box: ☒ </w:t>
      </w:r>
    </w:p>
    <w:p>
      <w:pPr>
        <w:pStyle w:val="TextBody"/>
        <w:bidi w:val="0"/>
        <w:spacing w:lineRule="atLeast" w:line="180" w:before="50" w:after="283"/>
        <w:ind w:left="540" w:right="0" w:firstLine="40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pStyle w:val="TextBody"/>
        <w:bidi w:val="0"/>
        <w:spacing w:lineRule="atLeast" w:line="180" w:before="50" w:after="283"/>
        <w:ind w:left="540" w:right="0" w:firstLine="40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If this Form is a post-effective amendment filed pursuant to Rule 462(c) under the Securities Act, check the following box and list the Securities Act registration statement number of the earlier effective registration statement for the same offering. ☐ </w:t>
      </w:r>
    </w:p>
    <w:p>
      <w:pPr>
        <w:pStyle w:val="TextBody"/>
        <w:bidi w:val="0"/>
        <w:spacing w:lineRule="atLeast" w:line="180" w:before="50" w:after="283"/>
        <w:ind w:left="540" w:right="0" w:firstLine="40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If this Form is a registration statement pursuant to General Instruction I.D. or a post-effective amendment thereto that shall become effective upon filing with the Securities and Exchange Commission pursuant to Rule 462(e) under the Securities Act, check the following box. ☐ </w:t>
      </w:r>
    </w:p>
    <w:p>
      <w:pPr>
        <w:pStyle w:val="TextBody"/>
        <w:bidi w:val="0"/>
        <w:spacing w:lineRule="atLeast" w:line="180" w:before="50" w:after="283"/>
        <w:ind w:left="540" w:right="0" w:firstLine="40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 </w:t>
      </w:r>
    </w:p>
    <w:p>
      <w:pPr>
        <w:pStyle w:val="TextBody"/>
        <w:bidi w:val="0"/>
        <w:spacing w:lineRule="atLeast" w:line="180" w:before="50" w:after="283"/>
        <w:ind w:left="540" w:right="0" w:firstLine="40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6408" w:type="dxa"/>
        <w:jc w:val="left"/>
        <w:tblInd w:w="540" w:type="dxa"/>
        <w:tblLayout w:type="fixed"/>
        <w:tblCellMar>
          <w:top w:w="0" w:type="dxa"/>
          <w:left w:w="0" w:type="dxa"/>
          <w:bottom w:w="0" w:type="dxa"/>
          <w:right w:w="0" w:type="dxa"/>
        </w:tblCellMar>
      </w:tblPr>
      <w:tblGrid>
        <w:gridCol w:w="124"/>
        <w:gridCol w:w="3136"/>
        <w:gridCol w:w="109"/>
        <w:gridCol w:w="109"/>
        <w:gridCol w:w="2776"/>
        <w:gridCol w:w="154"/>
      </w:tblGrid>
      <w:tr>
        <w:trPr/>
        <w:tc>
          <w:tcPr>
            <w:tcW w:w="124" w:type="dxa"/>
            <w:tcBorders/>
            <w:vAlign w:val="center"/>
          </w:tcPr>
          <w:p>
            <w:pPr>
              <w:pStyle w:val="TableContents"/>
              <w:bidi w:val="0"/>
              <w:spacing w:before="0" w:after="283"/>
              <w:jc w:val="left"/>
              <w:rPr/>
            </w:pPr>
            <w:r>
              <w:rPr/>
              <w:t>​</w:t>
            </w:r>
          </w:p>
        </w:tc>
        <w:tc>
          <w:tcPr>
            <w:tcW w:w="3136" w:type="dxa"/>
            <w:tcBorders/>
            <w:vAlign w:val="center"/>
          </w:tcPr>
          <w:p>
            <w:pPr>
              <w:pStyle w:val="TableContents"/>
              <w:bidi w:val="0"/>
              <w:spacing w:lineRule="atLeast" w:line="180" w:before="0" w:after="0"/>
              <w:ind w:left="2760" w:right="0" w:hanging="0"/>
              <w:jc w:val="left"/>
              <w:rPr>
                <w:spacing w:val="4"/>
              </w:rPr>
            </w:pPr>
            <w:r>
              <w:rPr>
                <w:spacing w:val="4"/>
              </w:rPr>
              <w:t xml:space="preserve">☐ </w:t>
            </w:r>
            <w:r>
              <mc:AlternateContent>
                <mc:Choice Requires="wps">
                  <w:drawing>
                    <wp:anchor behindDoc="0" distT="0" distB="0" distL="228600" distR="0" simplePos="0" locked="0" layoutInCell="1" allowOverlap="1" relativeHeight="12">
                      <wp:simplePos x="0" y="0"/>
                      <wp:positionH relativeFrom="column">
                        <wp:align>left</wp:align>
                      </wp:positionH>
                      <wp:positionV relativeFrom="line">
                        <wp:posOffset>635</wp:posOffset>
                      </wp:positionV>
                      <wp:extent cx="1524000" cy="350520"/>
                      <wp:effectExtent l="0" t="0" r="0" b="0"/>
                      <wp:wrapSquare wrapText="right"/>
                      <wp:docPr id="3" name="Frame1"/>
                      <a:graphic xmlns:a="http://schemas.openxmlformats.org/drawingml/2006/main">
                        <a:graphicData uri="http://schemas.microsoft.com/office/word/2010/wordprocessingShape">
                          <wps:wsp>
                            <wps:cNvSpPr txBox="1"/>
                            <wps:spPr>
                              <a:xfrm>
                                <a:off x="0" y="0"/>
                                <a:ext cx="1524000" cy="350520"/>
                              </a:xfrm>
                              <a:prstGeom prst="rect"/>
                              <a:solidFill>
                                <a:srgbClr val="FFFFFF"/>
                              </a:solidFill>
                            </wps:spPr>
                            <wps:txbx>
                              <w:txbxContent>
                                <w:p>
                                  <w:pPr>
                                    <w:pStyle w:val="TextBody"/>
                                    <w:bidi w:val="0"/>
                                    <w:spacing w:lineRule="atLeast" w:line="180" w:before="0" w:after="283"/>
                                    <w:jc w:val="left"/>
                                    <w:rPr/>
                                  </w:pPr>
                                  <w:r>
                                    <w:rPr>
                                      <w:spacing w:val="4"/>
                                    </w:rPr>
                                    <w:t>Large accelerated filer</w:t>
                                  </w:r>
                                  <w:r>
                                    <w:rPr/>
                                    <w:t xml:space="preserve"> </w:t>
                                    <w:br/>
                                  </w:r>
                                </w:p>
                              </w:txbxContent>
                            </wps:txbx>
                            <wps:bodyPr anchor="t" lIns="0" tIns="0" rIns="0" bIns="0">
                              <a:noAutofit/>
                            </wps:bodyPr>
                          </wps:wsp>
                        </a:graphicData>
                      </a:graphic>
                    </wp:anchor>
                  </w:drawing>
                </mc:Choice>
                <mc:Fallback>
                  <w:pict>
                    <v:rect style="position:absolute;rotation:-0;width:120pt;height:27.6pt;mso-wrap-distance-left:18pt;mso-wrap-distance-right:0pt;mso-wrap-distance-top:0pt;mso-wrap-distance-bottom:0pt;margin-top:0pt;mso-position-vertical:top;mso-position-vertical-relative:text;margin-left:18pt;mso-position-horizontal:left;mso-position-horizontal-relative:text">
                      <v:textbox>
                        <w:txbxContent>
                          <w:p>
                            <w:pPr>
                              <w:pStyle w:val="TextBody"/>
                              <w:bidi w:val="0"/>
                              <w:spacing w:lineRule="atLeast" w:line="180" w:before="0" w:after="283"/>
                              <w:jc w:val="left"/>
                              <w:rPr/>
                            </w:pPr>
                            <w:r>
                              <w:rPr>
                                <w:spacing w:val="4"/>
                              </w:rPr>
                              <w:t>Large accelerated filer</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776" w:type="dxa"/>
            <w:tcBorders/>
            <w:vAlign w:val="center"/>
          </w:tcPr>
          <w:p>
            <w:pPr>
              <w:pStyle w:val="TableContents"/>
              <w:bidi w:val="0"/>
              <w:spacing w:lineRule="atLeast" w:line="180" w:before="0" w:after="0"/>
              <w:ind w:left="2400" w:right="0" w:hanging="0"/>
              <w:jc w:val="left"/>
              <w:rPr>
                <w:spacing w:val="4"/>
              </w:rPr>
            </w:pPr>
            <w:r>
              <w:rPr>
                <w:spacing w:val="4"/>
              </w:rPr>
              <w:t xml:space="preserve">☐ </w:t>
            </w:r>
            <w:r>
              <mc:AlternateContent>
                <mc:Choice Requires="wps">
                  <w:drawing>
                    <wp:anchor behindDoc="0" distT="0" distB="0" distL="0" distR="0" simplePos="0" locked="0" layoutInCell="1" allowOverlap="1" relativeHeight="13">
                      <wp:simplePos x="0" y="0"/>
                      <wp:positionH relativeFrom="column">
                        <wp:align>left</wp:align>
                      </wp:positionH>
                      <wp:positionV relativeFrom="line">
                        <wp:posOffset>635</wp:posOffset>
                      </wp:positionV>
                      <wp:extent cx="1524000" cy="350520"/>
                      <wp:effectExtent l="0" t="0" r="0" b="0"/>
                      <wp:wrapSquare wrapText="right"/>
                      <wp:docPr id="4" name="Frame2"/>
                      <a:graphic xmlns:a="http://schemas.openxmlformats.org/drawingml/2006/main">
                        <a:graphicData uri="http://schemas.microsoft.com/office/word/2010/wordprocessingShape">
                          <wps:wsp>
                            <wps:cNvSpPr txBox="1"/>
                            <wps:spPr>
                              <a:xfrm>
                                <a:off x="0" y="0"/>
                                <a:ext cx="1524000" cy="350520"/>
                              </a:xfrm>
                              <a:prstGeom prst="rect"/>
                              <a:solidFill>
                                <a:srgbClr val="FFFFFF"/>
                              </a:solidFill>
                            </wps:spPr>
                            <wps:txbx>
                              <w:txbxContent>
                                <w:p>
                                  <w:pPr>
                                    <w:pStyle w:val="TextBody"/>
                                    <w:bidi w:val="0"/>
                                    <w:spacing w:lineRule="atLeast" w:line="180" w:before="0" w:after="283"/>
                                    <w:jc w:val="left"/>
                                    <w:rPr/>
                                  </w:pPr>
                                  <w:r>
                                    <w:rPr>
                                      <w:spacing w:val="4"/>
                                    </w:rPr>
                                    <w:t>Accelerated filer</w:t>
                                  </w:r>
                                  <w:r>
                                    <w:rPr/>
                                    <w:t xml:space="preserve"> </w:t>
                                    <w:br/>
                                  </w:r>
                                </w:p>
                              </w:txbxContent>
                            </wps:txbx>
                            <wps:bodyPr anchor="t" lIns="0" tIns="0" rIns="0" bIns="0">
                              <a:noAutofit/>
                            </wps:bodyPr>
                          </wps:wsp>
                        </a:graphicData>
                      </a:graphic>
                    </wp:anchor>
                  </w:drawing>
                </mc:Choice>
                <mc:Fallback>
                  <w:pict>
                    <v:rect style="position:absolute;rotation:-0;width:1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4"/>
                              </w:rPr>
                              <w:t>Accelerated filer</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136" w:type="dxa"/>
            <w:tcBorders/>
            <w:vAlign w:val="center"/>
          </w:tcPr>
          <w:p>
            <w:pPr>
              <w:pStyle w:val="TableContents"/>
              <w:bidi w:val="0"/>
              <w:spacing w:lineRule="atLeast" w:line="180" w:before="0" w:after="0"/>
              <w:ind w:left="2760" w:right="0" w:hanging="0"/>
              <w:jc w:val="left"/>
              <w:rPr>
                <w:spacing w:val="4"/>
              </w:rPr>
            </w:pPr>
            <w:r>
              <w:rPr>
                <w:spacing w:val="4"/>
              </w:rPr>
              <w:t xml:space="preserve">☒ </w:t>
            </w:r>
            <w:r>
              <mc:AlternateContent>
                <mc:Choice Requires="wps">
                  <w:drawing>
                    <wp:anchor behindDoc="0" distT="0" distB="0" distL="228600" distR="0" simplePos="0" locked="0" layoutInCell="1" allowOverlap="1" relativeHeight="14">
                      <wp:simplePos x="0" y="0"/>
                      <wp:positionH relativeFrom="column">
                        <wp:align>left</wp:align>
                      </wp:positionH>
                      <wp:positionV relativeFrom="line">
                        <wp:posOffset>635</wp:posOffset>
                      </wp:positionV>
                      <wp:extent cx="1524000" cy="350520"/>
                      <wp:effectExtent l="0" t="0" r="0" b="0"/>
                      <wp:wrapSquare wrapText="right"/>
                      <wp:docPr id="5" name="Frame3"/>
                      <a:graphic xmlns:a="http://schemas.openxmlformats.org/drawingml/2006/main">
                        <a:graphicData uri="http://schemas.microsoft.com/office/word/2010/wordprocessingShape">
                          <wps:wsp>
                            <wps:cNvSpPr txBox="1"/>
                            <wps:spPr>
                              <a:xfrm>
                                <a:off x="0" y="0"/>
                                <a:ext cx="1524000" cy="350520"/>
                              </a:xfrm>
                              <a:prstGeom prst="rect"/>
                              <a:solidFill>
                                <a:srgbClr val="FFFFFF"/>
                              </a:solidFill>
                            </wps:spPr>
                            <wps:txbx>
                              <w:txbxContent>
                                <w:p>
                                  <w:pPr>
                                    <w:pStyle w:val="TextBody"/>
                                    <w:bidi w:val="0"/>
                                    <w:spacing w:lineRule="atLeast" w:line="180" w:before="0" w:after="283"/>
                                    <w:jc w:val="left"/>
                                    <w:rPr/>
                                  </w:pPr>
                                  <w:r>
                                    <w:rPr>
                                      <w:spacing w:val="4"/>
                                    </w:rPr>
                                    <w:t>Non-accelerated filer</w:t>
                                  </w:r>
                                  <w:r>
                                    <w:rPr/>
                                    <w:t xml:space="preserve"> </w:t>
                                    <w:br/>
                                  </w:r>
                                </w:p>
                              </w:txbxContent>
                            </wps:txbx>
                            <wps:bodyPr anchor="t" lIns="0" tIns="0" rIns="0" bIns="0">
                              <a:noAutofit/>
                            </wps:bodyPr>
                          </wps:wsp>
                        </a:graphicData>
                      </a:graphic>
                    </wp:anchor>
                  </w:drawing>
                </mc:Choice>
                <mc:Fallback>
                  <w:pict>
                    <v:rect style="position:absolute;rotation:-0;width:120pt;height:27.6pt;mso-wrap-distance-left:18pt;mso-wrap-distance-right:0pt;mso-wrap-distance-top:0pt;mso-wrap-distance-bottom:0pt;margin-top:0pt;mso-position-vertical:top;mso-position-vertical-relative:text;margin-left:18pt;mso-position-horizontal:left;mso-position-horizontal-relative:text">
                      <v:textbox>
                        <w:txbxContent>
                          <w:p>
                            <w:pPr>
                              <w:pStyle w:val="TextBody"/>
                              <w:bidi w:val="0"/>
                              <w:spacing w:lineRule="atLeast" w:line="180" w:before="0" w:after="283"/>
                              <w:jc w:val="left"/>
                              <w:rPr/>
                            </w:pPr>
                            <w:r>
                              <w:rPr>
                                <w:spacing w:val="4"/>
                              </w:rPr>
                              <w:t>Non-accelerated filer</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776" w:type="dxa"/>
            <w:tcBorders/>
            <w:vAlign w:val="center"/>
          </w:tcPr>
          <w:p>
            <w:pPr>
              <w:pStyle w:val="TableContents"/>
              <w:bidi w:val="0"/>
              <w:spacing w:lineRule="atLeast" w:line="180" w:before="0" w:after="0"/>
              <w:ind w:left="2400" w:right="0" w:hanging="0"/>
              <w:jc w:val="left"/>
              <w:rPr>
                <w:spacing w:val="4"/>
              </w:rPr>
            </w:pPr>
            <w:r>
              <w:rPr>
                <w:spacing w:val="4"/>
              </w:rPr>
              <w:t xml:space="preserve">☒ </w:t>
            </w:r>
            <w:r>
              <mc:AlternateContent>
                <mc:Choice Requires="wps">
                  <w:drawing>
                    <wp:anchor behindDoc="0" distT="0" distB="0" distL="0" distR="0" simplePos="0" locked="0" layoutInCell="1" allowOverlap="1" relativeHeight="15">
                      <wp:simplePos x="0" y="0"/>
                      <wp:positionH relativeFrom="column">
                        <wp:align>left</wp:align>
                      </wp:positionH>
                      <wp:positionV relativeFrom="line">
                        <wp:posOffset>635</wp:posOffset>
                      </wp:positionV>
                      <wp:extent cx="1524000" cy="525780"/>
                      <wp:effectExtent l="0" t="0" r="0" b="0"/>
                      <wp:wrapSquare wrapText="right"/>
                      <wp:docPr id="6" name="Frame4"/>
                      <a:graphic xmlns:a="http://schemas.openxmlformats.org/drawingml/2006/main">
                        <a:graphicData uri="http://schemas.microsoft.com/office/word/2010/wordprocessingShape">
                          <wps:wsp>
                            <wps:cNvSpPr txBox="1"/>
                            <wps:spPr>
                              <a:xfrm>
                                <a:off x="0" y="0"/>
                                <a:ext cx="1524000" cy="525780"/>
                              </a:xfrm>
                              <a:prstGeom prst="rect"/>
                              <a:solidFill>
                                <a:srgbClr val="FFFFFF"/>
                              </a:solidFill>
                            </wps:spPr>
                            <wps:txbx>
                              <w:txbxContent>
                                <w:p>
                                  <w:pPr>
                                    <w:pStyle w:val="TextBody"/>
                                    <w:bidi w:val="0"/>
                                    <w:spacing w:lineRule="atLeast" w:line="180" w:before="0" w:after="283"/>
                                    <w:jc w:val="left"/>
                                    <w:rPr/>
                                  </w:pPr>
                                  <w:r>
                                    <w:rPr>
                                      <w:spacing w:val="4"/>
                                    </w:rPr>
                                    <w:t>Smaller reporting company</w:t>
                                  </w:r>
                                  <w:r>
                                    <w:rPr/>
                                    <w:t xml:space="preserve"> </w:t>
                                    <w:br/>
                                  </w:r>
                                </w:p>
                              </w:txbxContent>
                            </wps:txbx>
                            <wps:bodyPr anchor="t" lIns="0" tIns="0" rIns="0" bIns="0">
                              <a:noAutofit/>
                            </wps:bodyPr>
                          </wps:wsp>
                        </a:graphicData>
                      </a:graphic>
                    </wp:anchor>
                  </w:drawing>
                </mc:Choice>
                <mc:Fallback>
                  <w:pict>
                    <v:rect style="position:absolute;rotation:-0;width:120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4"/>
                              </w:rPr>
                              <w:t>Smaller reporting company</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13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776" w:type="dxa"/>
            <w:tcBorders/>
            <w:vAlign w:val="center"/>
          </w:tcPr>
          <w:p>
            <w:pPr>
              <w:pStyle w:val="TableContents"/>
              <w:bidi w:val="0"/>
              <w:spacing w:lineRule="atLeast" w:line="180" w:before="0" w:after="0"/>
              <w:ind w:left="2400" w:right="0" w:hanging="0"/>
              <w:jc w:val="left"/>
              <w:rPr/>
            </w:pPr>
            <w:r>
              <w:rPr>
                <w:spacing w:val="4"/>
              </w:rPr>
              <w:t>☐</w:t>
            </w:r>
            <w:r>
              <w:rPr/>
              <w:t xml:space="preserve"> </w:t>
            </w:r>
            <w:r>
              <mc:AlternateContent>
                <mc:Choice Requires="wps">
                  <w:drawing>
                    <wp:anchor behindDoc="0" distT="0" distB="0" distL="0" distR="0" simplePos="0" locked="0" layoutInCell="1" allowOverlap="1" relativeHeight="16">
                      <wp:simplePos x="0" y="0"/>
                      <wp:positionH relativeFrom="column">
                        <wp:align>left</wp:align>
                      </wp:positionH>
                      <wp:positionV relativeFrom="line">
                        <wp:posOffset>635</wp:posOffset>
                      </wp:positionV>
                      <wp:extent cx="1524000" cy="525780"/>
                      <wp:effectExtent l="0" t="0" r="0" b="0"/>
                      <wp:wrapSquare wrapText="right"/>
                      <wp:docPr id="7" name="Frame5"/>
                      <a:graphic xmlns:a="http://schemas.openxmlformats.org/drawingml/2006/main">
                        <a:graphicData uri="http://schemas.microsoft.com/office/word/2010/wordprocessingShape">
                          <wps:wsp>
                            <wps:cNvSpPr txBox="1"/>
                            <wps:spPr>
                              <a:xfrm>
                                <a:off x="0" y="0"/>
                                <a:ext cx="1524000" cy="525780"/>
                              </a:xfrm>
                              <a:prstGeom prst="rect"/>
                              <a:solidFill>
                                <a:srgbClr val="FFFFFF"/>
                              </a:solidFill>
                            </wps:spPr>
                            <wps:txbx>
                              <w:txbxContent>
                                <w:p>
                                  <w:pPr>
                                    <w:pStyle w:val="TextBody"/>
                                    <w:bidi w:val="0"/>
                                    <w:spacing w:lineRule="atLeast" w:line="180" w:before="0" w:after="283"/>
                                    <w:jc w:val="left"/>
                                    <w:rPr/>
                                  </w:pPr>
                                  <w:r>
                                    <w:rPr>
                                      <w:spacing w:val="4"/>
                                    </w:rPr>
                                    <w:t>Emerging growth company</w:t>
                                  </w:r>
                                  <w:r>
                                    <w:rPr/>
                                    <w:t xml:space="preserve"> </w:t>
                                    <w:br/>
                                  </w:r>
                                </w:p>
                              </w:txbxContent>
                            </wps:txbx>
                            <wps:bodyPr anchor="t" lIns="0" tIns="0" rIns="0" bIns="0">
                              <a:noAutofit/>
                            </wps:bodyPr>
                          </wps:wsp>
                        </a:graphicData>
                      </a:graphic>
                    </wp:anchor>
                  </w:drawing>
                </mc:Choice>
                <mc:Fallback>
                  <w:pict>
                    <v:rect style="position:absolute;rotation:-0;width:120pt;height:41.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80" w:before="0" w:after="283"/>
                              <w:jc w:val="left"/>
                              <w:rPr/>
                            </w:pPr>
                            <w:r>
                              <w:rPr>
                                <w:spacing w:val="4"/>
                              </w:rPr>
                              <w:t>Emerging growth company</w:t>
                            </w:r>
                            <w:r>
                              <w:rPr/>
                              <w:t xml:space="preserve"> </w:t>
                              <w:br/>
                            </w:r>
                          </w:p>
                        </w:txbxContent>
                      </v:textbox>
                      <w10:wrap type="square" side="right"/>
                    </v:rect>
                  </w:pict>
                </mc:Fallback>
              </mc:AlternateContent>
            </w:r>
          </w:p>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180" w:before="124" w:after="283"/>
        <w:ind w:left="540" w:right="0" w:firstLine="400"/>
        <w:jc w:val="left"/>
        <w:rPr>
          <w:rFonts w:ascii="Times New Roman;Times;serif" w:hAnsi="Times New Roman;Times;serif"/>
          <w:b w:val="false"/>
          <w:i w:val="false"/>
          <w:caps w:val="false"/>
          <w:smallCaps w:val="false"/>
          <w:color w:val="000000"/>
          <w:spacing w:val="4"/>
          <w:sz w:val="18"/>
        </w:rPr>
      </w:pPr>
      <w:r>
        <w:rPr>
          <w:rFonts w:ascii="Times New Roman;Times;serif" w:hAnsi="Times New Roman;Times;serif"/>
          <w:b w:val="false"/>
          <w:i w:val="false"/>
          <w:caps w:val="false"/>
          <w:smallCaps w:val="false"/>
          <w:color w:val="000000"/>
          <w:spacing w:val="4"/>
          <w:sz w:val="18"/>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lineRule="atLeast" w:line="180" w:before="50" w:after="283"/>
        <w:ind w:left="540" w:right="0" w:firstLine="400"/>
        <w:jc w:val="left"/>
        <w:rPr>
          <w:rFonts w:ascii="Times New Roman;Times;serif" w:hAnsi="Times New Roman;Times;serif"/>
          <w:b/>
          <w:i w:val="false"/>
          <w:caps w:val="false"/>
          <w:smallCaps w:val="false"/>
          <w:color w:val="000000"/>
          <w:sz w:val="18"/>
        </w:rPr>
      </w:pPr>
      <w:r>
        <w:rPr>
          <w:rFonts w:ascii="Times New Roman;Times;serif" w:hAnsi="Times New Roman;Times;serif"/>
          <w:b/>
          <w:i w:val="false"/>
          <w:caps w:val="false"/>
          <w:smallCaps w:val="false"/>
          <w:color w:val="000000"/>
          <w:spacing w:val="-4"/>
          <w:sz w:val="18"/>
        </w:rPr>
        <w:t>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or until the registration statement shall become effective on such date as the Securities and Exchange Commission, acting pursuant to said Section 8(a), may determine.</w:t>
      </w:r>
      <w:r>
        <w:rPr>
          <w:rFonts w:ascii="Times New Roman;Times;serif" w:hAnsi="Times New Roman;Times;serif"/>
          <w:b/>
          <w:i w:val="false"/>
          <w:caps w:val="false"/>
          <w:smallCaps w:val="false"/>
          <w:color w:val="000000"/>
          <w:sz w:val="18"/>
        </w:rPr>
        <w:t xml:space="preserve"> </w:t>
      </w:r>
    </w:p>
    <w:p>
      <w:pPr>
        <w:pStyle w:val="TextBody"/>
        <w:bidi w:val="0"/>
        <w:spacing w:before="64" w:after="283"/>
        <w:ind w:left="54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before="26" w:after="283"/>
        <w:ind w:left="540"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EXPLANATORY NOTE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filing this registration statement with the Securities and Exchange Commission, or the SEC, using a “shelf registration” process. Under this registered “shelf,” in the future, we may, from time to time, sell any combination of the securities described herein, in one or more offerings, up to a maximum offering price of $300,000,000.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registration statement contains two prospectuses: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base prospectus which covers the offering, issuance and sale by the registrant of up to a maximum aggregate offering price of $300,000,000 of our common shares, preferred shares, debt securities and/or warrants; and </w:t>
      </w:r>
      <w:r>
        <mc:AlternateContent>
          <mc:Choice Requires="wps">
            <w:drawing>
              <wp:anchor behindDoc="0" distT="76200" distB="0" distL="254000" distR="0" simplePos="0" locked="0" layoutInCell="1" allowOverlap="1" relativeHeight="17">
                <wp:simplePos x="0" y="0"/>
                <wp:positionH relativeFrom="column">
                  <wp:align>left</wp:align>
                </wp:positionH>
                <wp:positionV relativeFrom="line">
                  <wp:align>top</wp:align>
                </wp:positionV>
                <wp:extent cx="127000" cy="350520"/>
                <wp:effectExtent l="0" t="0" r="0" b="0"/>
                <wp:wrapSquare wrapText="right"/>
                <wp:docPr id="8" name="Frame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 sales agreement prospectus covering the offering, issuance and sale by the registrant of up to a maximum aggregate offering price of $100,000,000 of our common shares that may be issued and sold from time to time under a Controlled Equity Offering</w:t>
      </w:r>
      <w:r>
        <w:rPr>
          <w:rFonts w:ascii="Times New Roman;Times;serif" w:hAnsi="Times New Roman;Times;serif"/>
          <w:b w:val="false"/>
          <w:i w:val="false"/>
          <w:caps w:val="false"/>
          <w:smallCaps w:val="false"/>
          <w:color w:val="000000"/>
          <w:spacing w:val="3"/>
          <w:sz w:val="15"/>
        </w:rPr>
        <w:t>SM</w:t>
      </w:r>
      <w:r>
        <w:rPr>
          <w:rFonts w:ascii="Times New Roman;Times;serif" w:hAnsi="Times New Roman;Times;serif"/>
          <w:b w:val="false"/>
          <w:i w:val="false"/>
          <w:caps w:val="false"/>
          <w:smallCaps w:val="false"/>
          <w:color w:val="000000"/>
          <w:spacing w:val="4"/>
          <w:sz w:val="20"/>
        </w:rPr>
        <w:t xml:space="preserve"> Sales Agreement, or the sales agreement, with Cantor Fitzgerald &amp; Co., as sales agent. </w:t>
      </w:r>
      <w:r>
        <mc:AlternateContent>
          <mc:Choice Requires="wps">
            <w:drawing>
              <wp:anchor behindDoc="0" distT="76200" distB="0" distL="254000" distR="0" simplePos="0" locked="0" layoutInCell="1" allowOverlap="1" relativeHeight="18">
                <wp:simplePos x="0" y="0"/>
                <wp:positionH relativeFrom="column">
                  <wp:align>left</wp:align>
                </wp:positionH>
                <wp:positionV relativeFrom="line">
                  <wp:align>top</wp:align>
                </wp:positionV>
                <wp:extent cx="127000" cy="350520"/>
                <wp:effectExtent l="0" t="0" r="0" b="0"/>
                <wp:wrapSquare wrapText="right"/>
                <wp:docPr id="9" name="Frame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base prospectus immediately follows this explanatory note. The specific terms of any securities to be offered pursuant to the base prospectus other than the shares under the sales agreement will be specified in a prospectus supplement to the base prospectus. The sales agreement prospectus immediately follows the base prospectus. The $100,000,000 of common shares that may be offered, issued and sold under the sales agreement prospectus is included in the $300,000,000 of securities that may be offered, issued and sold by the registrant under the base prospectus. Upon termination of the sales agreement, any portion of the $100,000,000 included in the sales agreement prospectus that is not previously sold is available for sale in other offerings pursuant to the base prospectus, and if no shares are sold under the sales agreement, the full $300,000,000 of securities may be sold in other offerings pursuant to the base prospectus and a corresponding prospectus supplement.</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557" w:after="437"/>
        <w:ind w:left="1753" w:right="0" w:hanging="0"/>
        <w:jc w:val="center"/>
        <w:rPr>
          <w:rFonts w:ascii="Times New Roman;Times;serif" w:hAnsi="Times New Roman;Times;serif"/>
          <w:b/>
          <w:i w:val="false"/>
          <w:caps w:val="false"/>
          <w:smallCaps w:val="false"/>
          <w:color w:val="FC0014"/>
          <w:sz w:val="20"/>
        </w:rPr>
      </w:pPr>
      <w:r>
        <w:rPr>
          <w:rFonts w:ascii="Times New Roman;Times;serif" w:hAnsi="Times New Roman;Times;serif"/>
          <w:b/>
          <w:i w:val="false"/>
          <w:caps w:val="false"/>
          <w:smallCaps w:val="false"/>
          <w:color w:val="FC0014"/>
          <w:spacing w:val="-4"/>
          <w:sz w:val="20"/>
        </w:rPr>
        <w:t>SUBJECT TO COMPLETION, DATED MAY 13, 2026</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PROSPECTUS</w:t>
      </w:r>
      <w:r>
        <w:rPr>
          <w:rFonts w:ascii="Times New Roman;Times;serif" w:hAnsi="Times New Roman;Times;serif"/>
          <w:b/>
          <w:i w:val="false"/>
          <w:caps w:val="false"/>
          <w:smallCaps w:val="false"/>
          <w:color w:val="000000"/>
          <w:spacing w:val="4"/>
          <w:sz w:val="20"/>
        </w:rPr>
        <w:t xml:space="preserve"> </w:t>
      </w:r>
    </w:p>
    <w:p>
      <w:pPr>
        <w:pStyle w:val="TextBody"/>
        <w:bidi w:val="0"/>
        <w:spacing w:before="520" w:after="283"/>
        <w:jc w:val="center"/>
        <w:rPr>
          <w:caps w:val="false"/>
          <w:smallCaps w:val="false"/>
          <w:color w:val="000000"/>
        </w:rPr>
      </w:pPr>
      <w:r>
        <w:rPr>
          <w:caps w:val="false"/>
          <w:smallCaps w:val="false"/>
          <w:color w:val="000000"/>
        </w:rPr>
        <w:drawing>
          <wp:inline distT="0" distB="0" distL="0" distR="0">
            <wp:extent cx="2409825" cy="466725"/>
            <wp:effectExtent l="0" t="0" r="0" b="0"/>
            <wp:docPr id="10"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 descr=""/>
                    <pic:cNvPicPr>
                      <a:picLocks noChangeAspect="1" noChangeArrowheads="1"/>
                    </pic:cNvPicPr>
                  </pic:nvPicPr>
                  <pic:blipFill>
                    <a:blip r:embed="rId2"/>
                    <a:stretch>
                      <a:fillRect/>
                    </a:stretch>
                  </pic:blipFill>
                  <pic:spPr bwMode="auto">
                    <a:xfrm>
                      <a:off x="0" y="0"/>
                      <a:ext cx="2409825" cy="466725"/>
                    </a:xfrm>
                    <a:prstGeom prst="rect">
                      <a:avLst/>
                    </a:prstGeom>
                  </pic:spPr>
                </pic:pic>
              </a:graphicData>
            </a:graphic>
          </wp:inline>
        </w:drawing>
      </w:r>
      <w:r>
        <w:rPr>
          <w:caps w:val="false"/>
          <w:smallCaps w:val="false"/>
          <w:color w:val="000000"/>
        </w:rPr>
        <w:t xml:space="preserve"> </w:t>
      </w:r>
    </w:p>
    <w:p>
      <w:pPr>
        <w:pStyle w:val="TextBody"/>
        <w:bidi w:val="0"/>
        <w:spacing w:lineRule="atLeast" w:line="360" w:before="340" w:after="283"/>
        <w:jc w:val="center"/>
        <w:rPr>
          <w:rFonts w:ascii="Times New Roman;Times;serif" w:hAnsi="Times New Roman;Times;serif"/>
          <w:b/>
          <w:i w:val="false"/>
          <w:caps w:val="false"/>
          <w:smallCaps w:val="false"/>
          <w:color w:val="000000"/>
          <w:sz w:val="32"/>
        </w:rPr>
      </w:pPr>
      <w:r>
        <w:rPr>
          <w:rFonts w:ascii="Times New Roman;Times;serif" w:hAnsi="Times New Roman;Times;serif"/>
          <w:b/>
          <w:i w:val="false"/>
          <w:caps w:val="false"/>
          <w:smallCaps w:val="false"/>
          <w:color w:val="000000"/>
          <w:spacing w:val="-6"/>
          <w:sz w:val="32"/>
        </w:rPr>
        <w:t>$300,000,000</w:t>
      </w:r>
      <w:r>
        <w:rPr>
          <w:rFonts w:ascii="Times New Roman;Times;serif" w:hAnsi="Times New Roman;Times;serif"/>
          <w:b/>
          <w:i w:val="false"/>
          <w:caps w:val="false"/>
          <w:smallCaps w:val="false"/>
          <w:color w:val="000000"/>
          <w:spacing w:val="6"/>
          <w:sz w:val="32"/>
        </w:rPr>
        <w:t xml:space="preserve"> </w:t>
      </w:r>
    </w:p>
    <w:p>
      <w:pPr>
        <w:pStyle w:val="TextBody"/>
        <w:bidi w:val="0"/>
        <w:spacing w:lineRule="atLeast" w:line="320" w:before="24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Common Shares</w:t>
      </w:r>
      <w:r>
        <w:rPr>
          <w:rFonts w:ascii="Times New Roman;Times;serif" w:hAnsi="Times New Roman;Times;serif"/>
          <w:b/>
          <w:i w:val="false"/>
          <w:caps w:val="false"/>
          <w:smallCaps w:val="false"/>
          <w:color w:val="000000"/>
          <w:sz w:val="28"/>
        </w:rPr>
        <w:t xml:space="preserve"> </w:t>
        <w:br/>
      </w:r>
      <w:r>
        <w:rPr>
          <w:rFonts w:ascii="Times New Roman;Times;serif" w:hAnsi="Times New Roman;Times;serif"/>
          <w:b/>
          <w:i w:val="false"/>
          <w:caps w:val="false"/>
          <w:smallCaps w:val="false"/>
          <w:color w:val="000000"/>
          <w:spacing w:val="-6"/>
          <w:sz w:val="28"/>
        </w:rPr>
        <w:t>Preferred Shares</w:t>
      </w:r>
      <w:r>
        <w:rPr>
          <w:rFonts w:ascii="Times New Roman;Times;serif" w:hAnsi="Times New Roman;Times;serif"/>
          <w:b/>
          <w:i w:val="false"/>
          <w:caps w:val="false"/>
          <w:smallCaps w:val="false"/>
          <w:color w:val="000000"/>
          <w:sz w:val="28"/>
        </w:rPr>
        <w:t xml:space="preserve"> </w:t>
        <w:br/>
      </w:r>
      <w:r>
        <w:rPr>
          <w:rFonts w:ascii="Times New Roman;Times;serif" w:hAnsi="Times New Roman;Times;serif"/>
          <w:b/>
          <w:i w:val="false"/>
          <w:caps w:val="false"/>
          <w:smallCaps w:val="false"/>
          <w:color w:val="000000"/>
          <w:spacing w:val="-6"/>
          <w:sz w:val="28"/>
        </w:rPr>
        <w:t>Debt Securities</w:t>
      </w:r>
      <w:r>
        <w:rPr>
          <w:rFonts w:ascii="Times New Roman;Times;serif" w:hAnsi="Times New Roman;Times;serif"/>
          <w:b/>
          <w:i w:val="false"/>
          <w:caps w:val="false"/>
          <w:smallCaps w:val="false"/>
          <w:color w:val="000000"/>
          <w:sz w:val="28"/>
        </w:rPr>
        <w:t xml:space="preserve"> </w:t>
        <w:br/>
      </w:r>
      <w:r>
        <w:rPr>
          <w:rFonts w:ascii="Times New Roman;Times;serif" w:hAnsi="Times New Roman;Times;serif"/>
          <w:b/>
          <w:i w:val="false"/>
          <w:caps w:val="false"/>
          <w:smallCaps w:val="false"/>
          <w:color w:val="000000"/>
          <w:spacing w:val="-6"/>
          <w:sz w:val="28"/>
        </w:rPr>
        <w:t>Warrants</w:t>
      </w:r>
      <w:r>
        <w:rPr>
          <w:rFonts w:ascii="Times New Roman;Times;serif" w:hAnsi="Times New Roman;Times;serif"/>
          <w:b/>
          <w:i w:val="false"/>
          <w:caps w:val="false"/>
          <w:smallCaps w:val="false"/>
          <w:color w:val="000000"/>
          <w:spacing w:val="6"/>
          <w:sz w:val="28"/>
        </w:rPr>
        <w:t xml:space="preserve"> </w:t>
      </w:r>
    </w:p>
    <w:p>
      <w:pPr>
        <w:pStyle w:val="TextBody"/>
        <w:bidi w:val="0"/>
        <w:spacing w:lineRule="atLeast" w:line="240" w:before="160" w:after="283"/>
        <w:ind w:left="175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From time to time, we may offer and sell up to $300,000,000 of any combination of the securities described in this prospectus in one or more offerings. We may also offer securities as may be issuable upon conversion, redemption, repurchase, exchange or exercise of any securities registered hereunder, including any applicable anti-dilution provisions. </w:t>
      </w:r>
    </w:p>
    <w:p>
      <w:pPr>
        <w:pStyle w:val="TextBody"/>
        <w:bidi w:val="0"/>
        <w:spacing w:lineRule="atLeast" w:line="240" w:before="160" w:after="283"/>
        <w:ind w:left="175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provides a general description of the securities we may offer. Each time we offer securities, we will provide specific terms of the securities offered in a supplement to this prospectus. We may also authorize one or more free writing prospectuses to be provided to you in connection with these offerings. The prospectus supplement and any related free writing prospectus may also add, update or change information contained in this prospectus. You should carefully read this prospectus, the applicable prospectus supplement and any related free writing prospectus, as well as any documents incorporated by reference, before you invest in any of the securities being offered. </w:t>
      </w:r>
    </w:p>
    <w:p>
      <w:pPr>
        <w:pStyle w:val="TextBody"/>
        <w:bidi w:val="0"/>
        <w:spacing w:lineRule="atLeast" w:line="240" w:before="160" w:after="283"/>
        <w:ind w:left="175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This prospectus may not be used to consummate a sale of any securities unless accompanied by a prospectus supplement.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5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sell these securities directly to investors, through agents designated from time to time or to or through underwriters or dealers, on a continuous or delayed basis. For additional information on the methods of sale, you should refer to the section entitled “Plan of Distribution” in this prospectus and in the applicable prospectus supplement. If any agents or underwriters are involved in the sale of any securities with respect to which this prospectus is being delivered, the names of such agents or underwriters and any applicable fees, commissions, discounts or over-allotment options will be set forth in a prospectus supplement. The price to the public of such securities and the net proceeds we expect to receive from such sale will also be set forth in a prospectus supplement. </w:t>
      </w:r>
    </w:p>
    <w:p>
      <w:pPr>
        <w:pStyle w:val="TextBody"/>
        <w:bidi w:val="0"/>
        <w:spacing w:lineRule="atLeast" w:line="240" w:before="160" w:after="283"/>
        <w:ind w:left="175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common shares trade on the Nasdaq Global Select Market under the symbol “MIST.” On May 12, 2026, the last reported sale price of our common shares was $1.90 per share. The applicable prospectus supplement will contain information, where applicable, as to any other listing on the Nasdaq Global Select Market or any securities market or other exchange of the securities, if any, covered by the prospectus supplement. </w:t>
      </w:r>
    </w:p>
    <w:p>
      <w:pPr>
        <w:pStyle w:val="TextBody"/>
        <w:bidi w:val="0"/>
        <w:spacing w:lineRule="atLeast" w:line="240" w:before="160" w:after="283"/>
        <w:ind w:left="1753" w:right="0" w:firstLine="400"/>
        <w:jc w:val="left"/>
        <w:rPr/>
      </w:pPr>
      <w:r>
        <w:rPr>
          <w:rFonts w:ascii="Times New Roman;Times;serif" w:hAnsi="Times New Roman;Times;serif"/>
          <w:b w:val="false"/>
          <w:i w:val="false"/>
          <w:caps w:val="false"/>
          <w:smallCaps w:val="false"/>
          <w:color w:val="000000"/>
          <w:spacing w:val="4"/>
          <w:sz w:val="20"/>
        </w:rPr>
        <w:t xml:space="preserve">Investing in our securities involves a high degree of risk. You should review carefully the risks and uncertainties described under the heading “Risk Factors” contained in the applicable prospectus supplement and any related free writing prospectus we have authorized for use in connection with a specific offering, and under similar headings in the other documents that are incorporated by reference into this prospectus as described on page </w:t>
      </w:r>
      <w:hyperlink w:anchor="tRIFA">
        <w:r>
          <w:rPr>
            <w:rStyle w:val="InternetLink"/>
          </w:rPr>
          <w:t>5</w:t>
        </w:r>
      </w:hyperlink>
      <w:r>
        <w:rPr>
          <w:rFonts w:ascii="Times New Roman;Times;serif" w:hAnsi="Times New Roman;Times;serif"/>
          <w:b w:val="false"/>
          <w:i w:val="false"/>
          <w:caps w:val="false"/>
          <w:smallCaps w:val="false"/>
          <w:color w:val="000000"/>
          <w:spacing w:val="4"/>
          <w:sz w:val="20"/>
        </w:rPr>
        <w:t xml:space="preserve"> of this prospectus. </w:t>
      </w:r>
    </w:p>
    <w:p>
      <w:pPr>
        <w:pStyle w:val="TextBody"/>
        <w:bidi w:val="0"/>
        <w:spacing w:lineRule="atLeast" w:line="240" w:before="160" w:after="283"/>
        <w:ind w:left="175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NEITHER THE SECURITIES AND EXCHANGE COMMISSION NOR ANY STATE SECURITIES COMMISSION HAS APPROVED OR DISAPPROVED OF THESE SECURITIES OR DETERMINED IF THIS PROSPECTUS IS TRUTHFUL OR COMPLETE. ANY REPRESENTATION TO THE CONTRARY IS A CRIMINAL OFFENSE.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date of this prospectus is            , 2026.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 w:name="TOC"/>
      <w:bookmarkEnd w:id="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6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7721"/>
        <w:gridCol w:w="109"/>
        <w:gridCol w:w="109"/>
        <w:gridCol w:w="109"/>
        <w:gridCol w:w="109"/>
        <w:gridCol w:w="391"/>
        <w:gridCol w:w="109"/>
        <w:gridCol w:w="155"/>
      </w:tblGrid>
      <w:tr>
        <w:trPr/>
        <w:tc>
          <w:tcPr>
            <w:tcW w:w="772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18"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Page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7721" w:type="dxa"/>
            <w:tcBorders/>
            <w:shd w:fill="CCEEFF" w:val="clear"/>
            <w:tcMar>
              <w:bottom w:w="0" w:type="dxa"/>
            </w:tcMar>
            <w:vAlign w:val="center"/>
          </w:tcPr>
          <w:p>
            <w:pPr>
              <w:pStyle w:val="TableContents"/>
              <w:bidi w:val="0"/>
              <w:spacing w:before="0" w:after="0"/>
              <w:jc w:val="left"/>
              <w:rPr/>
            </w:pPr>
            <w:hyperlink w:anchor="tATP">
              <w:r>
                <w:rPr>
                  <w:rStyle w:val="InternetLink"/>
                  <w:spacing w:val="4"/>
                </w:rPr>
                <w:t xml:space="preserve">ABOUT THIS PROSPECTUS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1" w:type="dxa"/>
            <w:tcBorders/>
            <w:shd w:fill="CCEEFF" w:val="clear"/>
            <w:tcMar>
              <w:bottom w:w="0" w:type="dxa"/>
            </w:tcMar>
            <w:vAlign w:val="center"/>
          </w:tcPr>
          <w:p>
            <w:pPr>
              <w:pStyle w:val="TableContents"/>
              <w:bidi w:val="0"/>
              <w:spacing w:before="0" w:after="283"/>
              <w:jc w:val="right"/>
              <w:rPr/>
            </w:pPr>
            <w:hyperlink w:anchor="tATP">
              <w:r>
                <w:rPr>
                  <w:rStyle w:val="InternetLink"/>
                  <w:spacing w:val="4"/>
                </w:rPr>
                <w:t>1</w:t>
              </w:r>
            </w:hyperlink>
            <w:hyperlink w:anchor="tAT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21" w:type="dxa"/>
            <w:tcBorders/>
            <w:tcMar>
              <w:bottom w:w="0" w:type="dxa"/>
            </w:tcMar>
            <w:vAlign w:val="center"/>
          </w:tcPr>
          <w:p>
            <w:pPr>
              <w:pStyle w:val="TableContents"/>
              <w:bidi w:val="0"/>
              <w:spacing w:before="0" w:after="0"/>
              <w:jc w:val="left"/>
              <w:rPr/>
            </w:pPr>
            <w:hyperlink w:anchor="tSUM">
              <w:r>
                <w:rPr>
                  <w:rStyle w:val="InternetLink"/>
                  <w:spacing w:val="4"/>
                </w:rPr>
                <w:t xml:space="preserve">SUMMARY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1" w:type="dxa"/>
            <w:tcBorders/>
            <w:tcMar>
              <w:bottom w:w="0" w:type="dxa"/>
            </w:tcMar>
            <w:vAlign w:val="center"/>
          </w:tcPr>
          <w:p>
            <w:pPr>
              <w:pStyle w:val="TableContents"/>
              <w:bidi w:val="0"/>
              <w:spacing w:before="0" w:after="283"/>
              <w:jc w:val="right"/>
              <w:rPr/>
            </w:pPr>
            <w:hyperlink w:anchor="tSUM">
              <w:r>
                <w:rPr>
                  <w:rStyle w:val="InternetLink"/>
                  <w:spacing w:val="4"/>
                </w:rPr>
                <w:t>2</w:t>
              </w:r>
            </w:hyperlink>
            <w:hyperlink w:anchor="tSUM">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21" w:type="dxa"/>
            <w:tcBorders/>
            <w:shd w:fill="CCEEFF" w:val="clear"/>
            <w:tcMar>
              <w:bottom w:w="0" w:type="dxa"/>
            </w:tcMar>
            <w:vAlign w:val="center"/>
          </w:tcPr>
          <w:p>
            <w:pPr>
              <w:pStyle w:val="TableContents"/>
              <w:bidi w:val="0"/>
              <w:spacing w:before="0" w:after="0"/>
              <w:jc w:val="left"/>
              <w:rPr/>
            </w:pPr>
            <w:hyperlink w:anchor="tRIFA">
              <w:r>
                <w:rPr>
                  <w:rStyle w:val="InternetLink"/>
                  <w:spacing w:val="4"/>
                </w:rPr>
                <w:t xml:space="preserve">RISK FACTORS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1" w:type="dxa"/>
            <w:tcBorders/>
            <w:shd w:fill="CCEEFF" w:val="clear"/>
            <w:tcMar>
              <w:bottom w:w="0" w:type="dxa"/>
            </w:tcMar>
            <w:vAlign w:val="center"/>
          </w:tcPr>
          <w:p>
            <w:pPr>
              <w:pStyle w:val="TableContents"/>
              <w:bidi w:val="0"/>
              <w:spacing w:before="0" w:after="283"/>
              <w:jc w:val="right"/>
              <w:rPr/>
            </w:pPr>
            <w:hyperlink w:anchor="tRIFA">
              <w:r>
                <w:rPr>
                  <w:rStyle w:val="InternetLink"/>
                  <w:spacing w:val="4"/>
                </w:rPr>
                <w:t>5</w:t>
              </w:r>
            </w:hyperlink>
            <w:hyperlink w:anchor="tRIF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21" w:type="dxa"/>
            <w:tcBorders/>
            <w:tcMar>
              <w:bottom w:w="0" w:type="dxa"/>
            </w:tcMar>
            <w:vAlign w:val="center"/>
          </w:tcPr>
          <w:p>
            <w:pPr>
              <w:pStyle w:val="TableContents"/>
              <w:bidi w:val="0"/>
              <w:spacing w:before="0" w:after="0"/>
              <w:jc w:val="left"/>
              <w:rPr/>
            </w:pPr>
            <w:hyperlink w:anchor="tSNRF">
              <w:r>
                <w:rPr>
                  <w:rStyle w:val="InternetLink"/>
                  <w:spacing w:val="4"/>
                </w:rPr>
                <w:t xml:space="preserve">SPECIAL NOTE REGARDING FORWARD-LOOKING STATEMENTS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1" w:type="dxa"/>
            <w:tcBorders/>
            <w:tcMar>
              <w:bottom w:w="0" w:type="dxa"/>
            </w:tcMar>
            <w:vAlign w:val="center"/>
          </w:tcPr>
          <w:p>
            <w:pPr>
              <w:pStyle w:val="TableContents"/>
              <w:bidi w:val="0"/>
              <w:spacing w:before="0" w:after="283"/>
              <w:jc w:val="right"/>
              <w:rPr/>
            </w:pPr>
            <w:hyperlink w:anchor="tSNRF">
              <w:r>
                <w:rPr>
                  <w:rStyle w:val="InternetLink"/>
                  <w:spacing w:val="4"/>
                </w:rPr>
                <w:t>6</w:t>
              </w:r>
            </w:hyperlink>
            <w:hyperlink w:anchor="tSNRF">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21" w:type="dxa"/>
            <w:tcBorders/>
            <w:shd w:fill="CCEEFF" w:val="clear"/>
            <w:tcMar>
              <w:bottom w:w="0" w:type="dxa"/>
            </w:tcMar>
            <w:vAlign w:val="center"/>
          </w:tcPr>
          <w:p>
            <w:pPr>
              <w:pStyle w:val="TableContents"/>
              <w:bidi w:val="0"/>
              <w:spacing w:before="0" w:after="0"/>
              <w:jc w:val="left"/>
              <w:rPr/>
            </w:pPr>
            <w:hyperlink w:anchor="tUOP">
              <w:r>
                <w:rPr>
                  <w:rStyle w:val="InternetLink"/>
                  <w:spacing w:val="4"/>
                </w:rPr>
                <w:t xml:space="preserve">USE OF PROCEEDS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1" w:type="dxa"/>
            <w:tcBorders/>
            <w:shd w:fill="CCEEFF" w:val="clear"/>
            <w:tcMar>
              <w:bottom w:w="0" w:type="dxa"/>
            </w:tcMar>
            <w:vAlign w:val="center"/>
          </w:tcPr>
          <w:p>
            <w:pPr>
              <w:pStyle w:val="TableContents"/>
              <w:bidi w:val="0"/>
              <w:spacing w:before="0" w:after="283"/>
              <w:jc w:val="right"/>
              <w:rPr/>
            </w:pPr>
            <w:hyperlink w:anchor="tUOP">
              <w:r>
                <w:rPr>
                  <w:rStyle w:val="InternetLink"/>
                  <w:spacing w:val="4"/>
                </w:rPr>
                <w:t>8</w:t>
              </w:r>
            </w:hyperlink>
            <w:hyperlink w:anchor="tUO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21" w:type="dxa"/>
            <w:tcBorders/>
            <w:tcMar>
              <w:bottom w:w="0" w:type="dxa"/>
            </w:tcMar>
            <w:vAlign w:val="center"/>
          </w:tcPr>
          <w:p>
            <w:pPr>
              <w:pStyle w:val="TableContents"/>
              <w:bidi w:val="0"/>
              <w:spacing w:before="0" w:after="0"/>
              <w:jc w:val="left"/>
              <w:rPr/>
            </w:pPr>
            <w:hyperlink w:anchor="tDOSC">
              <w:r>
                <w:rPr>
                  <w:rStyle w:val="InternetLink"/>
                  <w:spacing w:val="4"/>
                </w:rPr>
                <w:t xml:space="preserve">DESCRIPTION OF SHARE CAPITAL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1" w:type="dxa"/>
            <w:tcBorders/>
            <w:tcMar>
              <w:bottom w:w="0" w:type="dxa"/>
            </w:tcMar>
            <w:vAlign w:val="center"/>
          </w:tcPr>
          <w:p>
            <w:pPr>
              <w:pStyle w:val="TableContents"/>
              <w:bidi w:val="0"/>
              <w:spacing w:before="0" w:after="283"/>
              <w:jc w:val="right"/>
              <w:rPr/>
            </w:pPr>
            <w:hyperlink w:anchor="tDOSC">
              <w:r>
                <w:rPr>
                  <w:rStyle w:val="InternetLink"/>
                  <w:spacing w:val="4"/>
                </w:rPr>
                <w:t>9</w:t>
              </w:r>
            </w:hyperlink>
            <w:hyperlink w:anchor="tDOSC">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21" w:type="dxa"/>
            <w:tcBorders/>
            <w:shd w:fill="CCEEFF" w:val="clear"/>
            <w:tcMar>
              <w:bottom w:w="0" w:type="dxa"/>
            </w:tcMar>
            <w:vAlign w:val="center"/>
          </w:tcPr>
          <w:p>
            <w:pPr>
              <w:pStyle w:val="TableContents"/>
              <w:bidi w:val="0"/>
              <w:spacing w:before="0" w:after="0"/>
              <w:jc w:val="left"/>
              <w:rPr/>
            </w:pPr>
            <w:hyperlink w:anchor="tDODS">
              <w:r>
                <w:rPr>
                  <w:rStyle w:val="InternetLink"/>
                  <w:spacing w:val="4"/>
                </w:rPr>
                <w:t xml:space="preserve">DESCRIPTION OF DEBT SECURITIES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1" w:type="dxa"/>
            <w:tcBorders/>
            <w:shd w:fill="CCEEFF" w:val="clear"/>
            <w:tcMar>
              <w:bottom w:w="0" w:type="dxa"/>
            </w:tcMar>
            <w:vAlign w:val="center"/>
          </w:tcPr>
          <w:p>
            <w:pPr>
              <w:pStyle w:val="TableContents"/>
              <w:bidi w:val="0"/>
              <w:spacing w:before="0" w:after="283"/>
              <w:jc w:val="right"/>
              <w:rPr/>
            </w:pPr>
            <w:hyperlink w:anchor="tDODS">
              <w:r>
                <w:rPr>
                  <w:rStyle w:val="InternetLink"/>
                  <w:spacing w:val="4"/>
                </w:rPr>
                <w:t>12</w:t>
              </w:r>
            </w:hyperlink>
            <w:hyperlink w:anchor="tDODS">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21" w:type="dxa"/>
            <w:tcBorders/>
            <w:tcMar>
              <w:bottom w:w="0" w:type="dxa"/>
            </w:tcMar>
            <w:vAlign w:val="center"/>
          </w:tcPr>
          <w:p>
            <w:pPr>
              <w:pStyle w:val="TableContents"/>
              <w:bidi w:val="0"/>
              <w:spacing w:before="0" w:after="0"/>
              <w:jc w:val="left"/>
              <w:rPr/>
            </w:pPr>
            <w:hyperlink w:anchor="tDOW">
              <w:r>
                <w:rPr>
                  <w:rStyle w:val="InternetLink"/>
                  <w:spacing w:val="4"/>
                </w:rPr>
                <w:t xml:space="preserve">DESCRIPTION OF WARRANTS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1" w:type="dxa"/>
            <w:tcBorders/>
            <w:tcMar>
              <w:bottom w:w="0" w:type="dxa"/>
            </w:tcMar>
            <w:vAlign w:val="center"/>
          </w:tcPr>
          <w:p>
            <w:pPr>
              <w:pStyle w:val="TableContents"/>
              <w:bidi w:val="0"/>
              <w:spacing w:before="0" w:after="283"/>
              <w:jc w:val="right"/>
              <w:rPr/>
            </w:pPr>
            <w:hyperlink w:anchor="tDOW">
              <w:r>
                <w:rPr>
                  <w:rStyle w:val="InternetLink"/>
                  <w:spacing w:val="4"/>
                </w:rPr>
                <w:t>18</w:t>
              </w:r>
            </w:hyperlink>
            <w:hyperlink w:anchor="tDOW">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21" w:type="dxa"/>
            <w:tcBorders/>
            <w:shd w:fill="CCEEFF" w:val="clear"/>
            <w:tcMar>
              <w:bottom w:w="0" w:type="dxa"/>
            </w:tcMar>
            <w:vAlign w:val="center"/>
          </w:tcPr>
          <w:p>
            <w:pPr>
              <w:pStyle w:val="TableContents"/>
              <w:bidi w:val="0"/>
              <w:spacing w:before="0" w:after="0"/>
              <w:ind w:left="200" w:right="0" w:hanging="200"/>
              <w:jc w:val="left"/>
              <w:rPr/>
            </w:pPr>
            <w:hyperlink w:anchor="tMDBT">
              <w:r>
                <w:rPr>
                  <w:rStyle w:val="InternetLink"/>
                  <w:spacing w:val="4"/>
                </w:rPr>
                <w:t xml:space="preserve">MATERIAL DIFFERENCES BETWEEN THE BUSINESS CORPORATIONS ACT (QUÉBEC) </w:t>
              </w:r>
            </w:hyperlink>
            <w:hyperlink w:anchor="tMDBT">
              <w:r>
                <w:rPr>
                  <w:rStyle w:val="InternetLink"/>
                </w:rPr>
                <w:br/>
              </w:r>
            </w:hyperlink>
            <w:hyperlink w:anchor="tMDBT">
              <w:r>
                <w:rPr>
                  <w:rStyle w:val="InternetLink"/>
                  <w:spacing w:val="4"/>
                </w:rPr>
                <w:t xml:space="preserve">AND THE DELAWARE GENERAL CORPORATION LAW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1" w:type="dxa"/>
            <w:tcBorders/>
            <w:shd w:fill="CCEEFF" w:val="clear"/>
            <w:tcMar>
              <w:bottom w:w="0" w:type="dxa"/>
            </w:tcMar>
            <w:vAlign w:val="center"/>
          </w:tcPr>
          <w:p>
            <w:pPr>
              <w:pStyle w:val="TableContents"/>
              <w:bidi w:val="0"/>
              <w:spacing w:before="0" w:after="283"/>
              <w:jc w:val="right"/>
              <w:rPr/>
            </w:pPr>
            <w:hyperlink w:anchor="tMDBT">
              <w:r>
                <w:rPr>
                  <w:rStyle w:val="InternetLink"/>
                  <w:spacing w:val="4"/>
                </w:rPr>
                <w:t>21</w:t>
              </w:r>
            </w:hyperlink>
            <w:hyperlink w:anchor="tMDBT">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21" w:type="dxa"/>
            <w:tcBorders/>
            <w:tcMar>
              <w:bottom w:w="0" w:type="dxa"/>
            </w:tcMar>
            <w:vAlign w:val="center"/>
          </w:tcPr>
          <w:p>
            <w:pPr>
              <w:pStyle w:val="TableContents"/>
              <w:bidi w:val="0"/>
              <w:spacing w:before="0" w:after="0"/>
              <w:jc w:val="left"/>
              <w:rPr/>
            </w:pPr>
            <w:hyperlink w:anchor="tLOOS">
              <w:r>
                <w:rPr>
                  <w:rStyle w:val="InternetLink"/>
                  <w:spacing w:val="4"/>
                </w:rPr>
                <w:t xml:space="preserve">LEGAL OWNERSHIP OF SECURITIES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1" w:type="dxa"/>
            <w:tcBorders/>
            <w:tcMar>
              <w:bottom w:w="0" w:type="dxa"/>
            </w:tcMar>
            <w:vAlign w:val="center"/>
          </w:tcPr>
          <w:p>
            <w:pPr>
              <w:pStyle w:val="TableContents"/>
              <w:bidi w:val="0"/>
              <w:spacing w:before="0" w:after="283"/>
              <w:jc w:val="right"/>
              <w:rPr/>
            </w:pPr>
            <w:hyperlink w:anchor="tLOOS">
              <w:r>
                <w:rPr>
                  <w:rStyle w:val="InternetLink"/>
                  <w:spacing w:val="4"/>
                </w:rPr>
                <w:t>33</w:t>
              </w:r>
            </w:hyperlink>
            <w:hyperlink w:anchor="tLOOS">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21" w:type="dxa"/>
            <w:tcBorders/>
            <w:shd w:fill="CCEEFF" w:val="clear"/>
            <w:tcMar>
              <w:bottom w:w="0" w:type="dxa"/>
            </w:tcMar>
            <w:vAlign w:val="center"/>
          </w:tcPr>
          <w:p>
            <w:pPr>
              <w:pStyle w:val="TableContents"/>
              <w:bidi w:val="0"/>
              <w:spacing w:before="0" w:after="0"/>
              <w:jc w:val="left"/>
              <w:rPr/>
            </w:pPr>
            <w:hyperlink w:anchor="tPOD">
              <w:r>
                <w:rPr>
                  <w:rStyle w:val="InternetLink"/>
                  <w:spacing w:val="4"/>
                </w:rPr>
                <w:t xml:space="preserve">PLAN OF DISTRIBUTION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1" w:type="dxa"/>
            <w:tcBorders/>
            <w:shd w:fill="CCEEFF" w:val="clear"/>
            <w:tcMar>
              <w:bottom w:w="0" w:type="dxa"/>
            </w:tcMar>
            <w:vAlign w:val="center"/>
          </w:tcPr>
          <w:p>
            <w:pPr>
              <w:pStyle w:val="TableContents"/>
              <w:bidi w:val="0"/>
              <w:spacing w:before="0" w:after="283"/>
              <w:jc w:val="right"/>
              <w:rPr/>
            </w:pPr>
            <w:hyperlink w:anchor="tPOD">
              <w:r>
                <w:rPr>
                  <w:rStyle w:val="InternetLink"/>
                  <w:spacing w:val="4"/>
                </w:rPr>
                <w:t>36</w:t>
              </w:r>
            </w:hyperlink>
            <w:hyperlink w:anchor="tPOD">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21" w:type="dxa"/>
            <w:tcBorders/>
            <w:tcMar>
              <w:bottom w:w="0" w:type="dxa"/>
            </w:tcMar>
            <w:vAlign w:val="center"/>
          </w:tcPr>
          <w:p>
            <w:pPr>
              <w:pStyle w:val="TableContents"/>
              <w:bidi w:val="0"/>
              <w:spacing w:before="0" w:after="0"/>
              <w:jc w:val="left"/>
              <w:rPr/>
            </w:pPr>
            <w:hyperlink w:anchor="tLEMA">
              <w:r>
                <w:rPr>
                  <w:rStyle w:val="InternetLink"/>
                  <w:spacing w:val="4"/>
                </w:rPr>
                <w:t xml:space="preserve">LEGAL MATTERS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1" w:type="dxa"/>
            <w:tcBorders/>
            <w:tcMar>
              <w:bottom w:w="0" w:type="dxa"/>
            </w:tcMar>
            <w:vAlign w:val="center"/>
          </w:tcPr>
          <w:p>
            <w:pPr>
              <w:pStyle w:val="TableContents"/>
              <w:bidi w:val="0"/>
              <w:spacing w:before="0" w:after="283"/>
              <w:jc w:val="right"/>
              <w:rPr/>
            </w:pPr>
            <w:hyperlink w:anchor="tLEMA">
              <w:r>
                <w:rPr>
                  <w:rStyle w:val="InternetLink"/>
                  <w:spacing w:val="4"/>
                </w:rPr>
                <w:t>38</w:t>
              </w:r>
            </w:hyperlink>
            <w:hyperlink w:anchor="tLEM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21" w:type="dxa"/>
            <w:tcBorders/>
            <w:shd w:fill="CCEEFF" w:val="clear"/>
            <w:tcMar>
              <w:bottom w:w="0" w:type="dxa"/>
            </w:tcMar>
            <w:vAlign w:val="center"/>
          </w:tcPr>
          <w:p>
            <w:pPr>
              <w:pStyle w:val="TableContents"/>
              <w:bidi w:val="0"/>
              <w:spacing w:before="0" w:after="0"/>
              <w:jc w:val="left"/>
              <w:rPr/>
            </w:pPr>
            <w:hyperlink w:anchor="tEXP">
              <w:r>
                <w:rPr>
                  <w:rStyle w:val="InternetLink"/>
                  <w:spacing w:val="4"/>
                </w:rPr>
                <w:t xml:space="preserve">EXPERTS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1" w:type="dxa"/>
            <w:tcBorders/>
            <w:shd w:fill="CCEEFF" w:val="clear"/>
            <w:tcMar>
              <w:bottom w:w="0" w:type="dxa"/>
            </w:tcMar>
            <w:vAlign w:val="center"/>
          </w:tcPr>
          <w:p>
            <w:pPr>
              <w:pStyle w:val="TableContents"/>
              <w:bidi w:val="0"/>
              <w:spacing w:before="0" w:after="283"/>
              <w:jc w:val="right"/>
              <w:rPr/>
            </w:pPr>
            <w:hyperlink w:anchor="tEXP">
              <w:r>
                <w:rPr>
                  <w:rStyle w:val="InternetLink"/>
                  <w:spacing w:val="4"/>
                </w:rPr>
                <w:t>38</w:t>
              </w:r>
            </w:hyperlink>
            <w:hyperlink w:anchor="tEX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21" w:type="dxa"/>
            <w:tcBorders/>
            <w:tcMar>
              <w:bottom w:w="0" w:type="dxa"/>
            </w:tcMar>
            <w:vAlign w:val="center"/>
          </w:tcPr>
          <w:p>
            <w:pPr>
              <w:pStyle w:val="TableContents"/>
              <w:bidi w:val="0"/>
              <w:spacing w:before="0" w:after="0"/>
              <w:jc w:val="left"/>
              <w:rPr/>
            </w:pPr>
            <w:hyperlink w:anchor="tWYCF">
              <w:r>
                <w:rPr>
                  <w:rStyle w:val="InternetLink"/>
                  <w:spacing w:val="4"/>
                </w:rPr>
                <w:t xml:space="preserve">WHERE YOU CAN FIND MORE INFORMATION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1" w:type="dxa"/>
            <w:tcBorders/>
            <w:tcMar>
              <w:bottom w:w="0" w:type="dxa"/>
            </w:tcMar>
            <w:vAlign w:val="center"/>
          </w:tcPr>
          <w:p>
            <w:pPr>
              <w:pStyle w:val="TableContents"/>
              <w:bidi w:val="0"/>
              <w:spacing w:before="0" w:after="283"/>
              <w:jc w:val="right"/>
              <w:rPr/>
            </w:pPr>
            <w:hyperlink w:anchor="tWYCF">
              <w:r>
                <w:rPr>
                  <w:rStyle w:val="InternetLink"/>
                  <w:spacing w:val="4"/>
                </w:rPr>
                <w:t>39</w:t>
              </w:r>
            </w:hyperlink>
            <w:hyperlink w:anchor="tWYCF">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21" w:type="dxa"/>
            <w:tcBorders/>
            <w:shd w:fill="CCEEFF" w:val="clear"/>
            <w:tcMar>
              <w:bottom w:w="0" w:type="dxa"/>
            </w:tcMar>
            <w:vAlign w:val="center"/>
          </w:tcPr>
          <w:p>
            <w:pPr>
              <w:pStyle w:val="TableContents"/>
              <w:bidi w:val="0"/>
              <w:spacing w:before="0" w:after="0"/>
              <w:jc w:val="left"/>
              <w:rPr/>
            </w:pPr>
            <w:hyperlink w:anchor="tIOCI">
              <w:r>
                <w:rPr>
                  <w:rStyle w:val="InternetLink"/>
                  <w:spacing w:val="4"/>
                </w:rPr>
                <w:t xml:space="preserve">INCORPORATION OF CERTAIN INFORMATION BY REFERENCE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1" w:type="dxa"/>
            <w:tcBorders/>
            <w:shd w:fill="CCEEFF" w:val="clear"/>
            <w:tcMar>
              <w:bottom w:w="0" w:type="dxa"/>
            </w:tcMar>
            <w:vAlign w:val="center"/>
          </w:tcPr>
          <w:p>
            <w:pPr>
              <w:pStyle w:val="TableContents"/>
              <w:bidi w:val="0"/>
              <w:spacing w:before="0" w:after="283"/>
              <w:jc w:val="right"/>
              <w:rPr/>
            </w:pPr>
            <w:hyperlink w:anchor="tIOCI">
              <w:r>
                <w:rPr>
                  <w:rStyle w:val="InternetLink"/>
                  <w:spacing w:val="4"/>
                </w:rPr>
                <w:t>40</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 w:name="tATP"/>
      <w:bookmarkEnd w:id="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2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ABOUT THIS PROSPECTUS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is a part of a registration statement on Form S-3 that we filed with the Securities and Exchange Commission, or SEC, utilizing a “shelf” registration process. Under this shelf registration statement, we may sell any combination of the securities described in this prospectus in one or more offerings up to a total aggregate offering price of $300,000,000. This prospectus provides you with a general description of the securities we may offer.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time we sell securities under this prospectus, we will provide a prospectus supplement that will contain specific information about the terms of that offering. We may also authorize one or more free writing prospectuses to be provided to you that may contain material information relating to these offerings. The prospectus supplement and any related free writing prospectus that we may authorize to be provided to you may also add, update or change information contained in this prospectus or in any documents that we have incorporated by reference into this prospectus. You should read this prospectus, any applicable prospectus supplement and any related free writing prospectus, together with the information incorporated herein by reference as described under the heading “Incorporation of Certain Information by Reference,” before investing in any of the securities offered.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THIS PROSPECTUS MAY NOT BE USED TO CONSUMMATE A SALE OF SECURITIES UNLESS IT IS ACCOMPANIED BY A PROSPECTUS SUPPLEMENT.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Neither we, nor any agent, underwriter or dealer has authorized any person to give any information or to make any representation other than those contained or incorporated by reference in this prospectus, any applicable prospectus supplement or any related free writing prospectus prepared by or on behalf of us or to which we have referred you. This prospectus, any applicable supplement to this prospectus or any related free writing prospectus do not constitute an offer to sell or the solicitation of an offer to buy any securities other than the registered securities to which they relate, nor do this prospectus, any applicable supplement to this prospectus or any related free writing prospectus constitute an offer to sell or the solicitation of an offer to buy securities in any jurisdiction to any person to whom it is unlawful to make such offer or solicitation in such jurisdiction.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should not assume that the information contained in this prospectus, any applicable prospectus supplement or any related free writing prospectus is accurate on any date subsequent to the date set forth on the front of the document or that any information we have incorporated by reference is correct on any date subsequent to the date of the document incorporated by reference, even though this prospectus, any applicable prospectus supplement or any related free writing prospectus is delivered, or securities are sold, on a later date.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This prospectus and the information incorporated herein by reference contain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heading “Where You Can Find More Information.”</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 w:name="tSUM"/>
      <w:bookmarkEnd w:id="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SUMMARY</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This summary highlights selected information from this prospectus and does not contain all of the information that you need to consider in making your investment decision. You should carefully read the entire prospectus, the applicable prospectus supplement and any related free writing prospectus, including the risks of investing in our securities discussed under the heading “Risk Factors” contained in the applicable prospectus supplement and any related free writing prospectus, and under similar headings in the other documents that are incorporated by reference into this prospectus. You should also carefully read the information incorporated by reference into this prospectus, including our financial statements and related notes, and the exhibits to the registration statement of which this prospectus is a part, before making an investment decision. </w:t>
      </w:r>
    </w:p>
    <w:p>
      <w:pPr>
        <w:pStyle w:val="TextBody"/>
        <w:bidi w:val="0"/>
        <w:spacing w:lineRule="atLeast" w:line="230" w:before="160" w:after="283"/>
        <w:ind w:left="1393" w:right="0" w:firstLine="400"/>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Unless the context indicates otherwise, references in this prospectus to “Milestone,” “company,” “we,” “us” and “our” refer to Milestone Pharmaceuticals Inc.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Company Overview</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We are a biopharmaceutical company focused on the development and commercialization of innovative cardiovascular medicines. Our approved product CARDAMYST</w:t>
      </w:r>
      <w:r>
        <w:rPr>
          <w:rFonts w:ascii="Times New Roman;Times;serif" w:hAnsi="Times New Roman;Times;serif"/>
          <w:b w:val="false"/>
          <w:i w:val="false"/>
          <w:caps w:val="false"/>
          <w:smallCaps w:val="false"/>
          <w:color w:val="000000"/>
          <w:spacing w:val="3"/>
          <w:sz w:val="15"/>
          <w:bdr w:val="single" w:sz="8" w:space="1" w:color="000000"/>
        </w:rPr>
        <w:t>TM</w:t>
      </w:r>
      <w:r>
        <w:rPr>
          <w:rFonts w:ascii="Times New Roman;Times;serif" w:hAnsi="Times New Roman;Times;serif"/>
          <w:b w:val="false"/>
          <w:i w:val="false"/>
          <w:caps w:val="false"/>
          <w:smallCaps w:val="false"/>
          <w:color w:val="000000"/>
          <w:spacing w:val="4"/>
          <w:sz w:val="20"/>
          <w:bdr w:val="single" w:sz="8" w:space="1" w:color="000000"/>
        </w:rPr>
        <w:t xml:space="preserve"> (etripamil) nasal spray is available in the United States and is the first and only U.S. Food and Drug Administration, or “FDA,” approved self-administered treatment for use by patients anywhere, anytime an attack of paroxysmal supraventricular tachycardia, or “PSVT,” occurs. We continue to seek, either directly or through collaboration with our partners, marketing approval from regulatory agencies responsible for regions outside the United States. We are also developing etripamil for the indication of atrial fibrillation with rapid ventricular rate, or “AFib-RVR.”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We are currently focusing our efforts and financial resources on (i) the commercialization of CARDAMYST</w:t>
      </w:r>
      <w:r>
        <w:rPr>
          <w:rFonts w:ascii="Times New Roman;Times;serif" w:hAnsi="Times New Roman;Times;serif"/>
          <w:b w:val="false"/>
          <w:i w:val="false"/>
          <w:caps w:val="false"/>
          <w:smallCaps w:val="false"/>
          <w:color w:val="000000"/>
          <w:spacing w:val="3"/>
          <w:sz w:val="15"/>
          <w:bdr w:val="single" w:sz="8" w:space="1" w:color="000000"/>
        </w:rPr>
        <w:t>TM</w:t>
      </w:r>
      <w:r>
        <w:rPr>
          <w:rFonts w:ascii="Times New Roman;Times;serif" w:hAnsi="Times New Roman;Times;serif"/>
          <w:b w:val="false"/>
          <w:i w:val="false"/>
          <w:caps w:val="false"/>
          <w:smallCaps w:val="false"/>
          <w:color w:val="000000"/>
          <w:spacing w:val="4"/>
          <w:sz w:val="20"/>
          <w:bdr w:val="single" w:sz="8" w:space="1" w:color="000000"/>
        </w:rPr>
        <w:t xml:space="preserve"> (etripamil) nasal spray for the treatment of PSVT, (ii) the development of etripamil for the treatment of AFib-RVR and (iii) corporate development activities that have the potential to increase company value through strategic collaborations.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Corporate Information</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were incorporated under the Canada Business Corporations Act in 2003 and continued under the Business Corporations Act (Québec) in 2017. Our principal executive offices are located at 1111 Dr. Frederik-Philips Blvd., Suite 420, Montréal, Québec, Canada H4M 2X6, and our telephone number is (514) 336-0444. In January 2017, we incorporated our wholly owned subsidiary, Milestone Pharmaceuticals USA, Inc., a Delaware corporation. Our U.S. offices are located at 6210 Ardrey Kell Rd, Suite 650, Charlotte, NC 28277 and our telephone number is (704) 848-5316. Our corporate website address is www.milestonepharma.com. Information contained on, or accessible through, our website is not a part of this prospectus. We have included our website in this prospectus solely as an inactive textual reference.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Implications of Being a Smaller Reporting Company</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are a “smaller reporting company” as defined in Rule 12b-2 promulgated under the Securities Exchange Act of 1934, as amended, or the Exchange Act. We may remain a smaller reporting company until we have a non-affiliate public float in excess of $250 million and annual revenues in excess of $100 million, or a non-affiliate public float in excess of $700 million, each as determined on an annual basis.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The Securities We May Offer</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may offer common shares, preferred shares, various series of debt securities and/or warrants to purchase any of such securities, either individually or in combination, up to a total aggregate offering price of $300,000,000 from time to time in one or more offerings under this prospectus, together with any applicable prospectus supplement and any related free writing prospectus, at prices and on terms to be determined by market conditions at the time of the relevant offering. This prospectus provides you with a general description of the securities we may offer. Each time we offer a type or series of securities under this prospectus, we will provide a prospectus supplement that will describe the specific amounts, prices and other important terms of the securities, including, to the extent applicable: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designation or classification; </w:t>
      </w:r>
      <w:r>
        <mc:AlternateContent>
          <mc:Choice Requires="wps">
            <w:drawing>
              <wp:anchor behindDoc="0" distT="0" distB="0" distL="254000" distR="0" simplePos="0" locked="0" layoutInCell="1" allowOverlap="1" relativeHeight="19">
                <wp:simplePos x="0" y="0"/>
                <wp:positionH relativeFrom="column">
                  <wp:align>left</wp:align>
                </wp:positionH>
                <wp:positionV relativeFrom="line">
                  <wp:posOffset>635</wp:posOffset>
                </wp:positionV>
                <wp:extent cx="127000" cy="350520"/>
                <wp:effectExtent l="0" t="0" r="0" b="0"/>
                <wp:wrapSquare wrapText="right"/>
                <wp:docPr id="11" name="Frame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aggregate principal amount or aggregate offering price; </w:t>
      </w:r>
      <w:r>
        <mc:AlternateContent>
          <mc:Choice Requires="wps">
            <w:drawing>
              <wp:anchor behindDoc="0" distT="78740" distB="0" distL="254000" distR="0" simplePos="0" locked="0" layoutInCell="1" allowOverlap="1" relativeHeight="20">
                <wp:simplePos x="0" y="0"/>
                <wp:positionH relativeFrom="column">
                  <wp:align>left</wp:align>
                </wp:positionH>
                <wp:positionV relativeFrom="line">
                  <wp:align>top</wp:align>
                </wp:positionV>
                <wp:extent cx="127000" cy="350520"/>
                <wp:effectExtent l="0" t="0" r="0" b="0"/>
                <wp:wrapSquare wrapText="right"/>
                <wp:docPr id="12" name="Frame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maturity; </w:t>
      </w:r>
      <w:r>
        <mc:AlternateContent>
          <mc:Choice Requires="wps">
            <w:drawing>
              <wp:anchor behindDoc="0" distT="78740" distB="0" distL="254000" distR="0" simplePos="0" locked="0" layoutInCell="1" allowOverlap="1" relativeHeight="21">
                <wp:simplePos x="0" y="0"/>
                <wp:positionH relativeFrom="column">
                  <wp:align>left</wp:align>
                </wp:positionH>
                <wp:positionV relativeFrom="line">
                  <wp:align>top</wp:align>
                </wp:positionV>
                <wp:extent cx="127000" cy="350520"/>
                <wp:effectExtent l="0" t="0" r="0" b="0"/>
                <wp:wrapSquare wrapText="right"/>
                <wp:docPr id="13" name="Frame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original issue discount, if any; </w:t>
      </w:r>
      <w:r>
        <mc:AlternateContent>
          <mc:Choice Requires="wps">
            <w:drawing>
              <wp:anchor behindDoc="0" distT="78740" distB="0" distL="254000" distR="0" simplePos="0" locked="0" layoutInCell="1" allowOverlap="1" relativeHeight="22">
                <wp:simplePos x="0" y="0"/>
                <wp:positionH relativeFrom="column">
                  <wp:align>left</wp:align>
                </wp:positionH>
                <wp:positionV relativeFrom="line">
                  <wp:align>top</wp:align>
                </wp:positionV>
                <wp:extent cx="127000" cy="350520"/>
                <wp:effectExtent l="0" t="0" r="0" b="0"/>
                <wp:wrapSquare wrapText="right"/>
                <wp:docPr id="14" name="Frame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rates and times of payment of interest or dividends, if any; </w:t>
      </w:r>
      <w:r>
        <mc:AlternateContent>
          <mc:Choice Requires="wps">
            <w:drawing>
              <wp:anchor behindDoc="0" distT="78740" distB="0" distL="254000" distR="0" simplePos="0" locked="0" layoutInCell="1" allowOverlap="1" relativeHeight="23">
                <wp:simplePos x="0" y="0"/>
                <wp:positionH relativeFrom="column">
                  <wp:align>left</wp:align>
                </wp:positionH>
                <wp:positionV relativeFrom="line">
                  <wp:align>top</wp:align>
                </wp:positionV>
                <wp:extent cx="127000" cy="350520"/>
                <wp:effectExtent l="0" t="0" r="0" b="0"/>
                <wp:wrapSquare wrapText="right"/>
                <wp:docPr id="15" name="Frame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redemption, conversion, exchange or sinking fund terms, if any; </w:t>
      </w:r>
      <w:r>
        <mc:AlternateContent>
          <mc:Choice Requires="wps">
            <w:drawing>
              <wp:anchor behindDoc="0" distT="78740" distB="0" distL="254000" distR="0" simplePos="0" locked="0" layoutInCell="1" allowOverlap="1" relativeHeight="24">
                <wp:simplePos x="0" y="0"/>
                <wp:positionH relativeFrom="column">
                  <wp:align>left</wp:align>
                </wp:positionH>
                <wp:positionV relativeFrom="line">
                  <wp:align>top</wp:align>
                </wp:positionV>
                <wp:extent cx="127000" cy="350520"/>
                <wp:effectExtent l="0" t="0" r="0" b="0"/>
                <wp:wrapSquare wrapText="right"/>
                <wp:docPr id="16" name="Frame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conversion or exchange prices or rates, if any, and, if applicable, any provisions for changes to or adjustments in the conversion or exchange prices or rates and in the securities or other property receivable upon conversion or exchange; </w:t>
      </w:r>
      <w:r>
        <mc:AlternateContent>
          <mc:Choice Requires="wps">
            <w:drawing>
              <wp:anchor behindDoc="0" distT="78740" distB="0" distL="254000" distR="0" simplePos="0" locked="0" layoutInCell="1" allowOverlap="1" relativeHeight="25">
                <wp:simplePos x="0" y="0"/>
                <wp:positionH relativeFrom="column">
                  <wp:align>left</wp:align>
                </wp:positionH>
                <wp:positionV relativeFrom="line">
                  <wp:align>top</wp:align>
                </wp:positionV>
                <wp:extent cx="127000" cy="350520"/>
                <wp:effectExtent l="0" t="0" r="0" b="0"/>
                <wp:wrapSquare wrapText="right"/>
                <wp:docPr id="17" name="Frame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ranking; </w:t>
      </w:r>
      <w:r>
        <mc:AlternateContent>
          <mc:Choice Requires="wps">
            <w:drawing>
              <wp:anchor behindDoc="0" distT="77470" distB="0" distL="254000" distR="0" simplePos="0" locked="0" layoutInCell="1" allowOverlap="1" relativeHeight="26">
                <wp:simplePos x="0" y="0"/>
                <wp:positionH relativeFrom="column">
                  <wp:align>left</wp:align>
                </wp:positionH>
                <wp:positionV relativeFrom="line">
                  <wp:align>top</wp:align>
                </wp:positionV>
                <wp:extent cx="127000" cy="350520"/>
                <wp:effectExtent l="0" t="0" r="0" b="0"/>
                <wp:wrapSquare wrapText="right"/>
                <wp:docPr id="18" name="Frame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restrictive covenants, if any; </w:t>
      </w:r>
      <w:r>
        <mc:AlternateContent>
          <mc:Choice Requires="wps">
            <w:drawing>
              <wp:anchor behindDoc="0" distT="77470" distB="0" distL="254000" distR="0" simplePos="0" locked="0" layoutInCell="1" allowOverlap="1" relativeHeight="27">
                <wp:simplePos x="0" y="0"/>
                <wp:positionH relativeFrom="column">
                  <wp:align>left</wp:align>
                </wp:positionH>
                <wp:positionV relativeFrom="line">
                  <wp:align>top</wp:align>
                </wp:positionV>
                <wp:extent cx="127000" cy="350520"/>
                <wp:effectExtent l="0" t="0" r="0" b="0"/>
                <wp:wrapSquare wrapText="right"/>
                <wp:docPr id="19" name="Frame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voting or other rights, if any; and </w:t>
      </w:r>
      <w:r>
        <mc:AlternateContent>
          <mc:Choice Requires="wps">
            <w:drawing>
              <wp:anchor behindDoc="0" distT="77470" distB="0" distL="254000" distR="0" simplePos="0" locked="0" layoutInCell="1" allowOverlap="1" relativeHeight="28">
                <wp:simplePos x="0" y="0"/>
                <wp:positionH relativeFrom="column">
                  <wp:align>left</wp:align>
                </wp:positionH>
                <wp:positionV relativeFrom="line">
                  <wp:align>top</wp:align>
                </wp:positionV>
                <wp:extent cx="127000" cy="350520"/>
                <wp:effectExtent l="0" t="0" r="0" b="0"/>
                <wp:wrapSquare wrapText="right"/>
                <wp:docPr id="20" name="Frame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important U.S. federal income tax and Canadian federal income tax considerations. </w:t>
      </w:r>
      <w:r>
        <mc:AlternateContent>
          <mc:Choice Requires="wps">
            <w:drawing>
              <wp:anchor behindDoc="0" distT="77470" distB="0" distL="254000" distR="0" simplePos="0" locked="0" layoutInCell="1" allowOverlap="1" relativeHeight="29">
                <wp:simplePos x="0" y="0"/>
                <wp:positionH relativeFrom="column">
                  <wp:align>left</wp:align>
                </wp:positionH>
                <wp:positionV relativeFrom="line">
                  <wp:align>top</wp:align>
                </wp:positionV>
                <wp:extent cx="127000" cy="350520"/>
                <wp:effectExtent l="0" t="0" r="0" b="0"/>
                <wp:wrapSquare wrapText="right"/>
                <wp:docPr id="21" name="Frame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applicable prospectus supplement and any related free writing prospectus that we may authorize to be provided to you may also add, update or change information contained in this prospectus or in documents we have incorporated by reference. However, no prospectus supplement or free writing prospectus will offer a security that is not registered and described in this prospectus at the time of the effectiveness of the registration statement of which this prospectus is a part.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may sell the securities directly to investors or indirectly through underwriters, dealers or agents. We, and our underwriters, dealers or agents reserve the right to accept or reject all or part of any proposed purchase of securities. If we do offer securities through underwriters, dealers or agents, we will include in the applicable prospectus supplement: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names of those underwriters, dealers or agents; </w:t>
      </w:r>
      <w:r>
        <mc:AlternateContent>
          <mc:Choice Requires="wps">
            <w:drawing>
              <wp:anchor behindDoc="0" distT="77470" distB="0" distL="254000" distR="0" simplePos="0" locked="0" layoutInCell="1" allowOverlap="1" relativeHeight="30">
                <wp:simplePos x="0" y="0"/>
                <wp:positionH relativeFrom="column">
                  <wp:align>left</wp:align>
                </wp:positionH>
                <wp:positionV relativeFrom="line">
                  <wp:align>top</wp:align>
                </wp:positionV>
                <wp:extent cx="127000" cy="350520"/>
                <wp:effectExtent l="0" t="0" r="0" b="0"/>
                <wp:wrapSquare wrapText="right"/>
                <wp:docPr id="22" name="Frame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applicable fees, discounts and commissions to be paid to them; </w:t>
      </w:r>
      <w:r>
        <mc:AlternateContent>
          <mc:Choice Requires="wps">
            <w:drawing>
              <wp:anchor behindDoc="0" distT="77470" distB="0" distL="254000" distR="0" simplePos="0" locked="0" layoutInCell="1" allowOverlap="1" relativeHeight="31">
                <wp:simplePos x="0" y="0"/>
                <wp:positionH relativeFrom="column">
                  <wp:align>left</wp:align>
                </wp:positionH>
                <wp:positionV relativeFrom="line">
                  <wp:align>top</wp:align>
                </wp:positionV>
                <wp:extent cx="127000" cy="350520"/>
                <wp:effectExtent l="0" t="0" r="0" b="0"/>
                <wp:wrapSquare wrapText="right"/>
                <wp:docPr id="23" name="Frame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details regarding over-allotment options, if any; and </w:t>
      </w:r>
      <w:r>
        <mc:AlternateContent>
          <mc:Choice Requires="wps">
            <w:drawing>
              <wp:anchor behindDoc="0" distT="77470" distB="0" distL="254000" distR="0" simplePos="0" locked="0" layoutInCell="1" allowOverlap="1" relativeHeight="32">
                <wp:simplePos x="0" y="0"/>
                <wp:positionH relativeFrom="column">
                  <wp:align>left</wp:align>
                </wp:positionH>
                <wp:positionV relativeFrom="line">
                  <wp:align>top</wp:align>
                </wp:positionV>
                <wp:extent cx="127000" cy="350520"/>
                <wp:effectExtent l="0" t="0" r="0" b="0"/>
                <wp:wrapSquare wrapText="right"/>
                <wp:docPr id="24" name="Frame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estimated net proceeds to us. </w:t>
      </w:r>
      <w:r>
        <mc:AlternateContent>
          <mc:Choice Requires="wps">
            <w:drawing>
              <wp:anchor behindDoc="0" distT="77470" distB="0" distL="254000" distR="0" simplePos="0" locked="0" layoutInCell="1" allowOverlap="1" relativeHeight="33">
                <wp:simplePos x="0" y="0"/>
                <wp:positionH relativeFrom="column">
                  <wp:align>left</wp:align>
                </wp:positionH>
                <wp:positionV relativeFrom="line">
                  <wp:align>top</wp:align>
                </wp:positionV>
                <wp:extent cx="127000" cy="350520"/>
                <wp:effectExtent l="0" t="0" r="0" b="0"/>
                <wp:wrapSquare wrapText="right"/>
                <wp:docPr id="25" name="Frame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This prospectus may not be used to consummate a sale of securities unless it is accompanied by a prospectus supplement.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Common Shares</w:t>
      </w:r>
      <w:r>
        <w:rPr>
          <w:rFonts w:ascii="Times New Roman;Times;serif" w:hAnsi="Times New Roman;Times;serif"/>
          <w:b w:val="false"/>
          <w:i w:val="false"/>
          <w:caps w:val="false"/>
          <w:smallCaps w:val="false"/>
          <w:color w:val="000000"/>
          <w:spacing w:val="4"/>
          <w:sz w:val="20"/>
          <w:bdr w:val="single" w:sz="8" w:space="1" w:color="000000"/>
        </w:rPr>
        <w:t xml:space="preserve">.   We may issue common shares from time to time. Under our articles, each holder of common shares is entitled to receive notice of, to attend and to vote at, all annual and special meetings of our shareholders. Each common share entitles the holder thereof to one vote at all meetings, other than meetings at which only holders of another particular class or series have the right to vote. Subject and subordinate to the prior rights and privileges of the holders of our preferred shares ranking before common shares, the holders of common shares are entitled to receive dividends as and when declared by our board of directors. Subject and subordinate to the prior payment to the holders of our preferred shares ranking before common shares, in the event of our liquidation, dissolution or winding-up, whether voluntary or involuntary, or other distribution of our assets among our shareholders for the purposes of winding-up our affairs, the holders of common shares are entitled to share pro rata in the distribution of our remaining property and assets. The holders of common shares have no preemptive, conversion rights or other subscription rights. There are no redemption or sinking fund provisions applicable to our common shares. There is no provision in our articles requiring the holders of common shares to contribute additional capital or permitting or restricting the issuance of additional securities or any other material restrictions. The rights and privileges of the holders of common shares will be subject to and may be adversely affected by, the rights and privileges of the holders of any series of preferred shares that we may designate in the future or any other class or series of shares that may be created and that would rank senior to the common shares.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480"/>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Preferred Shares</w:t>
      </w:r>
      <w:r>
        <w:rPr>
          <w:rFonts w:ascii="Times New Roman;Times;serif" w:hAnsi="Times New Roman;Times;serif"/>
          <w:b w:val="false"/>
          <w:i w:val="false"/>
          <w:caps w:val="false"/>
          <w:smallCaps w:val="false"/>
          <w:color w:val="000000"/>
          <w:spacing w:val="4"/>
          <w:sz w:val="20"/>
          <w:bdr w:val="single" w:sz="8" w:space="1" w:color="000000"/>
        </w:rPr>
        <w:t xml:space="preserve">.   Pursuant to our articles, we may issue preferred shares at any time and from time to time, in one or more series. Under our articles, we are authorized to issue, without shareholder approval, an unlimited number of preferred shares, issuable in one or more series, and, subject to the provisions of the Business Corporations Act (Québec), or the QBCA, having such designations, rights, privileges, restrictions and conditions, including dividend and voting rights and calculation methods, as our board of directors may determine, and such rights and privileges, including voting, dividend, asset distribution and return of capital rights, may be superior to those of the common shares. Any convertible preferred shares we may issue will be convertible into our common shares or exchangeable for our other securities. Conversion may be automatic, mandatory or at the holder’s option and would be at prescribed conversion rates.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If we sell any series of preferred shares under this prospectus, we will fix the designations, voting powers, preferences and rights of such series of preferred shares, as well as the qualifications, limitations or restrictions thereof, in the articles of amendment containing a description of such series. Before issuing a series of preferred shares, we will file as an exhibit to the registration statement of which this prospectus is a part, or will incorporate by reference from reports that we file with the SEC, any articles and certificates of amendment that describe the terms of the series of preferred shares that we are offering. We urge you to read the applicable prospectus supplement (and any free writing prospectus that we may authorize to be provided to you) related to the series of preferred shares being offered, as well as the complete articles and certificates of amendment that contain the terms of the applicable series of preferred shares.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Debt Securities</w:t>
      </w:r>
      <w:r>
        <w:rPr>
          <w:rFonts w:ascii="Times New Roman;Times;serif" w:hAnsi="Times New Roman;Times;serif"/>
          <w:b w:val="false"/>
          <w:i w:val="false"/>
          <w:caps w:val="false"/>
          <w:smallCaps w:val="false"/>
          <w:color w:val="000000"/>
          <w:spacing w:val="4"/>
          <w:sz w:val="20"/>
          <w:bdr w:val="single" w:sz="8" w:space="1" w:color="000000"/>
        </w:rPr>
        <w:t xml:space="preserve">.   We may issue debt securities from time to time, in one or more series, as either senior or subordinated debt or as senior or subordinated convertible debt. The senior debt securities will rank equally with any other unsecured and unsubordinated debt. The subordinated debt securities will be subordinate and junior in right of payment, to the extent and in the manner described in the instrument governing the debt, to all of our senior indebtedness. Convertible debt securities will be convertible into or exchangeable for our common shares or other securities. Conversion may be automatic, mandatory or at the holder’s option and would be at prescribed conversion rates.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debt securities issued under this prospectus will be issued under one or more documents called indentures, which are contracts between us and a national banking association or other eligible party, as trustee. In this prospectus, we have summarized certain general features of the debt securities. We urge you, however, to read the applicable prospectus supplement (and any free writing prospectus that we may authorize to be provided to you) related to the series of debt securities being offered, as well as the complete indentures that contain the terms of the debt securities. A form of indenture has been filed as an exhibit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Warrants</w:t>
      </w:r>
      <w:r>
        <w:rPr>
          <w:rFonts w:ascii="Times New Roman;Times;serif" w:hAnsi="Times New Roman;Times;serif"/>
          <w:b w:val="false"/>
          <w:i w:val="false"/>
          <w:caps w:val="false"/>
          <w:smallCaps w:val="false"/>
          <w:color w:val="000000"/>
          <w:spacing w:val="4"/>
          <w:sz w:val="20"/>
          <w:bdr w:val="single" w:sz="8" w:space="1" w:color="000000"/>
        </w:rPr>
        <w:t xml:space="preserve">.   We may issue warrants for the purchase of common shares, preferred shares and/or debt securities in one or more series. We may issue warrants independently or together with common shares, preferred shares and/or debt securities, and the warrants may be attached to or separate from these securities. In this prospectus, we have summarized certain general features of the warrants. We urge you, however, to read the applicable prospectus supplement (and any free writing prospectus that we may authorize to be provided to you) related to the particular series of warrants being offered, as well as the complete warrant agreements and warrant certificates that contain the terms of the warrants. Forms of the warrant agreements and forms of warrant certificates containing the terms of the warrants being offered have been filed as exhibits to the registration statement of which this prospectus is a part, and supplemental warrant agreements and forms of warrant certificates will be filed as exhibits to the registration statement of which this prospectus is a part or will be incorporated by reference from reports that we file with the SEC.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We will evidence each series of warrants by warrant certificates that we will issue. Warrants may be issued under an applicable warrant agreement that we enter into with a warrant agent. We will indicate the name and address of the warrant agent, if applicable, in the prospectus supplement relating to the particular series of warrants being offered.</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 w:name="tRIFA"/>
      <w:bookmarkEnd w:id="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5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 FACTORS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Investing in our securities involves a high degree of risk. You should carefully review the risks and uncertainties described under the heading “Risk Factors” contained in the applicable prospectus supplement and any related free writing prospectus, and under similar headings in our </w:t>
      </w:r>
      <w:hyperlink r:id="rId3">
        <w:r>
          <w:rPr>
            <w:rStyle w:val="InternetLink"/>
          </w:rPr>
          <w:t>Annual Report on Form 10-K for the year ended December 31, 2025</w:t>
        </w:r>
      </w:hyperlink>
      <w:r>
        <w:rPr>
          <w:rFonts w:ascii="Times New Roman;Times;serif" w:hAnsi="Times New Roman;Times;serif"/>
          <w:b w:val="false"/>
          <w:i w:val="false"/>
          <w:caps w:val="false"/>
          <w:smallCaps w:val="false"/>
          <w:color w:val="000000"/>
          <w:spacing w:val="4"/>
          <w:sz w:val="20"/>
        </w:rPr>
        <w:t xml:space="preserve">, any subsequent Quarterly Reports on Form 10-Q or Current Reports on Form 8-K and all other information contained or incorporated by reference into this prospectus, before deciding whether to purchase any of the securities being registered pursuant to the registration statement of which this prospectus is a part. Each of the risk factors described in the documents referenced above could adversely affect our business, operating results and financial condition, as well as adversely affect the value of an investment in our securities, and the occurrence of any of these risks might cause you to lose all or part of your investment. Additional risks not presently known to us or that we currently believe are immaterial may also significantly impair our business operations.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 w:name="tSNRF"/>
      <w:bookmarkEnd w:id="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SPECIAL NOTE REGARDING FORWARD-LOOKING STATEMENTS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and the documents incorporated by reference contain forward-looking statements. These are based on our management’s current beliefs, expectations and assumptions about future events, conditions and results and on information currently available to us. Discussions containing these forward- looking statements may be found, among other places, in the Sections entitled “Business,” “Risk Factors” and “Management’s Discussion and Analysis of Financial Condition and Results of Operations” contained in the documents incorporated herein.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some cases, you can identify forward-looking statements by terminology such as “aim,” “anticipate,” “assume,” “believe,” “contemplate,” “continue,” “could,” “design,” “due,” “estimate,” “expect,” “goal,” “intend,” “may,” “objective,” “plan,” “predict,” “positioned,” “potential,” “seek,” “should,” “target,” “will,” “would” or the negative or plural of those terms, and similar expressions intended to identify statements about the future, although not all forward-looking statements contain these words. These forward-looking statements involve known and unknown risks, uncertainties and other factors that may cause our actual results, levels of activity, performance or achievements to be materially different from the information expressed or implied by these statements.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statements in this prospectus, or incorporated by reference herein, about our expectations, beliefs, plans, objectives, assumptions or future events or performance are not historical facts and are forward-looking statements. Within the meaning of Section 27A of the Securities Act and Section 21E of the Exchange Act, these forward-looking statements include statements regarding: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expectations regarding the commercialization of CARDAMYST™ (etripamil) nasal spray for the conversion of acute symptomatic episodes of PSVT to sinus rhythm in adults as well as our plans to develop and commercialize our product candidates; </w:t>
      </w:r>
      <w:r>
        <mc:AlternateContent>
          <mc:Choice Requires="wps">
            <w:drawing>
              <wp:anchor behindDoc="0" distT="73660" distB="0" distL="254000" distR="0" simplePos="0" locked="0" layoutInCell="1" allowOverlap="1" relativeHeight="34">
                <wp:simplePos x="0" y="0"/>
                <wp:positionH relativeFrom="column">
                  <wp:align>left</wp:align>
                </wp:positionH>
                <wp:positionV relativeFrom="line">
                  <wp:align>top</wp:align>
                </wp:positionV>
                <wp:extent cx="127000" cy="350520"/>
                <wp:effectExtent l="0" t="0" r="0" b="0"/>
                <wp:wrapSquare wrapText="right"/>
                <wp:docPr id="26" name="Frame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initiation, timing, progress, and results of our current and future clinical trials of etripamil, including our Phase 3 clinical trial of etripamil for the treatment of atrial fibrillation and rapid ventricular rate, and of our research and development programs; </w:t>
      </w:r>
      <w:r>
        <mc:AlternateContent>
          <mc:Choice Requires="wps">
            <w:drawing>
              <wp:anchor behindDoc="0" distT="73660" distB="0" distL="254000" distR="0" simplePos="0" locked="0" layoutInCell="1" allowOverlap="1" relativeHeight="35">
                <wp:simplePos x="0" y="0"/>
                <wp:positionH relativeFrom="column">
                  <wp:align>left</wp:align>
                </wp:positionH>
                <wp:positionV relativeFrom="line">
                  <wp:align>top</wp:align>
                </wp:positionV>
                <wp:extent cx="127000" cy="350520"/>
                <wp:effectExtent l="0" t="0" r="0" b="0"/>
                <wp:wrapSquare wrapText="right"/>
                <wp:docPr id="27" name="Frame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develop and, if approved by regulatory authorities, commercialize etripamil in China, Hong Kong, Macau, and Taiwan through our license agreement with Everest Medicines, formerly partnered with Corxel Pharmaceuticals; </w:t>
      </w:r>
      <w:r>
        <mc:AlternateContent>
          <mc:Choice Requires="wps">
            <w:drawing>
              <wp:anchor behindDoc="0" distT="73660" distB="0" distL="254000" distR="0" simplePos="0" locked="0" layoutInCell="1" allowOverlap="1" relativeHeight="36">
                <wp:simplePos x="0" y="0"/>
                <wp:positionH relativeFrom="column">
                  <wp:align>left</wp:align>
                </wp:positionH>
                <wp:positionV relativeFrom="line">
                  <wp:align>top</wp:align>
                </wp:positionV>
                <wp:extent cx="127000" cy="350520"/>
                <wp:effectExtent l="0" t="0" r="0" b="0"/>
                <wp:wrapSquare wrapText="right"/>
                <wp:docPr id="28" name="Frame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estimates regarding expenses, future revenue, capital requirements, and needs for additional financing; </w:t>
      </w:r>
      <w:r>
        <mc:AlternateContent>
          <mc:Choice Requires="wps">
            <w:drawing>
              <wp:anchor behindDoc="0" distT="74930" distB="0" distL="254000" distR="0" simplePos="0" locked="0" layoutInCell="1" allowOverlap="1" relativeHeight="37">
                <wp:simplePos x="0" y="0"/>
                <wp:positionH relativeFrom="column">
                  <wp:align>left</wp:align>
                </wp:positionH>
                <wp:positionV relativeFrom="line">
                  <wp:align>top</wp:align>
                </wp:positionV>
                <wp:extent cx="127000" cy="350520"/>
                <wp:effectExtent l="0" t="0" r="0" b="0"/>
                <wp:wrapSquare wrapText="right"/>
                <wp:docPr id="29" name="Frame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establish collaborations or obtain additional funding; </w:t>
      </w:r>
      <w:r>
        <mc:AlternateContent>
          <mc:Choice Requires="wps">
            <w:drawing>
              <wp:anchor behindDoc="0" distT="74930" distB="0" distL="254000" distR="0" simplePos="0" locked="0" layoutInCell="1" allowOverlap="1" relativeHeight="38">
                <wp:simplePos x="0" y="0"/>
                <wp:positionH relativeFrom="column">
                  <wp:align>left</wp:align>
                </wp:positionH>
                <wp:positionV relativeFrom="line">
                  <wp:align>top</wp:align>
                </wp:positionV>
                <wp:extent cx="127000" cy="350520"/>
                <wp:effectExtent l="0" t="0" r="0" b="0"/>
                <wp:wrapSquare wrapText="right"/>
                <wp:docPr id="30" name="Frame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obtain regulatory approval of our current products for new indications and/or of our future product candidates; </w:t>
      </w:r>
      <w:r>
        <mc:AlternateContent>
          <mc:Choice Requires="wps">
            <w:drawing>
              <wp:anchor behindDoc="0" distT="74930" distB="0" distL="254000" distR="0" simplePos="0" locked="0" layoutInCell="1" allowOverlap="1" relativeHeight="39">
                <wp:simplePos x="0" y="0"/>
                <wp:positionH relativeFrom="column">
                  <wp:align>left</wp:align>
                </wp:positionH>
                <wp:positionV relativeFrom="line">
                  <wp:align>top</wp:align>
                </wp:positionV>
                <wp:extent cx="127000" cy="350520"/>
                <wp:effectExtent l="0" t="0" r="0" b="0"/>
                <wp:wrapSquare wrapText="right"/>
                <wp:docPr id="31" name="Frame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expectations regarding the potential market size and the rate and degree of market acceptance of etripamil and any future product candidates; </w:t>
      </w:r>
      <w:r>
        <mc:AlternateContent>
          <mc:Choice Requires="wps">
            <w:drawing>
              <wp:anchor behindDoc="0" distT="74930" distB="0" distL="254000" distR="0" simplePos="0" locked="0" layoutInCell="1" allowOverlap="1" relativeHeight="40">
                <wp:simplePos x="0" y="0"/>
                <wp:positionH relativeFrom="column">
                  <wp:align>left</wp:align>
                </wp:positionH>
                <wp:positionV relativeFrom="line">
                  <wp:align>top</wp:align>
                </wp:positionV>
                <wp:extent cx="127000" cy="350520"/>
                <wp:effectExtent l="0" t="0" r="0" b="0"/>
                <wp:wrapSquare wrapText="right"/>
                <wp:docPr id="32" name="Frame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fund our working capital requirements and expectations regarding the sufficiency of our capital resources; </w:t>
      </w:r>
      <w:r>
        <mc:AlternateContent>
          <mc:Choice Requires="wps">
            <w:drawing>
              <wp:anchor behindDoc="0" distT="74930" distB="0" distL="254000" distR="0" simplePos="0" locked="0" layoutInCell="1" allowOverlap="1" relativeHeight="41">
                <wp:simplePos x="0" y="0"/>
                <wp:positionH relativeFrom="column">
                  <wp:align>left</wp:align>
                </wp:positionH>
                <wp:positionV relativeFrom="line">
                  <wp:align>top</wp:align>
                </wp:positionV>
                <wp:extent cx="127000" cy="350520"/>
                <wp:effectExtent l="0" t="0" r="0" b="0"/>
                <wp:wrapSquare wrapText="right"/>
                <wp:docPr id="33" name="Frame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implementation of our business model and strategic plans for our business, etripamil, and any future product candidates; </w:t>
      </w:r>
      <w:r>
        <mc:AlternateContent>
          <mc:Choice Requires="wps">
            <w:drawing>
              <wp:anchor behindDoc="0" distT="74930" distB="0" distL="254000" distR="0" simplePos="0" locked="0" layoutInCell="1" allowOverlap="1" relativeHeight="42">
                <wp:simplePos x="0" y="0"/>
                <wp:positionH relativeFrom="column">
                  <wp:align>left</wp:align>
                </wp:positionH>
                <wp:positionV relativeFrom="line">
                  <wp:align>top</wp:align>
                </wp:positionV>
                <wp:extent cx="127000" cy="350520"/>
                <wp:effectExtent l="0" t="0" r="0" b="0"/>
                <wp:wrapSquare wrapText="right"/>
                <wp:docPr id="34" name="Frame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intellectual property position and the duration of our patent rights; </w:t>
      </w:r>
      <w:r>
        <mc:AlternateContent>
          <mc:Choice Requires="wps">
            <w:drawing>
              <wp:anchor behindDoc="0" distT="74930" distB="0" distL="254000" distR="0" simplePos="0" locked="0" layoutInCell="1" allowOverlap="1" relativeHeight="43">
                <wp:simplePos x="0" y="0"/>
                <wp:positionH relativeFrom="column">
                  <wp:align>left</wp:align>
                </wp:positionH>
                <wp:positionV relativeFrom="line">
                  <wp:align>top</wp:align>
                </wp:positionV>
                <wp:extent cx="127000" cy="350520"/>
                <wp:effectExtent l="0" t="0" r="0" b="0"/>
                <wp:wrapSquare wrapText="right"/>
                <wp:docPr id="35" name="Frame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developments or disputes concerning our intellectual property or other proprietary rights; </w:t>
      </w:r>
      <w:r>
        <mc:AlternateContent>
          <mc:Choice Requires="wps">
            <w:drawing>
              <wp:anchor behindDoc="0" distT="74930" distB="0" distL="254000" distR="0" simplePos="0" locked="0" layoutInCell="1" allowOverlap="1" relativeHeight="44">
                <wp:simplePos x="0" y="0"/>
                <wp:positionH relativeFrom="column">
                  <wp:align>left</wp:align>
                </wp:positionH>
                <wp:positionV relativeFrom="line">
                  <wp:align>top</wp:align>
                </wp:positionV>
                <wp:extent cx="127000" cy="350520"/>
                <wp:effectExtent l="0" t="0" r="0" b="0"/>
                <wp:wrapSquare wrapText="right"/>
                <wp:docPr id="36" name="Frame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expectations regarding government and third-party payor coverage and reimbursement; </w:t>
      </w:r>
      <w:r>
        <mc:AlternateContent>
          <mc:Choice Requires="wps">
            <w:drawing>
              <wp:anchor behindDoc="0" distT="74930" distB="0" distL="254000" distR="0" simplePos="0" locked="0" layoutInCell="1" allowOverlap="1" relativeHeight="45">
                <wp:simplePos x="0" y="0"/>
                <wp:positionH relativeFrom="column">
                  <wp:align>left</wp:align>
                </wp:positionH>
                <wp:positionV relativeFrom="line">
                  <wp:align>top</wp:align>
                </wp:positionV>
                <wp:extent cx="127000" cy="350520"/>
                <wp:effectExtent l="0" t="0" r="0" b="0"/>
                <wp:wrapSquare wrapText="right"/>
                <wp:docPr id="37" name="Frame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compete in the markets we serve; </w:t>
      </w:r>
      <w:r>
        <mc:AlternateContent>
          <mc:Choice Requires="wps">
            <w:drawing>
              <wp:anchor behindDoc="0" distT="74930" distB="0" distL="254000" distR="0" simplePos="0" locked="0" layoutInCell="1" allowOverlap="1" relativeHeight="46">
                <wp:simplePos x="0" y="0"/>
                <wp:positionH relativeFrom="column">
                  <wp:align>left</wp:align>
                </wp:positionH>
                <wp:positionV relativeFrom="line">
                  <wp:align>top</wp:align>
                </wp:positionV>
                <wp:extent cx="127000" cy="350520"/>
                <wp:effectExtent l="0" t="0" r="0" b="0"/>
                <wp:wrapSquare wrapText="right"/>
                <wp:docPr id="38" name="Frame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impact of government laws and regulations; </w:t>
      </w:r>
      <w:r>
        <mc:AlternateContent>
          <mc:Choice Requires="wps">
            <w:drawing>
              <wp:anchor behindDoc="0" distT="74930" distB="0" distL="254000" distR="0" simplePos="0" locked="0" layoutInCell="1" allowOverlap="1" relativeHeight="47">
                <wp:simplePos x="0" y="0"/>
                <wp:positionH relativeFrom="column">
                  <wp:align>left</wp:align>
                </wp:positionH>
                <wp:positionV relativeFrom="line">
                  <wp:align>top</wp:align>
                </wp:positionV>
                <wp:extent cx="127000" cy="350520"/>
                <wp:effectExtent l="0" t="0" r="0" b="0"/>
                <wp:wrapSquare wrapText="right"/>
                <wp:docPr id="39" name="Frame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developments relating to our competitors and our industry; </w:t>
      </w:r>
      <w:r>
        <mc:AlternateContent>
          <mc:Choice Requires="wps">
            <w:drawing>
              <wp:anchor behindDoc="0" distT="74930" distB="0" distL="254000" distR="0" simplePos="0" locked="0" layoutInCell="1" allowOverlap="1" relativeHeight="48">
                <wp:simplePos x="0" y="0"/>
                <wp:positionH relativeFrom="column">
                  <wp:align>left</wp:align>
                </wp:positionH>
                <wp:positionV relativeFrom="line">
                  <wp:align>top</wp:align>
                </wp:positionV>
                <wp:extent cx="127000" cy="350520"/>
                <wp:effectExtent l="0" t="0" r="0" b="0"/>
                <wp:wrapSquare wrapText="right"/>
                <wp:docPr id="40" name="Frame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effects of international trade policies, including tariffs, sanctions, and trade barriers; and </w:t>
      </w:r>
      <w:r>
        <mc:AlternateContent>
          <mc:Choice Requires="wps">
            <w:drawing>
              <wp:anchor behindDoc="0" distT="74930" distB="0" distL="254000" distR="0" simplePos="0" locked="0" layoutInCell="1" allowOverlap="1" relativeHeight="49">
                <wp:simplePos x="0" y="0"/>
                <wp:positionH relativeFrom="column">
                  <wp:align>left</wp:align>
                </wp:positionH>
                <wp:positionV relativeFrom="line">
                  <wp:align>top</wp:align>
                </wp:positionV>
                <wp:extent cx="127000" cy="350520"/>
                <wp:effectExtent l="0" t="0" r="0" b="0"/>
                <wp:wrapSquare wrapText="right"/>
                <wp:docPr id="41" name="Frame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68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factors that may impact our financial results; and other risks and uncertainties, including those listed under the caption “Risk Factors” in our most recent Annual Report on Form 10-K, our most recent Quarterly Report on Form 10-Q and other filings we make with the SEC. </w:t>
      </w:r>
      <w:r>
        <mc:AlternateContent>
          <mc:Choice Requires="wps">
            <w:drawing>
              <wp:anchor behindDoc="0" distT="0" distB="0" distL="254000" distR="0" simplePos="0" locked="0" layoutInCell="1" allowOverlap="1" relativeHeight="50">
                <wp:simplePos x="0" y="0"/>
                <wp:positionH relativeFrom="column">
                  <wp:align>left</wp:align>
                </wp:positionH>
                <wp:positionV relativeFrom="line">
                  <wp:posOffset>635</wp:posOffset>
                </wp:positionV>
                <wp:extent cx="127000" cy="350520"/>
                <wp:effectExtent l="0" t="0" r="0" b="0"/>
                <wp:wrapSquare wrapText="right"/>
                <wp:docPr id="42" name="Frame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foregoing list of risks is not exhaustive. Other sections of this prospectus and the documents incorporated by reference herein may include additional factors that could harm our business and financial performance. Moreover, we operate in a very competitive and rapidly changing environment. New risk factors emerge from time to time, and it is not possible for our management to predict all risk factors nor can we assess the impact of all factors on our business or the extent to which any factor, or combination of factors, may cause actual results to differ materially from those contained in, or implied by, any forward- looking statements.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light of the significant uncertainties in these forward-looking statements, you should not rely upon forward-looking statements as predictions of future events. Although we believe that we have a reasonable basis for each forward-looking statement contained in this prospectus, we cannot guarantee that the future results, levels of activity, performance or events and circumstances reflected in the forward-looking statements will be achieved or occur at all. You should refer to the “Risk Factors” section contained in the applicable prospectus supplement and any related free writing prospectus, and under similar headings in the other documents that are incorporated by reference into this prospectus, for a discussion of important factors that may cause our actual results to differ materially from those expressed or implied by our forward- looking statements.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Furthermore, if our forward-looking statements prove to be inaccurate, the inaccuracy may be material. Except as required by law, we undertake no obligation to publicly update any forward-looking statements, whether as a result of new information, future events or otherwise.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should read this prospectus and the documents that we incorporate by reference in this prospectus and have filed as exhibits to the registration statement, of which this prospectus is a part, completely and with the understanding that our actual future results may be materially different from what we expect. We qualify all of the forward-looking statements in this prospectus by these cautionary statements.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 w:name="tUOP"/>
      <w:bookmarkEnd w:id="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2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USE OF PROCEEDS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will retain broad discretion over the use of the net proceeds from the sale of the securities offered hereby. Except as described in any applicable prospectus supplement or in any free writing prospectuses that we may authorize to be provided to you in connection with a specific offering, we currently intend to use the net proceeds from the sale of the securities offered hereby, if any, for working capital, capital expenditures and general corporate purposes. We may also use a portion of the net proceeds to invest in or acquire businesses or technologies that we believe are complementary to our own, although we have no current plans, commitments or agreements with respect to any acquisitions as of the date of this prospectus. We will set forth in the applicable prospectus supplement or free writing prospectus our intended use for the net proceeds received from the sale of any securities sold pursuant to the prospectus supplement or free writing prospectus. Pending these uses, we plan to invest these net proceeds in short-term, interest-bearing investments, investment-grade instruments, certificates of deposit or direct or guaranteed obligations of the United States.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 w:name="tDOSC"/>
      <w:bookmarkEnd w:id="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SHARE CAPITAL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The following is a description of the material terms of our common shares and preferred shares as set forth in our articles. The following description of our share capital is intended as a summary only and is qualified in its entirety by reference to our articles and all amendments thereto, which are filed as exhibits to the registration statement of which this prospectus is a part, and to the applicable provisions of the QBCA.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share capital consists of an unlimited number of common shares, no par value per share, and an unlimited number of preferred shares, no par value per share.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Common Shares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Outstanding Shares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March 31, 2026, we had 117,794,417 common shares issued and outstanding, which were held by approximately 21 shareholders of record.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Voting Rights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our articles, each holder of common shares is entitled to receive notice of, to attend and to vote at all meetings of our shareholders, except meetings at which only holders of another particular class or series shall have the right to vote. At each such meeting at which a holder of common shares is entitled to vote, each common share shall entitle the holder thereof to one vote.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Dividends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and subordinate to the prior rights of the holders of our preferred shares ranking before the common shares, the holders of common shares are entitled to receive dividends as and when declared by our board of directors.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Liquidation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and subordinate to the prior payment to the holders of our preferred shares ranking before the common shares, in the event of our liquidation, dissolution or winding-up or other distribution of our assets among our shareholders for the purposes of winding-up our affairs, the holders of common shares are entitled to share pro rata in the distribution of our remaining property and assets.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Rights and Preferences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holders of common shares have no preemptive, conversion rights or other subscription rights.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are no redemption or sinking fund provisions applicable to our common shares. There is no provision in our articles requiring the holders of common shares to contribute additional capital or permitting or restricting the issuance of additional securities or any other material restrictions. The rights, preferences and privileges of the holders of common shares will be subject to and may be adversely affected by, the rights of the holders of any series of preferred shares that we may designate in the future or any other class or series of shares that may be created and that would rank senior to the common shares.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Preferred Shares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do not have any preferred shares issued and outstanding. Under our articles, we are authorized to issue, without shareholder approval, an unlimited number of preferred shares, issuable in one or more series, and, subject to the provisions of the QBCA, having such designations, rights, privileges, restrictions and conditions, including voting, dividend, asset distribution and return of capital rights, as our board of directors may determine, and such rights and privileges, including voting, dividend, asset distribution and return of capital rights, may be superior to those of the common shares.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filing with the applicable enterprise registrar of the articles of amendment containing a description of such series of preferred shares and the issuance of the certificate of amendment by the enterprise registrar, preferred shares could be issued relatively quickly with terms designed to delay or prevent a change in control of our company or make removal of management more difficult. Additionally, the issuance of preferred shares may have the effect of decreasing the market price of the common shares and may adversely affect the voting power of holders of common shares and reduce the likelihood that common shareholders will receive dividend payments and payments upon liquidation, dissolution, winding-up or other distribution of assets.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board of directors will fix the designations, voting powers, preferences and rights of each series, as well as the qualifications, limitations or restrictions thereof, of the preferred shares of each series that we offer under this prospectus and applicable prospectus supplements in the articles of amendment relating to that series. Before issuing a series of preferred shares, we will file as an exhibit to the registration statement of which this prospectus is a part, or will incorporate by reference from reports that we file with the SEC, any articles and certificate of amendment that describes the terms of such series of preferred shares. The description of such series of preferred shares in any applicable registration statement, prospectus supplement or report filed with the SEC will include, to the extent applicable: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title and stated value; </w:t>
      </w:r>
      <w:r>
        <mc:AlternateContent>
          <mc:Choice Requires="wps">
            <w:drawing>
              <wp:anchor behindDoc="0" distT="77470" distB="0" distL="254000" distR="0" simplePos="0" locked="0" layoutInCell="1" allowOverlap="1" relativeHeight="51">
                <wp:simplePos x="0" y="0"/>
                <wp:positionH relativeFrom="column">
                  <wp:align>left</wp:align>
                </wp:positionH>
                <wp:positionV relativeFrom="line">
                  <wp:align>top</wp:align>
                </wp:positionV>
                <wp:extent cx="127000" cy="350520"/>
                <wp:effectExtent l="0" t="0" r="0" b="0"/>
                <wp:wrapSquare wrapText="right"/>
                <wp:docPr id="43" name="Frame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number of shares we are offering; </w:t>
      </w:r>
      <w:r>
        <mc:AlternateContent>
          <mc:Choice Requires="wps">
            <w:drawing>
              <wp:anchor behindDoc="0" distT="77470" distB="0" distL="254000" distR="0" simplePos="0" locked="0" layoutInCell="1" allowOverlap="1" relativeHeight="52">
                <wp:simplePos x="0" y="0"/>
                <wp:positionH relativeFrom="column">
                  <wp:align>left</wp:align>
                </wp:positionH>
                <wp:positionV relativeFrom="line">
                  <wp:align>top</wp:align>
                </wp:positionV>
                <wp:extent cx="127000" cy="350520"/>
                <wp:effectExtent l="0" t="0" r="0" b="0"/>
                <wp:wrapSquare wrapText="right"/>
                <wp:docPr id="44" name="Frame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liquidation preference per share; </w:t>
      </w:r>
      <w:r>
        <mc:AlternateContent>
          <mc:Choice Requires="wps">
            <w:drawing>
              <wp:anchor behindDoc="0" distT="77470" distB="0" distL="254000" distR="0" simplePos="0" locked="0" layoutInCell="1" allowOverlap="1" relativeHeight="53">
                <wp:simplePos x="0" y="0"/>
                <wp:positionH relativeFrom="column">
                  <wp:align>left</wp:align>
                </wp:positionH>
                <wp:positionV relativeFrom="line">
                  <wp:align>top</wp:align>
                </wp:positionV>
                <wp:extent cx="127000" cy="350520"/>
                <wp:effectExtent l="0" t="0" r="0" b="0"/>
                <wp:wrapSquare wrapText="right"/>
                <wp:docPr id="45" name="Frame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purchase price per share; </w:t>
      </w:r>
      <w:r>
        <mc:AlternateContent>
          <mc:Choice Requires="wps">
            <w:drawing>
              <wp:anchor behindDoc="0" distT="77470" distB="0" distL="254000" distR="0" simplePos="0" locked="0" layoutInCell="1" allowOverlap="1" relativeHeight="54">
                <wp:simplePos x="0" y="0"/>
                <wp:positionH relativeFrom="column">
                  <wp:align>left</wp:align>
                </wp:positionH>
                <wp:positionV relativeFrom="line">
                  <wp:align>top</wp:align>
                </wp:positionV>
                <wp:extent cx="127000" cy="350520"/>
                <wp:effectExtent l="0" t="0" r="0" b="0"/>
                <wp:wrapSquare wrapText="right"/>
                <wp:docPr id="46" name="Frame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dividend rate per share, dividend period and payment dates and method of calculation for dividends; </w:t>
      </w:r>
      <w:r>
        <mc:AlternateContent>
          <mc:Choice Requires="wps">
            <w:drawing>
              <wp:anchor behindDoc="0" distT="77470" distB="0" distL="254000" distR="0" simplePos="0" locked="0" layoutInCell="1" allowOverlap="1" relativeHeight="55">
                <wp:simplePos x="0" y="0"/>
                <wp:positionH relativeFrom="column">
                  <wp:align>left</wp:align>
                </wp:positionH>
                <wp:positionV relativeFrom="line">
                  <wp:align>top</wp:align>
                </wp:positionV>
                <wp:extent cx="127000" cy="350520"/>
                <wp:effectExtent l="0" t="0" r="0" b="0"/>
                <wp:wrapSquare wrapText="right"/>
                <wp:docPr id="47" name="Frame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dividends will be cumulative or non-cumulative and, if cumulative, the date from which dividends will accumulate; </w:t>
      </w:r>
      <w:r>
        <mc:AlternateContent>
          <mc:Choice Requires="wps">
            <w:drawing>
              <wp:anchor behindDoc="0" distT="77470" distB="0" distL="254000" distR="0" simplePos="0" locked="0" layoutInCell="1" allowOverlap="1" relativeHeight="56">
                <wp:simplePos x="0" y="0"/>
                <wp:positionH relativeFrom="column">
                  <wp:align>left</wp:align>
                </wp:positionH>
                <wp:positionV relativeFrom="line">
                  <wp:align>top</wp:align>
                </wp:positionV>
                <wp:extent cx="127000" cy="350520"/>
                <wp:effectExtent l="0" t="0" r="0" b="0"/>
                <wp:wrapSquare wrapText="right"/>
                <wp:docPr id="48" name="Frame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right, if any, to defer payment of dividends and the maximum length of any such deferral period; </w:t>
      </w:r>
      <w:r>
        <mc:AlternateContent>
          <mc:Choice Requires="wps">
            <w:drawing>
              <wp:anchor behindDoc="0" distT="77470" distB="0" distL="254000" distR="0" simplePos="0" locked="0" layoutInCell="1" allowOverlap="1" relativeHeight="57">
                <wp:simplePos x="0" y="0"/>
                <wp:positionH relativeFrom="column">
                  <wp:align>left</wp:align>
                </wp:positionH>
                <wp:positionV relativeFrom="line">
                  <wp:align>top</wp:align>
                </wp:positionV>
                <wp:extent cx="127000" cy="350520"/>
                <wp:effectExtent l="0" t="0" r="0" b="0"/>
                <wp:wrapSquare wrapText="right"/>
                <wp:docPr id="49" name="Frame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procedures for any auction and remarketing, if any; </w:t>
      </w:r>
      <w:r>
        <mc:AlternateContent>
          <mc:Choice Requires="wps">
            <w:drawing>
              <wp:anchor behindDoc="0" distT="77470" distB="0" distL="254000" distR="0" simplePos="0" locked="0" layoutInCell="1" allowOverlap="1" relativeHeight="58">
                <wp:simplePos x="0" y="0"/>
                <wp:positionH relativeFrom="column">
                  <wp:align>left</wp:align>
                </wp:positionH>
                <wp:positionV relativeFrom="line">
                  <wp:align>top</wp:align>
                </wp:positionV>
                <wp:extent cx="127000" cy="350520"/>
                <wp:effectExtent l="0" t="0" r="0" b="0"/>
                <wp:wrapSquare wrapText="right"/>
                <wp:docPr id="50" name="Frame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provisions for a sinking fund, if any; </w:t>
      </w:r>
      <w:r>
        <mc:AlternateContent>
          <mc:Choice Requires="wps">
            <w:drawing>
              <wp:anchor behindDoc="0" distT="77470" distB="0" distL="254000" distR="0" simplePos="0" locked="0" layoutInCell="1" allowOverlap="1" relativeHeight="59">
                <wp:simplePos x="0" y="0"/>
                <wp:positionH relativeFrom="column">
                  <wp:align>left</wp:align>
                </wp:positionH>
                <wp:positionV relativeFrom="line">
                  <wp:align>top</wp:align>
                </wp:positionV>
                <wp:extent cx="127000" cy="350520"/>
                <wp:effectExtent l="0" t="0" r="0" b="0"/>
                <wp:wrapSquare wrapText="right"/>
                <wp:docPr id="51" name="Frame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provisions for redemption or repurchase, if applicable, and any restrictions on our ability to exercise those redemption and repurchase rights; </w:t>
      </w:r>
      <w:r>
        <mc:AlternateContent>
          <mc:Choice Requires="wps">
            <w:drawing>
              <wp:anchor behindDoc="0" distT="77470" distB="0" distL="254000" distR="0" simplePos="0" locked="0" layoutInCell="1" allowOverlap="1" relativeHeight="60">
                <wp:simplePos x="0" y="0"/>
                <wp:positionH relativeFrom="column">
                  <wp:align>left</wp:align>
                </wp:positionH>
                <wp:positionV relativeFrom="line">
                  <wp:align>top</wp:align>
                </wp:positionV>
                <wp:extent cx="127000" cy="350520"/>
                <wp:effectExtent l="0" t="0" r="0" b="0"/>
                <wp:wrapSquare wrapText="right"/>
                <wp:docPr id="52" name="Frame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listing of the preferred shares on any securities exchange or market; </w:t>
      </w:r>
      <w:r>
        <mc:AlternateContent>
          <mc:Choice Requires="wps">
            <w:drawing>
              <wp:anchor behindDoc="0" distT="77470" distB="0" distL="254000" distR="0" simplePos="0" locked="0" layoutInCell="1" allowOverlap="1" relativeHeight="61">
                <wp:simplePos x="0" y="0"/>
                <wp:positionH relativeFrom="column">
                  <wp:align>left</wp:align>
                </wp:positionH>
                <wp:positionV relativeFrom="line">
                  <wp:align>top</wp:align>
                </wp:positionV>
                <wp:extent cx="127000" cy="350520"/>
                <wp:effectExtent l="0" t="0" r="0" b="0"/>
                <wp:wrapSquare wrapText="right"/>
                <wp:docPr id="53" name="Frame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the preferred shares will be convertible into our common shares or other securities of ours, including depositary shares and warrants, and, if applicable, the conversion period, the conversion price, or how it will be calculated, and under what circumstances it may be adjusted; </w:t>
      </w:r>
      <w:r>
        <mc:AlternateContent>
          <mc:Choice Requires="wps">
            <w:drawing>
              <wp:anchor behindDoc="0" distT="76200" distB="0" distL="254000" distR="0" simplePos="0" locked="0" layoutInCell="1" allowOverlap="1" relativeHeight="62">
                <wp:simplePos x="0" y="0"/>
                <wp:positionH relativeFrom="column">
                  <wp:align>left</wp:align>
                </wp:positionH>
                <wp:positionV relativeFrom="line">
                  <wp:align>top</wp:align>
                </wp:positionV>
                <wp:extent cx="127000" cy="350520"/>
                <wp:effectExtent l="0" t="0" r="0" b="0"/>
                <wp:wrapSquare wrapText="right"/>
                <wp:docPr id="54" name="Frame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the preferred shares will be exchangeable into debt securities, and, if applicable, the exchange period, the exchange price, or how it will be calculated, and under what circumstances it may be adjusted; </w:t>
      </w:r>
      <w:r>
        <mc:AlternateContent>
          <mc:Choice Requires="wps">
            <w:drawing>
              <wp:anchor behindDoc="0" distT="76200" distB="0" distL="254000" distR="0" simplePos="0" locked="0" layoutInCell="1" allowOverlap="1" relativeHeight="63">
                <wp:simplePos x="0" y="0"/>
                <wp:positionH relativeFrom="column">
                  <wp:align>left</wp:align>
                </wp:positionH>
                <wp:positionV relativeFrom="line">
                  <wp:align>top</wp:align>
                </wp:positionV>
                <wp:extent cx="127000" cy="350520"/>
                <wp:effectExtent l="0" t="0" r="0" b="0"/>
                <wp:wrapSquare wrapText="right"/>
                <wp:docPr id="55" name="Frame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voting rights, if any, of the preferred shares; </w:t>
      </w:r>
      <w:r>
        <mc:AlternateContent>
          <mc:Choice Requires="wps">
            <w:drawing>
              <wp:anchor behindDoc="0" distT="76200" distB="0" distL="254000" distR="0" simplePos="0" locked="0" layoutInCell="1" allowOverlap="1" relativeHeight="64">
                <wp:simplePos x="0" y="0"/>
                <wp:positionH relativeFrom="column">
                  <wp:align>left</wp:align>
                </wp:positionH>
                <wp:positionV relativeFrom="line">
                  <wp:align>top</wp:align>
                </wp:positionV>
                <wp:extent cx="127000" cy="350520"/>
                <wp:effectExtent l="0" t="0" r="0" b="0"/>
                <wp:wrapSquare wrapText="right"/>
                <wp:docPr id="56" name="Frame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preemption rights, if any; </w:t>
      </w:r>
      <w:r>
        <mc:AlternateContent>
          <mc:Choice Requires="wps">
            <w:drawing>
              <wp:anchor behindDoc="0" distT="76200" distB="0" distL="254000" distR="0" simplePos="0" locked="0" layoutInCell="1" allowOverlap="1" relativeHeight="65">
                <wp:simplePos x="0" y="0"/>
                <wp:positionH relativeFrom="column">
                  <wp:align>left</wp:align>
                </wp:positionH>
                <wp:positionV relativeFrom="line">
                  <wp:align>top</wp:align>
                </wp:positionV>
                <wp:extent cx="127000" cy="350520"/>
                <wp:effectExtent l="0" t="0" r="0" b="0"/>
                <wp:wrapSquare wrapText="right"/>
                <wp:docPr id="57" name="Frame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restrictions on transfer, sale or other assignment, if any; </w:t>
      </w:r>
      <w:r>
        <mc:AlternateContent>
          <mc:Choice Requires="wps">
            <w:drawing>
              <wp:anchor behindDoc="0" distT="76200" distB="0" distL="254000" distR="0" simplePos="0" locked="0" layoutInCell="1" allowOverlap="1" relativeHeight="66">
                <wp:simplePos x="0" y="0"/>
                <wp:positionH relativeFrom="column">
                  <wp:align>left</wp:align>
                </wp:positionH>
                <wp:positionV relativeFrom="line">
                  <wp:align>top</wp:align>
                </wp:positionV>
                <wp:extent cx="127000" cy="350520"/>
                <wp:effectExtent l="0" t="0" r="0" b="0"/>
                <wp:wrapSquare wrapText="right"/>
                <wp:docPr id="58" name="Frame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interests in the preferred shares will be represented by depositary shares; </w:t>
      </w:r>
      <w:r>
        <mc:AlternateContent>
          <mc:Choice Requires="wps">
            <w:drawing>
              <wp:anchor behindDoc="0" distT="76200" distB="0" distL="254000" distR="0" simplePos="0" locked="0" layoutInCell="1" allowOverlap="1" relativeHeight="67">
                <wp:simplePos x="0" y="0"/>
                <wp:positionH relativeFrom="column">
                  <wp:align>left</wp:align>
                </wp:positionH>
                <wp:positionV relativeFrom="line">
                  <wp:align>top</wp:align>
                </wp:positionV>
                <wp:extent cx="127000" cy="350520"/>
                <wp:effectExtent l="0" t="0" r="0" b="0"/>
                <wp:wrapSquare wrapText="right"/>
                <wp:docPr id="59" name="Frame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discussion of any material or special U.S. and Canadian federal income tax considerations applicable to the preferred shares; </w:t>
      </w:r>
      <w:r>
        <mc:AlternateContent>
          <mc:Choice Requires="wps">
            <w:drawing>
              <wp:anchor behindDoc="0" distT="76200" distB="0" distL="254000" distR="0" simplePos="0" locked="0" layoutInCell="1" allowOverlap="1" relativeHeight="68">
                <wp:simplePos x="0" y="0"/>
                <wp:positionH relativeFrom="column">
                  <wp:align>left</wp:align>
                </wp:positionH>
                <wp:positionV relativeFrom="line">
                  <wp:align>top</wp:align>
                </wp:positionV>
                <wp:extent cx="127000" cy="350520"/>
                <wp:effectExtent l="0" t="0" r="0" b="0"/>
                <wp:wrapSquare wrapText="right"/>
                <wp:docPr id="60" name="Frame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relative ranking and preferences of the preferred shares as to dividend rights and rights if we liquidate, dissolve or wind up our affairs; </w:t>
      </w:r>
      <w:r>
        <mc:AlternateContent>
          <mc:Choice Requires="wps">
            <w:drawing>
              <wp:anchor behindDoc="0" distT="76200" distB="0" distL="254000" distR="0" simplePos="0" locked="0" layoutInCell="1" allowOverlap="1" relativeHeight="69">
                <wp:simplePos x="0" y="0"/>
                <wp:positionH relativeFrom="column">
                  <wp:align>left</wp:align>
                </wp:positionH>
                <wp:positionV relativeFrom="line">
                  <wp:align>top</wp:align>
                </wp:positionV>
                <wp:extent cx="127000" cy="350520"/>
                <wp:effectExtent l="0" t="0" r="0" b="0"/>
                <wp:wrapSquare wrapText="right"/>
                <wp:docPr id="61" name="Frame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0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limitations on issuances of any class or series of preferred shares ranking senior to or on a parity with the series of preferred shares being issued as to dividend rights and rights if we liquidate, dissolve or wind up our affairs; and </w:t>
      </w:r>
      <w:r>
        <mc:AlternateContent>
          <mc:Choice Requires="wps">
            <w:drawing>
              <wp:anchor behindDoc="0" distT="0" distB="0" distL="254000" distR="0" simplePos="0" locked="0" layoutInCell="1" allowOverlap="1" relativeHeight="70">
                <wp:simplePos x="0" y="0"/>
                <wp:positionH relativeFrom="column">
                  <wp:align>left</wp:align>
                </wp:positionH>
                <wp:positionV relativeFrom="line">
                  <wp:posOffset>635</wp:posOffset>
                </wp:positionV>
                <wp:extent cx="127000" cy="350520"/>
                <wp:effectExtent l="0" t="0" r="0" b="0"/>
                <wp:wrapSquare wrapText="right"/>
                <wp:docPr id="62" name="Frame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specific terms, rights, preferences, privileges, qualifications or restrictions of the preferred shares. </w:t>
      </w:r>
      <w:r>
        <mc:AlternateContent>
          <mc:Choice Requires="wps">
            <w:drawing>
              <wp:anchor behindDoc="0" distT="76200" distB="0" distL="254000" distR="0" simplePos="0" locked="0" layoutInCell="1" allowOverlap="1" relativeHeight="71">
                <wp:simplePos x="0" y="0"/>
                <wp:positionH relativeFrom="column">
                  <wp:align>left</wp:align>
                </wp:positionH>
                <wp:positionV relativeFrom="line">
                  <wp:align>top</wp:align>
                </wp:positionV>
                <wp:extent cx="127000" cy="350520"/>
                <wp:effectExtent l="0" t="0" r="0" b="0"/>
                <wp:wrapSquare wrapText="right"/>
                <wp:docPr id="63" name="Frame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Section 191 of the QBCA provides for a general rule that a special resolution that favours certain shareholders of a class or series of shares or changes prejudicially the rights attaching to all the shares of a class or series of shares must be approved by the shareholders of that class or series. The same applies to a special resolution authorizing the articles to be amended in order to allow the board of directors to change prejudicially the rights attaching to all the shares of a class or series of shares without shareholder authorization. Such approval is given by a special resolution adopted separately by the holders of each class or series of shares concerned, whether or not the shares otherwise carry voting rights. Such approval is not required if (i) the special resolution changes prejudicially in the same manner the rights attaching to all the shares issued by the corporation or (ii) under the amendment to the articles authorized by the special resolution, it is only possible to change prejudicially the rights attaching to all the shares issued by the corporation. This general rule in Section 191 of the QBCA may give rise to separate class or series votes in addition to any other vote or approval requirement set out in the QBCA or the articles. Therefore, to the extent provided for in the QBCA, the holders of preferred shares or series of preferred shares, as holders of distinct class or series of shares, would in certain circumstances have the right to vote separately as a class or as a series, as the case may be.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Options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March 31, 2026, 13,146,497 common shares were issuable upon the exercise of outstanding options, at a weighted-average exercise price of $3.60 per common share.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Transfer Agent and Registrar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transfer agent and registrar for our common shares is Computershare Investor Services Inc., with an address of 650 de Maisonneuve Blvd W., 7th Floor, Montréal, Quebec, H3A 3T2.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Nasdaq Global Select Market Listing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common shares are listed on The Nasdaq Global Select Market under the trading symbol “MIST”.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Advance Notice Procedures and Shareholder Proposals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QBCA, shareholders may make shareholder proposals for matters, including the nomination of a director, to be considered at the annual meeting of shareholders. Such proposals must be sent to us in advance of any proposed meeting by delivering a timely written notice in proper form to our registered office in accordance with the requirements of the QBCA. The notice must include information on the business the shareholder intends to bring before the meeting.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the QBCA and our bylaws require that shareholders provide us with advance notice of their intention to nominate any persons for election to our board of directors at a meeting of shareholders.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provisions in the QBCA and our bylaws could have the effect of delaying the nomination of certain persons for director that are favored by the holders of a majority of our outstanding voting securities.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 w:name="tDODS"/>
      <w:bookmarkEnd w:id="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DEBT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issue debt securities from time to time, in one or more series, as either senior or subordinated debt or as senior or subordinated convertible debt. While the terms we have summarized below will apply generally to any debt securities that we may offer under this prospectus, we will describe the particular terms of any debt securities that we may offer in more detail in the applicable prospectus supplement. The terms of any debt securities offered under a prospectus supplement may differ from the terms described below. Unless the context requires otherwise, whenever we refer to the indenture, we also are referring to any supplemental indentures that specify the terms of a particular series of debt securities.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issue the debt securities under the indenture that we will enter into with the trustee named in the indenture. The indenture will be qualified under the Trust Indenture Act of 1939, as amended, or the Trust Indenture Act. We have filed the form of indenture as an exhibit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summary of material provisions of the debt securities and the indenture is subject to, and qualified in its entirety by reference to, all of the provisions of the indenture applicable to a particular series of debt securities. We urge you to read the applicable prospectus supplements and any related free writing prospectuses related to the debt securities that we may offer under this prospectus, as well as the complete indenture that contains the terms of the debt securities.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does not limit the amount of debt securities that we may issue. It provides that we may issue debt securities up to the principal amount that we may authorize and may be in any currency or currency unit that we may designate. Except for the limitations on consolidation, merger and sale of all or substantially all of our assets contained in the indenture, the terms of the indenture do not contain any covenants or other provisions designed to give holders of any debt securities protection against changes in our operations, financial condition or transactions involving us.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issue the debt securities issued under the indenture as “discount securities,” which means they may be sold at a discount below their stated principal amount. These debt securities, as well as other debt securities that are not issued at a discount, may be issued with “original issue discount,” or OID, for U.S. federal income tax purposes because of interest payment and other characteristics or terms of the debt securities. Material U.S. federal income tax considerations applicable to debt securities issued with OID will be described in more detail in any applicable prospectus supplement.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describe in the applicable prospectus supplement the terms of the series of debt securities being offered, including: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title of the series of debt securities; </w:t>
      </w:r>
      <w:r>
        <mc:AlternateContent>
          <mc:Choice Requires="wps">
            <w:drawing>
              <wp:anchor behindDoc="0" distT="74930" distB="0" distL="254000" distR="0" simplePos="0" locked="0" layoutInCell="1" allowOverlap="1" relativeHeight="72">
                <wp:simplePos x="0" y="0"/>
                <wp:positionH relativeFrom="column">
                  <wp:align>left</wp:align>
                </wp:positionH>
                <wp:positionV relativeFrom="line">
                  <wp:align>top</wp:align>
                </wp:positionV>
                <wp:extent cx="127000" cy="350520"/>
                <wp:effectExtent l="0" t="0" r="0" b="0"/>
                <wp:wrapSquare wrapText="right"/>
                <wp:docPr id="64" name="Frame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limit upon the aggregate principal amount that may be issued; </w:t>
      </w:r>
      <w:r>
        <mc:AlternateContent>
          <mc:Choice Requires="wps">
            <w:drawing>
              <wp:anchor behindDoc="0" distT="74930" distB="0" distL="254000" distR="0" simplePos="0" locked="0" layoutInCell="1" allowOverlap="1" relativeHeight="73">
                <wp:simplePos x="0" y="0"/>
                <wp:positionH relativeFrom="column">
                  <wp:align>left</wp:align>
                </wp:positionH>
                <wp:positionV relativeFrom="line">
                  <wp:align>top</wp:align>
                </wp:positionV>
                <wp:extent cx="127000" cy="350520"/>
                <wp:effectExtent l="0" t="0" r="0" b="0"/>
                <wp:wrapSquare wrapText="right"/>
                <wp:docPr id="65" name="Frame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maturity date or dates; </w:t>
      </w:r>
      <w:r>
        <mc:AlternateContent>
          <mc:Choice Requires="wps">
            <w:drawing>
              <wp:anchor behindDoc="0" distT="74930" distB="0" distL="254000" distR="0" simplePos="0" locked="0" layoutInCell="1" allowOverlap="1" relativeHeight="74">
                <wp:simplePos x="0" y="0"/>
                <wp:positionH relativeFrom="column">
                  <wp:align>left</wp:align>
                </wp:positionH>
                <wp:positionV relativeFrom="line">
                  <wp:align>top</wp:align>
                </wp:positionV>
                <wp:extent cx="127000" cy="350520"/>
                <wp:effectExtent l="0" t="0" r="0" b="0"/>
                <wp:wrapSquare wrapText="right"/>
                <wp:docPr id="66" name="Frame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form of the debt securities of the series; </w:t>
      </w:r>
      <w:r>
        <mc:AlternateContent>
          <mc:Choice Requires="wps">
            <w:drawing>
              <wp:anchor behindDoc="0" distT="74930" distB="0" distL="254000" distR="0" simplePos="0" locked="0" layoutInCell="1" allowOverlap="1" relativeHeight="75">
                <wp:simplePos x="0" y="0"/>
                <wp:positionH relativeFrom="column">
                  <wp:align>left</wp:align>
                </wp:positionH>
                <wp:positionV relativeFrom="line">
                  <wp:align>top</wp:align>
                </wp:positionV>
                <wp:extent cx="127000" cy="350520"/>
                <wp:effectExtent l="0" t="0" r="0" b="0"/>
                <wp:wrapSquare wrapText="right"/>
                <wp:docPr id="67" name="Frame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applicability of any guarantees; </w:t>
      </w:r>
      <w:r>
        <mc:AlternateContent>
          <mc:Choice Requires="wps">
            <w:drawing>
              <wp:anchor behindDoc="0" distT="74930" distB="0" distL="254000" distR="0" simplePos="0" locked="0" layoutInCell="1" allowOverlap="1" relativeHeight="76">
                <wp:simplePos x="0" y="0"/>
                <wp:positionH relativeFrom="column">
                  <wp:align>left</wp:align>
                </wp:positionH>
                <wp:positionV relativeFrom="line">
                  <wp:align>top</wp:align>
                </wp:positionV>
                <wp:extent cx="127000" cy="350520"/>
                <wp:effectExtent l="0" t="0" r="0" b="0"/>
                <wp:wrapSquare wrapText="right"/>
                <wp:docPr id="68" name="Frame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or not the debt securities will be secured or unsecured, and the terms of any secured debt; </w:t>
      </w:r>
      <w:r>
        <mc:AlternateContent>
          <mc:Choice Requires="wps">
            <w:drawing>
              <wp:anchor behindDoc="0" distT="74930" distB="0" distL="254000" distR="0" simplePos="0" locked="0" layoutInCell="1" allowOverlap="1" relativeHeight="77">
                <wp:simplePos x="0" y="0"/>
                <wp:positionH relativeFrom="column">
                  <wp:align>left</wp:align>
                </wp:positionH>
                <wp:positionV relativeFrom="line">
                  <wp:align>top</wp:align>
                </wp:positionV>
                <wp:extent cx="127000" cy="350520"/>
                <wp:effectExtent l="0" t="0" r="0" b="0"/>
                <wp:wrapSquare wrapText="right"/>
                <wp:docPr id="69" name="Frame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the debt securities rank as senior debt, senior subordinated debt, subordinated debt or any combination thereof, and the terms of any subordination; </w:t>
      </w:r>
      <w:r>
        <mc:AlternateContent>
          <mc:Choice Requires="wps">
            <w:drawing>
              <wp:anchor behindDoc="0" distT="74930" distB="0" distL="254000" distR="0" simplePos="0" locked="0" layoutInCell="1" allowOverlap="1" relativeHeight="78">
                <wp:simplePos x="0" y="0"/>
                <wp:positionH relativeFrom="column">
                  <wp:align>left</wp:align>
                </wp:positionH>
                <wp:positionV relativeFrom="line">
                  <wp:align>top</wp:align>
                </wp:positionV>
                <wp:extent cx="127000" cy="350520"/>
                <wp:effectExtent l="0" t="0" r="0" b="0"/>
                <wp:wrapSquare wrapText="right"/>
                <wp:docPr id="70" name="Frame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price (expressed as a percentage of the aggregate principal amount thereof) at which such debt securities will be issued is a price other than the principal amount thereof, the portion of the principal amount thereof payable upon declaration of acceleration of the maturity thereof, or if applicable, the portion of the principal amount of such debt securities that is convertible into another security or the method by which any such portion shall be determined; </w:t>
      </w:r>
      <w:r>
        <mc:AlternateContent>
          <mc:Choice Requires="wps">
            <w:drawing>
              <wp:anchor behindDoc="0" distT="74930" distB="0" distL="254000" distR="0" simplePos="0" locked="0" layoutInCell="1" allowOverlap="1" relativeHeight="79">
                <wp:simplePos x="0" y="0"/>
                <wp:positionH relativeFrom="column">
                  <wp:align>left</wp:align>
                </wp:positionH>
                <wp:positionV relativeFrom="line">
                  <wp:align>top</wp:align>
                </wp:positionV>
                <wp:extent cx="127000" cy="350520"/>
                <wp:effectExtent l="0" t="0" r="0" b="0"/>
                <wp:wrapSquare wrapText="right"/>
                <wp:docPr id="71" name="Frame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interest rate or rates, which may be fixed or variable, or the method for determining the rate and the date interest will begin to accrue, the dates interest will be payable and the regular record dates for interest payment dates or the method for determining such dates; </w:t>
      </w:r>
      <w:r>
        <mc:AlternateContent>
          <mc:Choice Requires="wps">
            <w:drawing>
              <wp:anchor behindDoc="0" distT="0" distB="0" distL="254000" distR="0" simplePos="0" locked="0" layoutInCell="1" allowOverlap="1" relativeHeight="80">
                <wp:simplePos x="0" y="0"/>
                <wp:positionH relativeFrom="column">
                  <wp:align>left</wp:align>
                </wp:positionH>
                <wp:positionV relativeFrom="line">
                  <wp:posOffset>635</wp:posOffset>
                </wp:positionV>
                <wp:extent cx="127000" cy="350520"/>
                <wp:effectExtent l="0" t="0" r="0" b="0"/>
                <wp:wrapSquare wrapText="right"/>
                <wp:docPr id="72" name="Frame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right, if any, to defer payment of interest and the maximum length of any such deferral period; </w:t>
      </w:r>
      <w:r>
        <mc:AlternateContent>
          <mc:Choice Requires="wps">
            <w:drawing>
              <wp:anchor behindDoc="0" distT="80010" distB="0" distL="254000" distR="0" simplePos="0" locked="0" layoutInCell="1" allowOverlap="1" relativeHeight="81">
                <wp:simplePos x="0" y="0"/>
                <wp:positionH relativeFrom="column">
                  <wp:align>left</wp:align>
                </wp:positionH>
                <wp:positionV relativeFrom="line">
                  <wp:align>top</wp:align>
                </wp:positionV>
                <wp:extent cx="127000" cy="350520"/>
                <wp:effectExtent l="0" t="0" r="0" b="0"/>
                <wp:wrapSquare wrapText="right"/>
                <wp:docPr id="73" name="Frame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applicable, the date or dates after which, or the period or periods during which, and the price or prices at which, we may, at our option, redeem the series of debt securities pursuant to any optional or provisional redemption provisions and the terms of those redemption provisions; </w:t>
      </w:r>
      <w:r>
        <mc:AlternateContent>
          <mc:Choice Requires="wps">
            <w:drawing>
              <wp:anchor behindDoc="0" distT="80010" distB="0" distL="254000" distR="0" simplePos="0" locked="0" layoutInCell="1" allowOverlap="1" relativeHeight="82">
                <wp:simplePos x="0" y="0"/>
                <wp:positionH relativeFrom="column">
                  <wp:align>left</wp:align>
                </wp:positionH>
                <wp:positionV relativeFrom="line">
                  <wp:align>top</wp:align>
                </wp:positionV>
                <wp:extent cx="127000" cy="350520"/>
                <wp:effectExtent l="0" t="0" r="0" b="0"/>
                <wp:wrapSquare wrapText="right"/>
                <wp:docPr id="74" name="Frame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date or dates, if any, on which, and the price or prices at which we are obligated, pursuant to any mandatory sinking fund or analogous fund provisions or otherwise, to redeem, or at the holder’s option to purchase, the series of debt securities and the currency or currency unit in which the debt securities are payable; </w:t>
      </w:r>
      <w:r>
        <mc:AlternateContent>
          <mc:Choice Requires="wps">
            <w:drawing>
              <wp:anchor behindDoc="0" distT="80010" distB="0" distL="254000" distR="0" simplePos="0" locked="0" layoutInCell="1" allowOverlap="1" relativeHeight="83">
                <wp:simplePos x="0" y="0"/>
                <wp:positionH relativeFrom="column">
                  <wp:align>left</wp:align>
                </wp:positionH>
                <wp:positionV relativeFrom="line">
                  <wp:align>top</wp:align>
                </wp:positionV>
                <wp:extent cx="127000" cy="350520"/>
                <wp:effectExtent l="0" t="0" r="0" b="0"/>
                <wp:wrapSquare wrapText="right"/>
                <wp:docPr id="75" name="Frame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denominations in which we will issue the series of debt securities, if other than denominations of $1,000 and any integral multiple thereof; </w:t>
      </w:r>
      <w:r>
        <mc:AlternateContent>
          <mc:Choice Requires="wps">
            <w:drawing>
              <wp:anchor behindDoc="0" distT="80010" distB="0" distL="254000" distR="0" simplePos="0" locked="0" layoutInCell="1" allowOverlap="1" relativeHeight="84">
                <wp:simplePos x="0" y="0"/>
                <wp:positionH relativeFrom="column">
                  <wp:align>left</wp:align>
                </wp:positionH>
                <wp:positionV relativeFrom="line">
                  <wp:align>top</wp:align>
                </wp:positionV>
                <wp:extent cx="127000" cy="350520"/>
                <wp:effectExtent l="0" t="0" r="0" b="0"/>
                <wp:wrapSquare wrapText="right"/>
                <wp:docPr id="76" name="Frame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and all terms, if applicable, relating to any auction or remarketing of the debt securities of that series and any security for our obligations with respect to such debt securities and any other terms which may be advisable in connection with the marketing of debt securities of that series; </w:t>
      </w:r>
      <w:r>
        <mc:AlternateContent>
          <mc:Choice Requires="wps">
            <w:drawing>
              <wp:anchor behindDoc="0" distT="80010" distB="0" distL="254000" distR="0" simplePos="0" locked="0" layoutInCell="1" allowOverlap="1" relativeHeight="85">
                <wp:simplePos x="0" y="0"/>
                <wp:positionH relativeFrom="column">
                  <wp:align>left</wp:align>
                </wp:positionH>
                <wp:positionV relativeFrom="line">
                  <wp:align>top</wp:align>
                </wp:positionV>
                <wp:extent cx="127000" cy="350520"/>
                <wp:effectExtent l="0" t="0" r="0" b="0"/>
                <wp:wrapSquare wrapText="right"/>
                <wp:docPr id="77" name="Frame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the debt securities of the series shall be issued in whole or in part in the form of a global security or securities; the terms and conditions, if any, upon which such global security or securities may be exchanged in whole or in part for other individual securities; and the depositary for such global security or securities; </w:t>
      </w:r>
      <w:r>
        <mc:AlternateContent>
          <mc:Choice Requires="wps">
            <w:drawing>
              <wp:anchor behindDoc="0" distT="80010" distB="0" distL="254000" distR="0" simplePos="0" locked="0" layoutInCell="1" allowOverlap="1" relativeHeight="86">
                <wp:simplePos x="0" y="0"/>
                <wp:positionH relativeFrom="column">
                  <wp:align>left</wp:align>
                </wp:positionH>
                <wp:positionV relativeFrom="line">
                  <wp:align>top</wp:align>
                </wp:positionV>
                <wp:extent cx="127000" cy="350520"/>
                <wp:effectExtent l="0" t="0" r="0" b="0"/>
                <wp:wrapSquare wrapText="right"/>
                <wp:docPr id="78" name="Frame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applicable, the provisions relating to conversion or exchange of any debt securities of the series and the terms and conditions upon which such debt securities will be so convertible or exchangeable, including the conversion or exchange price, as applicable, or how it will be calculated and may be adjusted, any mandatory or optional (at our option or the holders’ option) conversion or exchange features, the applicable conversion or exchange period and the manner of settlement for any conversion or exchange; </w:t>
      </w:r>
      <w:r>
        <mc:AlternateContent>
          <mc:Choice Requires="wps">
            <w:drawing>
              <wp:anchor behindDoc="0" distT="78740" distB="0" distL="254000" distR="0" simplePos="0" locked="0" layoutInCell="1" allowOverlap="1" relativeHeight="87">
                <wp:simplePos x="0" y="0"/>
                <wp:positionH relativeFrom="column">
                  <wp:align>left</wp:align>
                </wp:positionH>
                <wp:positionV relativeFrom="line">
                  <wp:align>top</wp:align>
                </wp:positionV>
                <wp:extent cx="127000" cy="350520"/>
                <wp:effectExtent l="0" t="0" r="0" b="0"/>
                <wp:wrapSquare wrapText="right"/>
                <wp:docPr id="79" name="Frame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other than the full principal amount thereof, the portion of the principal amount of debt securities of the series which shall be payable upon declaration of acceleration of the maturity thereof; </w:t>
      </w:r>
      <w:r>
        <mc:AlternateContent>
          <mc:Choice Requires="wps">
            <w:drawing>
              <wp:anchor behindDoc="0" distT="78740" distB="0" distL="254000" distR="0" simplePos="0" locked="0" layoutInCell="1" allowOverlap="1" relativeHeight="88">
                <wp:simplePos x="0" y="0"/>
                <wp:positionH relativeFrom="column">
                  <wp:align>left</wp:align>
                </wp:positionH>
                <wp:positionV relativeFrom="line">
                  <wp:align>top</wp:align>
                </wp:positionV>
                <wp:extent cx="127000" cy="350520"/>
                <wp:effectExtent l="0" t="0" r="0" b="0"/>
                <wp:wrapSquare wrapText="right"/>
                <wp:docPr id="80" name="Frame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additions to or changes in the covenants applicable to the particular debt securities being issued, including, among others, the consolidation, merger or sale covenant; </w:t>
      </w:r>
      <w:r>
        <mc:AlternateContent>
          <mc:Choice Requires="wps">
            <w:drawing>
              <wp:anchor behindDoc="0" distT="78740" distB="0" distL="254000" distR="0" simplePos="0" locked="0" layoutInCell="1" allowOverlap="1" relativeHeight="89">
                <wp:simplePos x="0" y="0"/>
                <wp:positionH relativeFrom="column">
                  <wp:align>left</wp:align>
                </wp:positionH>
                <wp:positionV relativeFrom="line">
                  <wp:align>top</wp:align>
                </wp:positionV>
                <wp:extent cx="127000" cy="350520"/>
                <wp:effectExtent l="0" t="0" r="0" b="0"/>
                <wp:wrapSquare wrapText="right"/>
                <wp:docPr id="81" name="Frame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additions to or changes in the events of default with respect to the securities and any change in the right of the trustee or the holders to declare the principal, premium, if any, and interest, if any, with respect to such securities to be due and payable; </w:t>
      </w:r>
      <w:r>
        <mc:AlternateContent>
          <mc:Choice Requires="wps">
            <w:drawing>
              <wp:anchor behindDoc="0" distT="78740" distB="0" distL="254000" distR="0" simplePos="0" locked="0" layoutInCell="1" allowOverlap="1" relativeHeight="90">
                <wp:simplePos x="0" y="0"/>
                <wp:positionH relativeFrom="column">
                  <wp:align>left</wp:align>
                </wp:positionH>
                <wp:positionV relativeFrom="line">
                  <wp:align>top</wp:align>
                </wp:positionV>
                <wp:extent cx="127000" cy="350520"/>
                <wp:effectExtent l="0" t="0" r="0" b="0"/>
                <wp:wrapSquare wrapText="right"/>
                <wp:docPr id="82" name="Frame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additions to or changes in or deletions of the provisions relating to covenant defeasance and legal defeasance; </w:t>
      </w:r>
      <w:r>
        <mc:AlternateContent>
          <mc:Choice Requires="wps">
            <w:drawing>
              <wp:anchor behindDoc="0" distT="78740" distB="0" distL="254000" distR="0" simplePos="0" locked="0" layoutInCell="1" allowOverlap="1" relativeHeight="91">
                <wp:simplePos x="0" y="0"/>
                <wp:positionH relativeFrom="column">
                  <wp:align>left</wp:align>
                </wp:positionH>
                <wp:positionV relativeFrom="line">
                  <wp:align>top</wp:align>
                </wp:positionV>
                <wp:extent cx="127000" cy="350520"/>
                <wp:effectExtent l="0" t="0" r="0" b="0"/>
                <wp:wrapSquare wrapText="right"/>
                <wp:docPr id="83" name="Frame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additions to or changes in the provisions relating to satisfaction and discharge of the indenture; </w:t>
      </w:r>
      <w:r>
        <mc:AlternateContent>
          <mc:Choice Requires="wps">
            <w:drawing>
              <wp:anchor behindDoc="0" distT="78740" distB="0" distL="254000" distR="0" simplePos="0" locked="0" layoutInCell="1" allowOverlap="1" relativeHeight="92">
                <wp:simplePos x="0" y="0"/>
                <wp:positionH relativeFrom="column">
                  <wp:align>left</wp:align>
                </wp:positionH>
                <wp:positionV relativeFrom="line">
                  <wp:align>top</wp:align>
                </wp:positionV>
                <wp:extent cx="127000" cy="350520"/>
                <wp:effectExtent l="0" t="0" r="0" b="0"/>
                <wp:wrapSquare wrapText="right"/>
                <wp:docPr id="84" name="Frame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additions to or changes in the provisions relating to the modification of the indenture both with and without the consent of holders of debt securities issued under the indenture; </w:t>
      </w:r>
      <w:r>
        <mc:AlternateContent>
          <mc:Choice Requires="wps">
            <w:drawing>
              <wp:anchor behindDoc="0" distT="78740" distB="0" distL="254000" distR="0" simplePos="0" locked="0" layoutInCell="1" allowOverlap="1" relativeHeight="93">
                <wp:simplePos x="0" y="0"/>
                <wp:positionH relativeFrom="column">
                  <wp:align>left</wp:align>
                </wp:positionH>
                <wp:positionV relativeFrom="line">
                  <wp:align>top</wp:align>
                </wp:positionV>
                <wp:extent cx="127000" cy="350520"/>
                <wp:effectExtent l="0" t="0" r="0" b="0"/>
                <wp:wrapSquare wrapText="right"/>
                <wp:docPr id="85" name="Frame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currency of payment of debt securities if other than U.S. dollars and the manner of determining the equivalent amount in U.S. dollars; </w:t>
      </w:r>
      <w:r>
        <mc:AlternateContent>
          <mc:Choice Requires="wps">
            <w:drawing>
              <wp:anchor behindDoc="0" distT="78740" distB="0" distL="254000" distR="0" simplePos="0" locked="0" layoutInCell="1" allowOverlap="1" relativeHeight="94">
                <wp:simplePos x="0" y="0"/>
                <wp:positionH relativeFrom="column">
                  <wp:align>left</wp:align>
                </wp:positionH>
                <wp:positionV relativeFrom="line">
                  <wp:align>top</wp:align>
                </wp:positionV>
                <wp:extent cx="127000" cy="350520"/>
                <wp:effectExtent l="0" t="0" r="0" b="0"/>
                <wp:wrapSquare wrapText="right"/>
                <wp:docPr id="86" name="Frame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interest will be payable in cash or additional debt securities at our or the holders’ option and the terms and conditions upon which the election may be made; </w:t>
      </w:r>
      <w:r>
        <mc:AlternateContent>
          <mc:Choice Requires="wps">
            <w:drawing>
              <wp:anchor behindDoc="0" distT="78740" distB="0" distL="254000" distR="0" simplePos="0" locked="0" layoutInCell="1" allowOverlap="1" relativeHeight="95">
                <wp:simplePos x="0" y="0"/>
                <wp:positionH relativeFrom="column">
                  <wp:align>left</wp:align>
                </wp:positionH>
                <wp:positionV relativeFrom="line">
                  <wp:align>top</wp:align>
                </wp:positionV>
                <wp:extent cx="127000" cy="350520"/>
                <wp:effectExtent l="0" t="0" r="0" b="0"/>
                <wp:wrapSquare wrapText="right"/>
                <wp:docPr id="87" name="Frame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terms and conditions, if any, upon which we will pay amounts in addition to the stated interest, premium, if any and principal amounts of the debt securities of the series to any holder that is not a “United States person” for federal tax purposes; </w:t>
      </w:r>
      <w:r>
        <mc:AlternateContent>
          <mc:Choice Requires="wps">
            <w:drawing>
              <wp:anchor behindDoc="0" distT="80010" distB="0" distL="254000" distR="0" simplePos="0" locked="0" layoutInCell="1" allowOverlap="1" relativeHeight="96">
                <wp:simplePos x="0" y="0"/>
                <wp:positionH relativeFrom="column">
                  <wp:align>left</wp:align>
                </wp:positionH>
                <wp:positionV relativeFrom="line">
                  <wp:align>top</wp:align>
                </wp:positionV>
                <wp:extent cx="127000" cy="350520"/>
                <wp:effectExtent l="0" t="0" r="0" b="0"/>
                <wp:wrapSquare wrapText="right"/>
                <wp:docPr id="88" name="Frame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restrictions on transfer, sale or assignment of the debt securities of the series; and </w:t>
      </w:r>
      <w:r>
        <mc:AlternateContent>
          <mc:Choice Requires="wps">
            <w:drawing>
              <wp:anchor behindDoc="0" distT="80010" distB="0" distL="254000" distR="0" simplePos="0" locked="0" layoutInCell="1" allowOverlap="1" relativeHeight="97">
                <wp:simplePos x="0" y="0"/>
                <wp:positionH relativeFrom="column">
                  <wp:align>left</wp:align>
                </wp:positionH>
                <wp:positionV relativeFrom="line">
                  <wp:align>top</wp:align>
                </wp:positionV>
                <wp:extent cx="127000" cy="350520"/>
                <wp:effectExtent l="0" t="0" r="0" b="0"/>
                <wp:wrapSquare wrapText="right"/>
                <wp:docPr id="89" name="Frame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specific terms, preferences, rights or limitations of, or restrictions on, the debt securities, any other additions or changes in the provisions of the indenture, and any terms that may be required by us or advisable under applicable laws or regulations. </w:t>
      </w:r>
      <w:r>
        <mc:AlternateContent>
          <mc:Choice Requires="wps">
            <w:drawing>
              <wp:anchor behindDoc="0" distT="0" distB="0" distL="254000" distR="0" simplePos="0" locked="0" layoutInCell="1" allowOverlap="1" relativeHeight="98">
                <wp:simplePos x="0" y="0"/>
                <wp:positionH relativeFrom="column">
                  <wp:align>left</wp:align>
                </wp:positionH>
                <wp:positionV relativeFrom="line">
                  <wp:posOffset>635</wp:posOffset>
                </wp:positionV>
                <wp:extent cx="127000" cy="350520"/>
                <wp:effectExtent l="0" t="0" r="0" b="0"/>
                <wp:wrapSquare wrapText="right"/>
                <wp:docPr id="90" name="Frame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Conversion or Exchange Rights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set forth in the applicable prospectus supplement the terms on which a series of debt securities may be convertible into or exchangeable for our common shares or our other securities. We will include provisions as to settlement upon conversion or exchange and whether conversion or exchange is mandatory, at the option of the holder or at our option. We may include provisions pursuant to which the number of our common shares or our other securities that the holders of the series of debt securities receive would be subject to adjustment.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Consolidation, Merger or Sale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we provide otherwise in the prospectus supplement applicable to a particular series of debt securities, the indenture will not contain any covenant that restricts our ability to merge or consolidate, or sell, convey, transfer or otherwise dispose of our assets as an entirety or substantially as an entirety. However, any successor to or acquirer of such assets (other than a subsidiary of ours) must assume all of our obligations under the indenture or the debt securities, as appropriate.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Events of Default under the Indenture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we provide otherwise in the prospectus supplement applicable to a particular series of debt securities, the following are events of default under the indenture with respect to any series of debt securities that we may issue: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fail to pay any installment of interest on any series of debt securities, as and when the same shall become due and payable, and such default continues for a period of 90 days; provided, however, that a valid extension of an interest payment period by us in accordance with the terms of any indenture supplemental thereto shall not constitute a default in the payment of interest for this purpose; </w:t>
      </w:r>
      <w:r>
        <mc:AlternateContent>
          <mc:Choice Requires="wps">
            <w:drawing>
              <wp:anchor behindDoc="0" distT="76200" distB="0" distL="254000" distR="0" simplePos="0" locked="0" layoutInCell="1" allowOverlap="1" relativeHeight="99">
                <wp:simplePos x="0" y="0"/>
                <wp:positionH relativeFrom="column">
                  <wp:align>left</wp:align>
                </wp:positionH>
                <wp:positionV relativeFrom="line">
                  <wp:align>top</wp:align>
                </wp:positionV>
                <wp:extent cx="127000" cy="350520"/>
                <wp:effectExtent l="0" t="0" r="0" b="0"/>
                <wp:wrapSquare wrapText="right"/>
                <wp:docPr id="91" name="Frame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fail to pay the principal of, or premium, if any, on any series of debt securities as and when the same shall become due and payable whether at maturity, upon redemption, by declaration or otherwise, or in any payment required by any sinking or analogous fund established with respect to such series; provided, however, that a valid extension of the maturity of such debt securities in accordance with the terms of any indenture supplemental thereto shall not constitute a default in the payment of principal or premium, if any; </w:t>
      </w:r>
      <w:r>
        <mc:AlternateContent>
          <mc:Choice Requires="wps">
            <w:drawing>
              <wp:anchor behindDoc="0" distT="76200" distB="0" distL="254000" distR="0" simplePos="0" locked="0" layoutInCell="1" allowOverlap="1" relativeHeight="100">
                <wp:simplePos x="0" y="0"/>
                <wp:positionH relativeFrom="column">
                  <wp:align>left</wp:align>
                </wp:positionH>
                <wp:positionV relativeFrom="line">
                  <wp:align>top</wp:align>
                </wp:positionV>
                <wp:extent cx="127000" cy="350520"/>
                <wp:effectExtent l="0" t="0" r="0" b="0"/>
                <wp:wrapSquare wrapText="right"/>
                <wp:docPr id="92" name="Frame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fail to observe or perform any other covenant or agreement contained in the debt securities or the indenture, other than a covenant specifically relating to another series of debt securities, and our failure continues for 90 days after we receive written notice of such failure, requiring the same to be remedied and stating that such is a notice of default thereunder, from the trustee or holders of at least 25% in aggregate principal amount of the outstanding debt securities of the applicable series; and </w:t>
      </w:r>
      <w:r>
        <mc:AlternateContent>
          <mc:Choice Requires="wps">
            <w:drawing>
              <wp:anchor behindDoc="0" distT="76200" distB="0" distL="254000" distR="0" simplePos="0" locked="0" layoutInCell="1" allowOverlap="1" relativeHeight="101">
                <wp:simplePos x="0" y="0"/>
                <wp:positionH relativeFrom="column">
                  <wp:align>left</wp:align>
                </wp:positionH>
                <wp:positionV relativeFrom="line">
                  <wp:align>top</wp:align>
                </wp:positionV>
                <wp:extent cx="127000" cy="350520"/>
                <wp:effectExtent l="0" t="0" r="0" b="0"/>
                <wp:wrapSquare wrapText="right"/>
                <wp:docPr id="93" name="Frame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specified events of bankruptcy, insolvency or reorganization occur. </w:t>
      </w:r>
      <w:r>
        <mc:AlternateContent>
          <mc:Choice Requires="wps">
            <w:drawing>
              <wp:anchor behindDoc="0" distT="76200" distB="0" distL="254000" distR="0" simplePos="0" locked="0" layoutInCell="1" allowOverlap="1" relativeHeight="102">
                <wp:simplePos x="0" y="0"/>
                <wp:positionH relativeFrom="column">
                  <wp:align>left</wp:align>
                </wp:positionH>
                <wp:positionV relativeFrom="line">
                  <wp:align>top</wp:align>
                </wp:positionV>
                <wp:extent cx="127000" cy="350520"/>
                <wp:effectExtent l="0" t="0" r="0" b="0"/>
                <wp:wrapSquare wrapText="right"/>
                <wp:docPr id="94" name="Frame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 event of default with respect to debt securities of any series occurs and is continuing, other than an event of default specified in the last bullet point above, the trustee or the holders of at least 25% in aggregate principal amount of the outstanding debt securities of that series, by notice to us in writing, and to the trustee if notice is given by such holders, may declare the unpaid principal of, premium, if any, and accrued interest, if any, due and payable immediately. If an event of default specified in the last bullet point above occurs with respect to us, the principal amount of and accrued interest, if any, of each issue of debt securities then outstanding shall be due and payable without any notice or other action on the part of the trustee or any holder.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holders of a majority in principal amount of the outstanding debt securities of an affected series may waive any default or event of default with respect to the series and its consequences, except defaults 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events of default regarding payment of principal, premium, if any, or interest, unless we have cured the default or event of default in accordance with the indenture. Any waiver shall cure the default or event of default.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terms of the indenture, if an event of default under an indenture shall occur and be continuing, the trustee will be under no obligation to exercise any of its rights or powers under such indenture at the request or direction of any of the holders of the applicable series of debt securities, unless such holders have offered the trustee reasonable indemnity.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provided that: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direction so given by the holder is not in conflict with any law or the applicable indenture; and </w:t>
      </w:r>
      <w:r>
        <mc:AlternateContent>
          <mc:Choice Requires="wps">
            <w:drawing>
              <wp:anchor behindDoc="0" distT="72390" distB="0" distL="254000" distR="0" simplePos="0" locked="0" layoutInCell="1" allowOverlap="1" relativeHeight="103">
                <wp:simplePos x="0" y="0"/>
                <wp:positionH relativeFrom="column">
                  <wp:align>left</wp:align>
                </wp:positionH>
                <wp:positionV relativeFrom="line">
                  <wp:align>top</wp:align>
                </wp:positionV>
                <wp:extent cx="127000" cy="350520"/>
                <wp:effectExtent l="0" t="0" r="0" b="0"/>
                <wp:wrapSquare wrapText="right"/>
                <wp:docPr id="95" name="Frame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its duties under the Trust Indenture Act, the trustee need not take any action that might involve it in personal liability or might be unduly prejudicial to the holders not involved in the proceeding. </w:t>
      </w:r>
      <w:r>
        <mc:AlternateContent>
          <mc:Choice Requires="wps">
            <w:drawing>
              <wp:anchor behindDoc="0" distT="72390" distB="0" distL="254000" distR="0" simplePos="0" locked="0" layoutInCell="1" allowOverlap="1" relativeHeight="104">
                <wp:simplePos x="0" y="0"/>
                <wp:positionH relativeFrom="column">
                  <wp:align>left</wp:align>
                </wp:positionH>
                <wp:positionV relativeFrom="line">
                  <wp:align>top</wp:align>
                </wp:positionV>
                <wp:extent cx="127000" cy="350520"/>
                <wp:effectExtent l="0" t="0" r="0" b="0"/>
                <wp:wrapSquare wrapText="right"/>
                <wp:docPr id="96" name="Frame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holder of the debt securities of any series will have the right to institute a proceeding under the indenture or to appoint a receiver or trustee, or to seek other remedies only if: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holder has given written notice to the trustee of a continuing event of default with respect to that series; </w:t>
      </w:r>
      <w:r>
        <mc:AlternateContent>
          <mc:Choice Requires="wps">
            <w:drawing>
              <wp:anchor behindDoc="0" distT="72390" distB="0" distL="254000" distR="0" simplePos="0" locked="0" layoutInCell="1" allowOverlap="1" relativeHeight="105">
                <wp:simplePos x="0" y="0"/>
                <wp:positionH relativeFrom="column">
                  <wp:align>left</wp:align>
                </wp:positionH>
                <wp:positionV relativeFrom="line">
                  <wp:align>top</wp:align>
                </wp:positionV>
                <wp:extent cx="127000" cy="350520"/>
                <wp:effectExtent l="0" t="0" r="0" b="0"/>
                <wp:wrapSquare wrapText="right"/>
                <wp:docPr id="97" name="Frame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holders of at least 25% in aggregate principal amount of the outstanding debt securities of that series have made written request, </w:t>
      </w:r>
      <w:r>
        <mc:AlternateContent>
          <mc:Choice Requires="wps">
            <w:drawing>
              <wp:anchor behindDoc="0" distT="72390" distB="0" distL="254000" distR="0" simplePos="0" locked="0" layoutInCell="1" allowOverlap="1" relativeHeight="106">
                <wp:simplePos x="0" y="0"/>
                <wp:positionH relativeFrom="column">
                  <wp:align>left</wp:align>
                </wp:positionH>
                <wp:positionV relativeFrom="line">
                  <wp:align>top</wp:align>
                </wp:positionV>
                <wp:extent cx="127000" cy="350520"/>
                <wp:effectExtent l="0" t="0" r="0" b="0"/>
                <wp:wrapSquare wrapText="right"/>
                <wp:docPr id="98" name="Frame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such holders have offered to the trustee indemnity satisfactory to it against the costs, expenses and liabilities to be incurred by the trustee in compliance with the request; and </w:t>
      </w:r>
      <w:r>
        <mc:AlternateContent>
          <mc:Choice Requires="wps">
            <w:drawing>
              <wp:anchor behindDoc="0" distT="72390" distB="0" distL="254000" distR="0" simplePos="0" locked="0" layoutInCell="1" allowOverlap="1" relativeHeight="107">
                <wp:simplePos x="0" y="0"/>
                <wp:positionH relativeFrom="column">
                  <wp:align>left</wp:align>
                </wp:positionH>
                <wp:positionV relativeFrom="line">
                  <wp:align>top</wp:align>
                </wp:positionV>
                <wp:extent cx="127000" cy="350520"/>
                <wp:effectExtent l="0" t="0" r="0" b="0"/>
                <wp:wrapSquare wrapText="right"/>
                <wp:docPr id="99" name="Frame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trustee does not institute the proceeding, and does not receive from the holders of a majority in aggregate principal amount of the outstanding debt securities of that series other conflicting directions within 90 days after the notice, request and offer. </w:t>
      </w:r>
      <w:r>
        <mc:AlternateContent>
          <mc:Choice Requires="wps">
            <w:drawing>
              <wp:anchor behindDoc="0" distT="72390" distB="0" distL="254000" distR="0" simplePos="0" locked="0" layoutInCell="1" allowOverlap="1" relativeHeight="108">
                <wp:simplePos x="0" y="0"/>
                <wp:positionH relativeFrom="column">
                  <wp:align>left</wp:align>
                </wp:positionH>
                <wp:positionV relativeFrom="line">
                  <wp:align>top</wp:align>
                </wp:positionV>
                <wp:extent cx="127000" cy="350520"/>
                <wp:effectExtent l="0" t="0" r="0" b="0"/>
                <wp:wrapSquare wrapText="right"/>
                <wp:docPr id="100" name="Frame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limitations do not apply to a suit instituted by a holder of debt securities if we default in the payment of the principal, premium, if any, or interest on, the debt securities.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periodically file statements with the trustee regarding our compliance with specified covenants in the indenture.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Modification of Indenture; Waiver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and the trustee may change an indenture without the consent of any holders with respect to specific matters: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cure any ambiguity, defect or inconsistency in the indenture or in the debt securities of any series; </w:t>
      </w:r>
      <w:r>
        <mc:AlternateContent>
          <mc:Choice Requires="wps">
            <w:drawing>
              <wp:anchor behindDoc="0" distT="73660" distB="0" distL="254000" distR="0" simplePos="0" locked="0" layoutInCell="1" allowOverlap="1" relativeHeight="109">
                <wp:simplePos x="0" y="0"/>
                <wp:positionH relativeFrom="column">
                  <wp:align>left</wp:align>
                </wp:positionH>
                <wp:positionV relativeFrom="line">
                  <wp:align>top</wp:align>
                </wp:positionV>
                <wp:extent cx="127000" cy="350520"/>
                <wp:effectExtent l="0" t="0" r="0" b="0"/>
                <wp:wrapSquare wrapText="right"/>
                <wp:docPr id="101" name="Frame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comply with the provisions described above under “Description of Debt Securities — Consolidation, Merger or Sale;” </w:t>
      </w:r>
      <w:r>
        <mc:AlternateContent>
          <mc:Choice Requires="wps">
            <w:drawing>
              <wp:anchor behindDoc="0" distT="73660" distB="0" distL="254000" distR="0" simplePos="0" locked="0" layoutInCell="1" allowOverlap="1" relativeHeight="110">
                <wp:simplePos x="0" y="0"/>
                <wp:positionH relativeFrom="column">
                  <wp:align>left</wp:align>
                </wp:positionH>
                <wp:positionV relativeFrom="line">
                  <wp:align>top</wp:align>
                </wp:positionV>
                <wp:extent cx="127000" cy="350520"/>
                <wp:effectExtent l="0" t="0" r="0" b="0"/>
                <wp:wrapSquare wrapText="right"/>
                <wp:docPr id="102" name="Frame1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provide for uncertificated debt securities in addition to or in place of certificated debt securities; </w:t>
      </w:r>
      <w:r>
        <mc:AlternateContent>
          <mc:Choice Requires="wps">
            <w:drawing>
              <wp:anchor behindDoc="0" distT="73660" distB="0" distL="254000" distR="0" simplePos="0" locked="0" layoutInCell="1" allowOverlap="1" relativeHeight="111">
                <wp:simplePos x="0" y="0"/>
                <wp:positionH relativeFrom="column">
                  <wp:align>left</wp:align>
                </wp:positionH>
                <wp:positionV relativeFrom="line">
                  <wp:align>top</wp:align>
                </wp:positionV>
                <wp:extent cx="127000" cy="350520"/>
                <wp:effectExtent l="0" t="0" r="0" b="0"/>
                <wp:wrapSquare wrapText="right"/>
                <wp:docPr id="103" name="Frame1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add to our covenants, restrictions, conditions or provisions such new covenants, restrictions, conditions or provisions for the benefit of the holders of all or any series of debt securities, to make the occurrence, or the occurrence and the continuance, of a default in any such additional covenants, restrictions, conditions or provisions an event of default or to surrender any right or power conferred upon us in the indenture; </w:t>
      </w:r>
      <w:r>
        <mc:AlternateContent>
          <mc:Choice Requires="wps">
            <w:drawing>
              <wp:anchor behindDoc="0" distT="73660" distB="0" distL="254000" distR="0" simplePos="0" locked="0" layoutInCell="1" allowOverlap="1" relativeHeight="112">
                <wp:simplePos x="0" y="0"/>
                <wp:positionH relativeFrom="column">
                  <wp:align>left</wp:align>
                </wp:positionH>
                <wp:positionV relativeFrom="line">
                  <wp:align>top</wp:align>
                </wp:positionV>
                <wp:extent cx="127000" cy="350520"/>
                <wp:effectExtent l="0" t="0" r="0" b="0"/>
                <wp:wrapSquare wrapText="right"/>
                <wp:docPr id="104" name="Frame1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add to, delete from or revise the conditions, limitations, and restrictions on the authorized amount, terms, or purposes of issue, authentication and delivery of debt securities, as set forth in the indenture; </w:t>
      </w:r>
      <w:r>
        <mc:AlternateContent>
          <mc:Choice Requires="wps">
            <w:drawing>
              <wp:anchor behindDoc="0" distT="73660" distB="0" distL="254000" distR="0" simplePos="0" locked="0" layoutInCell="1" allowOverlap="1" relativeHeight="113">
                <wp:simplePos x="0" y="0"/>
                <wp:positionH relativeFrom="column">
                  <wp:align>left</wp:align>
                </wp:positionH>
                <wp:positionV relativeFrom="line">
                  <wp:align>top</wp:align>
                </wp:positionV>
                <wp:extent cx="127000" cy="350520"/>
                <wp:effectExtent l="0" t="0" r="0" b="0"/>
                <wp:wrapSquare wrapText="right"/>
                <wp:docPr id="105" name="Frame1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make any change that does not adversely affect the interests of any holder of debt securities of any series in any material respect; </w:t>
      </w:r>
      <w:r>
        <mc:AlternateContent>
          <mc:Choice Requires="wps">
            <w:drawing>
              <wp:anchor behindDoc="0" distT="73660" distB="0" distL="254000" distR="0" simplePos="0" locked="0" layoutInCell="1" allowOverlap="1" relativeHeight="114">
                <wp:simplePos x="0" y="0"/>
                <wp:positionH relativeFrom="column">
                  <wp:align>left</wp:align>
                </wp:positionH>
                <wp:positionV relativeFrom="line">
                  <wp:align>top</wp:align>
                </wp:positionV>
                <wp:extent cx="127000" cy="350520"/>
                <wp:effectExtent l="0" t="0" r="0" b="0"/>
                <wp:wrapSquare wrapText="right"/>
                <wp:docPr id="106" name="Frame1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provide for the issuance of and establish the form and terms and conditions of the debt securities of any series as provided above under “Description of Debt Securities — General” to establish the form of any certifications required to be furnished pursuant to the terms of the indenture or any series of debt securities, or to add to the rights of the holders of any series of debt securities; </w:t>
      </w:r>
      <w:r>
        <mc:AlternateContent>
          <mc:Choice Requires="wps">
            <w:drawing>
              <wp:anchor behindDoc="0" distT="0" distB="0" distL="254000" distR="0" simplePos="0" locked="0" layoutInCell="1" allowOverlap="1" relativeHeight="115">
                <wp:simplePos x="0" y="0"/>
                <wp:positionH relativeFrom="column">
                  <wp:align>left</wp:align>
                </wp:positionH>
                <wp:positionV relativeFrom="line">
                  <wp:posOffset>635</wp:posOffset>
                </wp:positionV>
                <wp:extent cx="127000" cy="350520"/>
                <wp:effectExtent l="0" t="0" r="0" b="0"/>
                <wp:wrapSquare wrapText="right"/>
                <wp:docPr id="107" name="Frame1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evidence and provide for the acceptance of appointment under any indenture by a successor trustee; or </w:t>
      </w:r>
      <w:r>
        <mc:AlternateContent>
          <mc:Choice Requires="wps">
            <w:drawing>
              <wp:anchor behindDoc="0" distT="72390" distB="0" distL="254000" distR="0" simplePos="0" locked="0" layoutInCell="1" allowOverlap="1" relativeHeight="116">
                <wp:simplePos x="0" y="0"/>
                <wp:positionH relativeFrom="column">
                  <wp:align>left</wp:align>
                </wp:positionH>
                <wp:positionV relativeFrom="line">
                  <wp:align>top</wp:align>
                </wp:positionV>
                <wp:extent cx="127000" cy="350520"/>
                <wp:effectExtent l="0" t="0" r="0" b="0"/>
                <wp:wrapSquare wrapText="right"/>
                <wp:docPr id="108" name="Frame1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comply with any requirements of the SEC in connection with the qualification of any indenture under the Trust Indenture Act. </w:t>
      </w:r>
      <w:r>
        <mc:AlternateContent>
          <mc:Choice Requires="wps">
            <w:drawing>
              <wp:anchor behindDoc="0" distT="72390" distB="0" distL="254000" distR="0" simplePos="0" locked="0" layoutInCell="1" allowOverlap="1" relativeHeight="117">
                <wp:simplePos x="0" y="0"/>
                <wp:positionH relativeFrom="column">
                  <wp:align>left</wp:align>
                </wp:positionH>
                <wp:positionV relativeFrom="line">
                  <wp:align>top</wp:align>
                </wp:positionV>
                <wp:extent cx="127000" cy="350520"/>
                <wp:effectExtent l="0" t="0" r="0" b="0"/>
                <wp:wrapSquare wrapText="right"/>
                <wp:docPr id="109" name="Frame1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under the indenture, the rights of holders of a series of debt securities may be changed by us and the trustee with the written consent of the holders of at least a majority in aggregate principal amount of the outstanding debt securities of each series that is affected. However, unless we provide otherwise in the prospectus supplement applicable to a particular series of debt securities, we and the trustee may make the following changes only with the consent of each holder of any outstanding debt securities affected: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extending the fixed maturity of any debt securities of any series; </w:t>
      </w:r>
      <w:r>
        <mc:AlternateContent>
          <mc:Choice Requires="wps">
            <w:drawing>
              <wp:anchor behindDoc="0" distT="72390" distB="0" distL="254000" distR="0" simplePos="0" locked="0" layoutInCell="1" allowOverlap="1" relativeHeight="118">
                <wp:simplePos x="0" y="0"/>
                <wp:positionH relativeFrom="column">
                  <wp:align>left</wp:align>
                </wp:positionH>
                <wp:positionV relativeFrom="line">
                  <wp:align>top</wp:align>
                </wp:positionV>
                <wp:extent cx="127000" cy="350520"/>
                <wp:effectExtent l="0" t="0" r="0" b="0"/>
                <wp:wrapSquare wrapText="right"/>
                <wp:docPr id="110" name="Frame1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reducing the principal amount, reducing the rate of or extending the time of payment of interest, or reducing any premium payable upon the redemption of any series of any debt securities; or </w:t>
      </w:r>
      <w:r>
        <mc:AlternateContent>
          <mc:Choice Requires="wps">
            <w:drawing>
              <wp:anchor behindDoc="0" distT="72390" distB="0" distL="254000" distR="0" simplePos="0" locked="0" layoutInCell="1" allowOverlap="1" relativeHeight="119">
                <wp:simplePos x="0" y="0"/>
                <wp:positionH relativeFrom="column">
                  <wp:align>left</wp:align>
                </wp:positionH>
                <wp:positionV relativeFrom="line">
                  <wp:align>top</wp:align>
                </wp:positionV>
                <wp:extent cx="127000" cy="350520"/>
                <wp:effectExtent l="0" t="0" r="0" b="0"/>
                <wp:wrapSquare wrapText="right"/>
                <wp:docPr id="111" name="Frame1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reducing the percentage of debt securities, the holders of which are required to consent to any amendment, supplement, modification or waiver. </w:t>
      </w:r>
      <w:r>
        <mc:AlternateContent>
          <mc:Choice Requires="wps">
            <w:drawing>
              <wp:anchor behindDoc="0" distT="72390" distB="0" distL="254000" distR="0" simplePos="0" locked="0" layoutInCell="1" allowOverlap="1" relativeHeight="120">
                <wp:simplePos x="0" y="0"/>
                <wp:positionH relativeFrom="column">
                  <wp:align>left</wp:align>
                </wp:positionH>
                <wp:positionV relativeFrom="line">
                  <wp:align>top</wp:align>
                </wp:positionV>
                <wp:extent cx="127000" cy="350520"/>
                <wp:effectExtent l="0" t="0" r="0" b="0"/>
                <wp:wrapSquare wrapText="right"/>
                <wp:docPr id="112" name="Frame1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Discharge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indenture provides that we can elect to be discharged from our obligations with respect to one or more series of debt securities, except for specified obligations, including obligations to: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provide for payment; </w:t>
      </w:r>
      <w:r>
        <mc:AlternateContent>
          <mc:Choice Requires="wps">
            <w:drawing>
              <wp:anchor behindDoc="0" distT="72390" distB="0" distL="254000" distR="0" simplePos="0" locked="0" layoutInCell="1" allowOverlap="1" relativeHeight="121">
                <wp:simplePos x="0" y="0"/>
                <wp:positionH relativeFrom="column">
                  <wp:align>left</wp:align>
                </wp:positionH>
                <wp:positionV relativeFrom="line">
                  <wp:align>top</wp:align>
                </wp:positionV>
                <wp:extent cx="127000" cy="350520"/>
                <wp:effectExtent l="0" t="0" r="0" b="0"/>
                <wp:wrapSquare wrapText="right"/>
                <wp:docPr id="113" name="Frame1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register the transfer or exchange of debt securities of the series; </w:t>
      </w:r>
      <w:r>
        <mc:AlternateContent>
          <mc:Choice Requires="wps">
            <w:drawing>
              <wp:anchor behindDoc="0" distT="72390" distB="0" distL="254000" distR="0" simplePos="0" locked="0" layoutInCell="1" allowOverlap="1" relativeHeight="122">
                <wp:simplePos x="0" y="0"/>
                <wp:positionH relativeFrom="column">
                  <wp:align>left</wp:align>
                </wp:positionH>
                <wp:positionV relativeFrom="line">
                  <wp:align>top</wp:align>
                </wp:positionV>
                <wp:extent cx="127000" cy="350520"/>
                <wp:effectExtent l="0" t="0" r="0" b="0"/>
                <wp:wrapSquare wrapText="right"/>
                <wp:docPr id="114" name="Frame1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replace stolen, lost or mutilated debt securities of the series; </w:t>
      </w:r>
      <w:r>
        <mc:AlternateContent>
          <mc:Choice Requires="wps">
            <w:drawing>
              <wp:anchor behindDoc="0" distT="72390" distB="0" distL="254000" distR="0" simplePos="0" locked="0" layoutInCell="1" allowOverlap="1" relativeHeight="123">
                <wp:simplePos x="0" y="0"/>
                <wp:positionH relativeFrom="column">
                  <wp:align>left</wp:align>
                </wp:positionH>
                <wp:positionV relativeFrom="line">
                  <wp:align>top</wp:align>
                </wp:positionV>
                <wp:extent cx="127000" cy="350520"/>
                <wp:effectExtent l="0" t="0" r="0" b="0"/>
                <wp:wrapSquare wrapText="right"/>
                <wp:docPr id="115" name="Frame1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 principal of and premium and interest on any debt securities of the series; </w:t>
      </w:r>
      <w:r>
        <mc:AlternateContent>
          <mc:Choice Requires="wps">
            <w:drawing>
              <wp:anchor behindDoc="0" distT="72390" distB="0" distL="254000" distR="0" simplePos="0" locked="0" layoutInCell="1" allowOverlap="1" relativeHeight="124">
                <wp:simplePos x="0" y="0"/>
                <wp:positionH relativeFrom="column">
                  <wp:align>left</wp:align>
                </wp:positionH>
                <wp:positionV relativeFrom="line">
                  <wp:align>top</wp:align>
                </wp:positionV>
                <wp:extent cx="127000" cy="350520"/>
                <wp:effectExtent l="0" t="0" r="0" b="0"/>
                <wp:wrapSquare wrapText="right"/>
                <wp:docPr id="116" name="Frame1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maintain paying agencies; </w:t>
      </w:r>
      <w:r>
        <mc:AlternateContent>
          <mc:Choice Requires="wps">
            <w:drawing>
              <wp:anchor behindDoc="0" distT="72390" distB="0" distL="254000" distR="0" simplePos="0" locked="0" layoutInCell="1" allowOverlap="1" relativeHeight="125">
                <wp:simplePos x="0" y="0"/>
                <wp:positionH relativeFrom="column">
                  <wp:align>left</wp:align>
                </wp:positionH>
                <wp:positionV relativeFrom="line">
                  <wp:align>top</wp:align>
                </wp:positionV>
                <wp:extent cx="127000" cy="350520"/>
                <wp:effectExtent l="0" t="0" r="0" b="0"/>
                <wp:wrapSquare wrapText="right"/>
                <wp:docPr id="117" name="Frame1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 monies for payment in trust; </w:t>
      </w:r>
      <w:r>
        <mc:AlternateContent>
          <mc:Choice Requires="wps">
            <w:drawing>
              <wp:anchor behindDoc="0" distT="72390" distB="0" distL="254000" distR="0" simplePos="0" locked="0" layoutInCell="1" allowOverlap="1" relativeHeight="126">
                <wp:simplePos x="0" y="0"/>
                <wp:positionH relativeFrom="column">
                  <wp:align>left</wp:align>
                </wp:positionH>
                <wp:positionV relativeFrom="line">
                  <wp:align>top</wp:align>
                </wp:positionV>
                <wp:extent cx="127000" cy="350520"/>
                <wp:effectExtent l="0" t="0" r="0" b="0"/>
                <wp:wrapSquare wrapText="right"/>
                <wp:docPr id="118" name="Frame1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recover excess money held by the trustee; </w:t>
      </w:r>
      <w:r>
        <mc:AlternateContent>
          <mc:Choice Requires="wps">
            <w:drawing>
              <wp:anchor behindDoc="0" distT="72390" distB="0" distL="254000" distR="0" simplePos="0" locked="0" layoutInCell="1" allowOverlap="1" relativeHeight="127">
                <wp:simplePos x="0" y="0"/>
                <wp:positionH relativeFrom="column">
                  <wp:align>left</wp:align>
                </wp:positionH>
                <wp:positionV relativeFrom="line">
                  <wp:align>top</wp:align>
                </wp:positionV>
                <wp:extent cx="127000" cy="350520"/>
                <wp:effectExtent l="0" t="0" r="0" b="0"/>
                <wp:wrapSquare wrapText="right"/>
                <wp:docPr id="119" name="Frame1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compensate and indemnify the trustee; and </w:t>
      </w:r>
      <w:r>
        <mc:AlternateContent>
          <mc:Choice Requires="wps">
            <w:drawing>
              <wp:anchor behindDoc="0" distT="73660" distB="0" distL="254000" distR="0" simplePos="0" locked="0" layoutInCell="1" allowOverlap="1" relativeHeight="128">
                <wp:simplePos x="0" y="0"/>
                <wp:positionH relativeFrom="column">
                  <wp:align>left</wp:align>
                </wp:positionH>
                <wp:positionV relativeFrom="line">
                  <wp:align>top</wp:align>
                </wp:positionV>
                <wp:extent cx="127000" cy="350520"/>
                <wp:effectExtent l="0" t="0" r="0" b="0"/>
                <wp:wrapSquare wrapText="right"/>
                <wp:docPr id="120" name="Frame1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appoint any successor trustee. </w:t>
      </w:r>
      <w:r>
        <mc:AlternateContent>
          <mc:Choice Requires="wps">
            <w:drawing>
              <wp:anchor behindDoc="0" distT="73660" distB="0" distL="254000" distR="0" simplePos="0" locked="0" layoutInCell="1" allowOverlap="1" relativeHeight="129">
                <wp:simplePos x="0" y="0"/>
                <wp:positionH relativeFrom="column">
                  <wp:align>left</wp:align>
                </wp:positionH>
                <wp:positionV relativeFrom="line">
                  <wp:align>top</wp:align>
                </wp:positionV>
                <wp:extent cx="127000" cy="350520"/>
                <wp:effectExtent l="0" t="0" r="0" b="0"/>
                <wp:wrapSquare wrapText="right"/>
                <wp:docPr id="121" name="Frame1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order to exercise our rights to be discharged, we must deposit with the trustee money or government obligations sufficient to pay all the principal of, any premium, if any, and interest on, the debt securities of the series on the dates payments are due.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Form, Exchange and Transfer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issue the debt securities of each series only in fully registered form without coupons and, unless we provide otherwise in the applicable prospectus supplement, in denominations of $1,000 and any integral multiple thereof. The indenture provides that we may issue debt securities of a series in temporary or permanent global form and as book-entry securities that will be deposited with, or on behalf of, The Depository Trust Company, or DTC, or another depositary named by us and identified in the applicable prospectus supplement with respect to that series. To the extent the debt securities of a series are issued in global form and as book-entry, a description of terms relating to any book-entry securities will be set forth in the applicable prospectus supplement.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option of the holder, subject to the terms of the indenture and the limitations applicable to global securities described in the applicable prospectus supplement, the holder of the debt securities of any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series can exchange the debt securities for other debt securities of the same series, in any authorized denomination and of like tenor and aggregate principal amount.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terms of the indenture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we will impose no service charge for any registration of transfer or exchange, but we may require payment of any taxes or other governmental charges.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name in the applicable prospectus supplement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elect to redeem the debt securities of any series, we will not be required to: </w:t>
      </w:r>
    </w:p>
    <w:p>
      <w:pPr>
        <w:pStyle w:val="TextBody"/>
        <w:bidi w:val="0"/>
        <w:spacing w:lineRule="atLeast" w:line="240" w:before="9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 </w:t>
      </w:r>
      <w:r>
        <mc:AlternateContent>
          <mc:Choice Requires="wps">
            <w:drawing>
              <wp:anchor behindDoc="0" distT="62230" distB="0" distL="254000" distR="0" simplePos="0" locked="0" layoutInCell="1" allowOverlap="1" relativeHeight="130">
                <wp:simplePos x="0" y="0"/>
                <wp:positionH relativeFrom="column">
                  <wp:align>left</wp:align>
                </wp:positionH>
                <wp:positionV relativeFrom="line">
                  <wp:align>top</wp:align>
                </wp:positionV>
                <wp:extent cx="127000" cy="350520"/>
                <wp:effectExtent l="0" t="0" r="0" b="0"/>
                <wp:wrapSquare wrapText="right"/>
                <wp:docPr id="122" name="Frame1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4.9pt;mso-wrap-distance-bottom:0pt;margin-top:4.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register the transfer of or exchange any debt securities so selected for redemption, in whole or in part, except the unredeemed portion of any debt securities we are redeeming in part. </w:t>
      </w:r>
      <w:r>
        <mc:AlternateContent>
          <mc:Choice Requires="wps">
            <w:drawing>
              <wp:anchor behindDoc="0" distT="48260" distB="0" distL="254000" distR="0" simplePos="0" locked="0" layoutInCell="1" allowOverlap="1" relativeHeight="131">
                <wp:simplePos x="0" y="0"/>
                <wp:positionH relativeFrom="column">
                  <wp:align>left</wp:align>
                </wp:positionH>
                <wp:positionV relativeFrom="line">
                  <wp:align>top</wp:align>
                </wp:positionV>
                <wp:extent cx="127000" cy="350520"/>
                <wp:effectExtent l="0" t="0" r="0" b="0"/>
                <wp:wrapSquare wrapText="right"/>
                <wp:docPr id="123" name="Frame1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3.8pt;mso-wrap-distance-bottom:0pt;margin-top:3.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93"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Information Concerning the Trustee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trustee, other than during the occurrence and continuance of an event of default under an indenture, undertakes to perform only those duties as are specifically set forth in the applicable indenture. Upon an event of default under an indenture, the trustee must use the same degree of care as a prudent person would exercise or use in the conduct of his or her own affairs. Subject to this provision, the trustee is under no obligation to exercise any of the powers given it by the indenture at the request of any holder of debt securities unless it is offered reasonable security and indemnity against the costs, expenses and liabilities that it might incur.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Payment and Paying Agents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pay principal of and any premium and interest on the debt securities of a particular series at the office of the paying agents designated by us, except that unless we otherwise indicate in the applicable prospectus supplement, we will make interest payments by check that we will mail to the holder or by wire transfer to certain holders. Unless we otherwise indicate in the applicable prospectus supplement, we will designate the corporate trust office of the trustee as our sole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money we pay to a paying agent or the trustee for the payment of the principal of or any premium or interest on any debt securities that remains unclaimed at the end of two years after such principal, premium or interest has become due and payable will be repaid to us, and the holder of the debt security thereafter may look only to us for payment thereof.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Governing Law</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and the debt securities will be governed by and construed in accordance with the internal laws of the State of New York, except to the extent that the Trust Indenture Act of 1939 is applicable.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 w:name="tDOW"/>
      <w:bookmarkEnd w:id="1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WARRANTS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description, together with the additional information we may include in any applicable prospectus supplements and in any related free writing prospectuses, summarizes the material terms and provisions of the warrants that we may offer under this prospectus, which may consist of warrants to purchase common shares, preferred shares or debt securities and may be issued in one or more series.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Warrants may be offered and issued independently or together with common shares, preferred shares or debt securities offered by any prospectus supplement, and may be attached to or separate from those securities. While the terms we have summarized below will apply generally to any warrants that we may offer under this prospectus, we will describe the particular terms of any series of warrants that we may offer in more detail in the applicable prospectus supplement and any applicable free writing prospectus. The terms of any warrants offered under a prospectus supplement may differ from the terms described below. However, no prospectus supplement will fundamentally change the terms that are set forth in this prospectus or offer a security that is not registered and described in this prospectus at the time of its effectiveness.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filed forms of the warrant agreements and forms of warrant certificates containing the terms of the warrants that may be offered as exhibits to the registration statement of which this prospectus is a part. We will file as exhibits to the registration statement of which this prospectus is a part, or will incorporate by reference from reports that we file with the SEC, the form of warrant agreement, if any, including a form of warrant certificate, that describes the terms of the particular series of warrants we are offering. The following summaries of material provisions of the warrants and the warrant agreements are subject to, and qualified in their entirety by reference to, all the provisions of the warrant agreement and warrant certificate applicable to the particular series of warrants that we may offer under this prospectus. We urge you to read the applicable prospectus supplements related to the particular series of warrants that we may offer under this prospectus, as well as any related free writing prospectuses, and the complete warrant agreements and warrant certificates that contain the terms of the warrants.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describe in the applicable prospectus supplement the terms relating to a series of warrants being offered, including, to the extent applicable: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title of such securities; </w:t>
      </w:r>
      <w:r>
        <mc:AlternateContent>
          <mc:Choice Requires="wps">
            <w:drawing>
              <wp:anchor behindDoc="0" distT="73660" distB="0" distL="254000" distR="0" simplePos="0" locked="0" layoutInCell="1" allowOverlap="1" relativeHeight="132">
                <wp:simplePos x="0" y="0"/>
                <wp:positionH relativeFrom="column">
                  <wp:align>left</wp:align>
                </wp:positionH>
                <wp:positionV relativeFrom="line">
                  <wp:align>top</wp:align>
                </wp:positionV>
                <wp:extent cx="127000" cy="350520"/>
                <wp:effectExtent l="0" t="0" r="0" b="0"/>
                <wp:wrapSquare wrapText="right"/>
                <wp:docPr id="124" name="Frame1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offering price or prices and aggregate number of warrants offered; </w:t>
      </w:r>
      <w:r>
        <mc:AlternateContent>
          <mc:Choice Requires="wps">
            <w:drawing>
              <wp:anchor behindDoc="0" distT="73660" distB="0" distL="254000" distR="0" simplePos="0" locked="0" layoutInCell="1" allowOverlap="1" relativeHeight="133">
                <wp:simplePos x="0" y="0"/>
                <wp:positionH relativeFrom="column">
                  <wp:align>left</wp:align>
                </wp:positionH>
                <wp:positionV relativeFrom="line">
                  <wp:align>top</wp:align>
                </wp:positionV>
                <wp:extent cx="127000" cy="350520"/>
                <wp:effectExtent l="0" t="0" r="0" b="0"/>
                <wp:wrapSquare wrapText="right"/>
                <wp:docPr id="125" name="Frame1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currency or currencies for which the warrants may be purchased; </w:t>
      </w:r>
      <w:r>
        <mc:AlternateContent>
          <mc:Choice Requires="wps">
            <w:drawing>
              <wp:anchor behindDoc="0" distT="73660" distB="0" distL="254000" distR="0" simplePos="0" locked="0" layoutInCell="1" allowOverlap="1" relativeHeight="134">
                <wp:simplePos x="0" y="0"/>
                <wp:positionH relativeFrom="column">
                  <wp:align>left</wp:align>
                </wp:positionH>
                <wp:positionV relativeFrom="line">
                  <wp:align>top</wp:align>
                </wp:positionV>
                <wp:extent cx="127000" cy="350520"/>
                <wp:effectExtent l="0" t="0" r="0" b="0"/>
                <wp:wrapSquare wrapText="right"/>
                <wp:docPr id="126" name="Frame1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applicable, the designation and terms of the securities with which the warrants are issued and the number of warrants issued with each such security or each principal amount of such security; </w:t>
      </w:r>
      <w:r>
        <mc:AlternateContent>
          <mc:Choice Requires="wps">
            <w:drawing>
              <wp:anchor behindDoc="0" distT="73660" distB="0" distL="254000" distR="0" simplePos="0" locked="0" layoutInCell="1" allowOverlap="1" relativeHeight="135">
                <wp:simplePos x="0" y="0"/>
                <wp:positionH relativeFrom="column">
                  <wp:align>left</wp:align>
                </wp:positionH>
                <wp:positionV relativeFrom="line">
                  <wp:align>top</wp:align>
                </wp:positionV>
                <wp:extent cx="127000" cy="350520"/>
                <wp:effectExtent l="0" t="0" r="0" b="0"/>
                <wp:wrapSquare wrapText="right"/>
                <wp:docPr id="127" name="Frame1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applicable, the date on and after which the warrants and the related securities will be separately transferable; </w:t>
      </w:r>
      <w:r>
        <mc:AlternateContent>
          <mc:Choice Requires="wps">
            <w:drawing>
              <wp:anchor behindDoc="0" distT="73660" distB="0" distL="254000" distR="0" simplePos="0" locked="0" layoutInCell="1" allowOverlap="1" relativeHeight="136">
                <wp:simplePos x="0" y="0"/>
                <wp:positionH relativeFrom="column">
                  <wp:align>left</wp:align>
                </wp:positionH>
                <wp:positionV relativeFrom="line">
                  <wp:align>top</wp:align>
                </wp:positionV>
                <wp:extent cx="127000" cy="350520"/>
                <wp:effectExtent l="0" t="0" r="0" b="0"/>
                <wp:wrapSquare wrapText="right"/>
                <wp:docPr id="128" name="Frame1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applicable, the minimum or maximum amount of such warrants which may be exercised at any one time; </w:t>
      </w:r>
      <w:r>
        <mc:AlternateContent>
          <mc:Choice Requires="wps">
            <w:drawing>
              <wp:anchor behindDoc="0" distT="73660" distB="0" distL="254000" distR="0" simplePos="0" locked="0" layoutInCell="1" allowOverlap="1" relativeHeight="137">
                <wp:simplePos x="0" y="0"/>
                <wp:positionH relativeFrom="column">
                  <wp:align>left</wp:align>
                </wp:positionH>
                <wp:positionV relativeFrom="line">
                  <wp:align>top</wp:align>
                </wp:positionV>
                <wp:extent cx="127000" cy="350520"/>
                <wp:effectExtent l="0" t="0" r="0" b="0"/>
                <wp:wrapSquare wrapText="right"/>
                <wp:docPr id="129" name="Frame1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case of warrants to purchase debt securities, the principal amount of debt securities purchasable upon exercise of one warrant and the price at which, and currency in which, this principal amount of debt securities may be purchased upon such exercise; </w:t>
      </w:r>
      <w:r>
        <mc:AlternateContent>
          <mc:Choice Requires="wps">
            <w:drawing>
              <wp:anchor behindDoc="0" distT="73660" distB="0" distL="254000" distR="0" simplePos="0" locked="0" layoutInCell="1" allowOverlap="1" relativeHeight="138">
                <wp:simplePos x="0" y="0"/>
                <wp:positionH relativeFrom="column">
                  <wp:align>left</wp:align>
                </wp:positionH>
                <wp:positionV relativeFrom="line">
                  <wp:align>top</wp:align>
                </wp:positionV>
                <wp:extent cx="127000" cy="350520"/>
                <wp:effectExtent l="0" t="0" r="0" b="0"/>
                <wp:wrapSquare wrapText="right"/>
                <wp:docPr id="130" name="Frame1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case of warrants to purchase common shares or preferred shares, the number of shares of common shares or preferred shares, as the case may be, purchasable upon the exercise of one warrant and the price at which, and the currency in which, these shares may be purchased upon such exercise; </w:t>
      </w:r>
      <w:r>
        <mc:AlternateContent>
          <mc:Choice Requires="wps">
            <w:drawing>
              <wp:anchor behindDoc="0" distT="73660" distB="0" distL="254000" distR="0" simplePos="0" locked="0" layoutInCell="1" allowOverlap="1" relativeHeight="139">
                <wp:simplePos x="0" y="0"/>
                <wp:positionH relativeFrom="column">
                  <wp:align>left</wp:align>
                </wp:positionH>
                <wp:positionV relativeFrom="line">
                  <wp:align>top</wp:align>
                </wp:positionV>
                <wp:extent cx="127000" cy="350520"/>
                <wp:effectExtent l="0" t="0" r="0" b="0"/>
                <wp:wrapSquare wrapText="right"/>
                <wp:docPr id="131" name="Frame1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effect of any arrangement, amalgamation, merger, consolidation, sale or other disposition of our business on the warrant agreements and the warrants; </w:t>
      </w:r>
      <w:r>
        <mc:AlternateContent>
          <mc:Choice Requires="wps">
            <w:drawing>
              <wp:anchor behindDoc="0" distT="73660" distB="0" distL="254000" distR="0" simplePos="0" locked="0" layoutInCell="1" allowOverlap="1" relativeHeight="140">
                <wp:simplePos x="0" y="0"/>
                <wp:positionH relativeFrom="column">
                  <wp:align>left</wp:align>
                </wp:positionH>
                <wp:positionV relativeFrom="line">
                  <wp:align>top</wp:align>
                </wp:positionV>
                <wp:extent cx="127000" cy="350520"/>
                <wp:effectExtent l="0" t="0" r="0" b="0"/>
                <wp:wrapSquare wrapText="right"/>
                <wp:docPr id="132" name="Frame1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terms of any rights to redeem or call the warrants; </w:t>
      </w:r>
      <w:r>
        <mc:AlternateContent>
          <mc:Choice Requires="wps">
            <w:drawing>
              <wp:anchor behindDoc="0" distT="73660" distB="0" distL="254000" distR="0" simplePos="0" locked="0" layoutInCell="1" allowOverlap="1" relativeHeight="141">
                <wp:simplePos x="0" y="0"/>
                <wp:positionH relativeFrom="column">
                  <wp:align>left</wp:align>
                </wp:positionH>
                <wp:positionV relativeFrom="line">
                  <wp:align>top</wp:align>
                </wp:positionV>
                <wp:extent cx="127000" cy="350520"/>
                <wp:effectExtent l="0" t="0" r="0" b="0"/>
                <wp:wrapSquare wrapText="right"/>
                <wp:docPr id="133" name="Frame1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terms of any rights to force the exercise of the warrants; </w:t>
      </w:r>
      <w:r>
        <mc:AlternateContent>
          <mc:Choice Requires="wps">
            <w:drawing>
              <wp:anchor behindDoc="0" distT="73660" distB="0" distL="254000" distR="0" simplePos="0" locked="0" layoutInCell="1" allowOverlap="1" relativeHeight="142">
                <wp:simplePos x="0" y="0"/>
                <wp:positionH relativeFrom="column">
                  <wp:align>left</wp:align>
                </wp:positionH>
                <wp:positionV relativeFrom="line">
                  <wp:align>top</wp:align>
                </wp:positionV>
                <wp:extent cx="127000" cy="350520"/>
                <wp:effectExtent l="0" t="0" r="0" b="0"/>
                <wp:wrapSquare wrapText="right"/>
                <wp:docPr id="134" name="Frame1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4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provisions for changes to or adjustments in the exercise price or number of securities issuable upon exercise of the warrants; </w:t>
      </w:r>
      <w:r>
        <mc:AlternateContent>
          <mc:Choice Requires="wps">
            <w:drawing>
              <wp:anchor behindDoc="0" distT="0" distB="0" distL="254000" distR="0" simplePos="0" locked="0" layoutInCell="1" allowOverlap="1" relativeHeight="143">
                <wp:simplePos x="0" y="0"/>
                <wp:positionH relativeFrom="column">
                  <wp:align>left</wp:align>
                </wp:positionH>
                <wp:positionV relativeFrom="line">
                  <wp:posOffset>635</wp:posOffset>
                </wp:positionV>
                <wp:extent cx="127000" cy="350520"/>
                <wp:effectExtent l="0" t="0" r="0" b="0"/>
                <wp:wrapSquare wrapText="right"/>
                <wp:docPr id="135" name="Frame1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dates on which the right to exercise the warrants will commence and expire; </w:t>
      </w:r>
      <w:r>
        <mc:AlternateContent>
          <mc:Choice Requires="wps">
            <w:drawing>
              <wp:anchor behindDoc="0" distT="76200" distB="0" distL="254000" distR="0" simplePos="0" locked="0" layoutInCell="1" allowOverlap="1" relativeHeight="144">
                <wp:simplePos x="0" y="0"/>
                <wp:positionH relativeFrom="column">
                  <wp:align>left</wp:align>
                </wp:positionH>
                <wp:positionV relativeFrom="line">
                  <wp:align>top</wp:align>
                </wp:positionV>
                <wp:extent cx="127000" cy="350520"/>
                <wp:effectExtent l="0" t="0" r="0" b="0"/>
                <wp:wrapSquare wrapText="right"/>
                <wp:docPr id="136" name="Frame1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manner in which the warrant agreements and warrants may be modified; </w:t>
      </w:r>
      <w:r>
        <mc:AlternateContent>
          <mc:Choice Requires="wps">
            <w:drawing>
              <wp:anchor behindDoc="0" distT="76200" distB="0" distL="254000" distR="0" simplePos="0" locked="0" layoutInCell="1" allowOverlap="1" relativeHeight="145">
                <wp:simplePos x="0" y="0"/>
                <wp:positionH relativeFrom="column">
                  <wp:align>left</wp:align>
                </wp:positionH>
                <wp:positionV relativeFrom="line">
                  <wp:align>top</wp:align>
                </wp:positionV>
                <wp:extent cx="127000" cy="350520"/>
                <wp:effectExtent l="0" t="0" r="0" b="0"/>
                <wp:wrapSquare wrapText="right"/>
                <wp:docPr id="137" name="Frame1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discussion of any material or special U.S. and Canadian federal income tax consequences of holding or exercising the warrants; </w:t>
      </w:r>
      <w:r>
        <mc:AlternateContent>
          <mc:Choice Requires="wps">
            <w:drawing>
              <wp:anchor behindDoc="0" distT="76200" distB="0" distL="254000" distR="0" simplePos="0" locked="0" layoutInCell="1" allowOverlap="1" relativeHeight="146">
                <wp:simplePos x="0" y="0"/>
                <wp:positionH relativeFrom="column">
                  <wp:align>left</wp:align>
                </wp:positionH>
                <wp:positionV relativeFrom="line">
                  <wp:align>top</wp:align>
                </wp:positionV>
                <wp:extent cx="127000" cy="350520"/>
                <wp:effectExtent l="0" t="0" r="0" b="0"/>
                <wp:wrapSquare wrapText="right"/>
                <wp:docPr id="138" name="Frame1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terms of the securities issuable upon exercise of the warrants; and </w:t>
      </w:r>
      <w:r>
        <mc:AlternateContent>
          <mc:Choice Requires="wps">
            <w:drawing>
              <wp:anchor behindDoc="0" distT="76200" distB="0" distL="254000" distR="0" simplePos="0" locked="0" layoutInCell="1" allowOverlap="1" relativeHeight="147">
                <wp:simplePos x="0" y="0"/>
                <wp:positionH relativeFrom="column">
                  <wp:align>left</wp:align>
                </wp:positionH>
                <wp:positionV relativeFrom="line">
                  <wp:align>top</wp:align>
                </wp:positionV>
                <wp:extent cx="127000" cy="350520"/>
                <wp:effectExtent l="0" t="0" r="0" b="0"/>
                <wp:wrapSquare wrapText="right"/>
                <wp:docPr id="139" name="Frame1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specific terms, preferences, rights or limitations of or restrictions on the warrants. </w:t>
      </w:r>
      <w:r>
        <mc:AlternateContent>
          <mc:Choice Requires="wps">
            <w:drawing>
              <wp:anchor behindDoc="0" distT="76200" distB="0" distL="254000" distR="0" simplePos="0" locked="0" layoutInCell="1" allowOverlap="1" relativeHeight="148">
                <wp:simplePos x="0" y="0"/>
                <wp:positionH relativeFrom="column">
                  <wp:align>left</wp:align>
                </wp:positionH>
                <wp:positionV relativeFrom="line">
                  <wp:align>top</wp:align>
                </wp:positionV>
                <wp:extent cx="127000" cy="350520"/>
                <wp:effectExtent l="0" t="0" r="0" b="0"/>
                <wp:wrapSquare wrapText="right"/>
                <wp:docPr id="140" name="Frame1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Before exercising their warrants, holders of warrants will not have any of the rights of holders of the securities purchasable upon such exercise, including: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case of warrants to purchase debt securities, the right to receive payments of principal of, or premium, if any, or interest on, the debt securities purchasable upon exercise or to enforce covenants in the applicable indenture; or </w:t>
      </w:r>
      <w:r>
        <mc:AlternateContent>
          <mc:Choice Requires="wps">
            <w:drawing>
              <wp:anchor behindDoc="0" distT="76200" distB="0" distL="254000" distR="0" simplePos="0" locked="0" layoutInCell="1" allowOverlap="1" relativeHeight="149">
                <wp:simplePos x="0" y="0"/>
                <wp:positionH relativeFrom="column">
                  <wp:align>left</wp:align>
                </wp:positionH>
                <wp:positionV relativeFrom="line">
                  <wp:align>top</wp:align>
                </wp:positionV>
                <wp:extent cx="127000" cy="350520"/>
                <wp:effectExtent l="0" t="0" r="0" b="0"/>
                <wp:wrapSquare wrapText="right"/>
                <wp:docPr id="141" name="Frame1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case of warrants to purchase common shares or preferred shares, the right to receive dividends, if any, or, payments upon our liquidation, dissolution or winding-up or to exercise voting rights, if any. </w:t>
      </w:r>
      <w:r>
        <mc:AlternateContent>
          <mc:Choice Requires="wps">
            <w:drawing>
              <wp:anchor behindDoc="0" distT="76200" distB="0" distL="254000" distR="0" simplePos="0" locked="0" layoutInCell="1" allowOverlap="1" relativeHeight="150">
                <wp:simplePos x="0" y="0"/>
                <wp:positionH relativeFrom="column">
                  <wp:align>left</wp:align>
                </wp:positionH>
                <wp:positionV relativeFrom="line">
                  <wp:align>top</wp:align>
                </wp:positionV>
                <wp:extent cx="127000" cy="350520"/>
                <wp:effectExtent l="0" t="0" r="0" b="0"/>
                <wp:wrapSquare wrapText="right"/>
                <wp:docPr id="142" name="Frame1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Exercise of Warrants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warrant will entitle the holder to purchase the securities that we specify in the applicable prospectus supplement at the exercise price that we describe in the applicable prospectus supplement. Unless we otherwise specify in the applicable prospectus supplement, holders of the warrants may exercise the warrants at any time up to the specified time on the expiration date that we set forth in the applicable prospectus supplement. After the close of business on the expiration date, unexercised warrants will become void.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we otherwise specify in the applicable prospectus supplement, holders of the warrants may exercise the warrants by delivering the warrant certificate representing the warrants to be exercised together with specified information, and paying the required amount to the warrant agent in immediately available funds, as provided in the applicable prospectus supplement. We will set forth on the reverse side of the warrant certificate and in the applicable prospectus supplement the information that the holder of the warrant will be required to deliver to the warrant agent in connection with the exercise of the warrant.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receipt of the required payment and the warrant certificate properly completed and duly executed at the corporate trust office of the warrant agent or any other office indicated in the applicable prospectus supplement, we will issue and deliver the securities purchasable upon such exercise. If fewer than all of the warrants represented by the warrant certificate are exercised, then we will issue a new warrant certificate for the remaining amount of warrants. If we so indicate in the applicable prospectus supplement, holders of the warrants may surrender securities as all or part of the exercise price for warrants.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Governing Law</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we provide otherwise in the applicable prospectus supplement, the warrants and warrant agreements, and any claim, controversy or dispute arising under or related to the warrants or warrant agreements, will be governed by and construed in accordance with the laws of the State of New York, or, generally, with respect to, among other things, corporate law operations, in which case the QBCA may be applicable.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240"/>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Enforceability of Rights by Holders of Warrants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Each warrant agent will act solely as our agent under the applicable warrant agreement and will not assume any obligation or relationship of agency or trust with any holder of any warrant. A single bank or trust company may act as warrant agent for more than one issue of warrants. A warrant agent will have no duty or responsibility in case of any default by us under the applicable warrant agreement or warrant, including any duty or responsibility to initiate any proceedings at law or otherwise, or to make any demand upon us. Any holder of a warrant may, without the consent of the related warrant agent or the holder of any other warrant, enforce by appropriate legal action its right to exercise, and receive the securities purchasable upon exercise of, its warrants.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 w:name="tMDBT"/>
      <w:bookmarkEnd w:id="1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MATERIAL DIFFERENCES BETWEEN THE BUSINESS CORPORATIONS ACT (QUÉBEC) AND THE DELAWARE GENERAL CORPORATION LAW</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governed by the QBCA, which is generally similar to laws applicable to U.S. corporations. Significant differences between the QBCA and the Delaware General Corporation Law, or DGCL, which governs companies incorporated in the State of Delaware, include the differences summarized below. This summary is not an exhaustive review of the two statutes, and reference should be made to the full text of both statutes for particulars of the differences. </w:t>
      </w:r>
    </w:p>
    <w:tbl>
      <w:tblPr>
        <w:tblW w:w="8812" w:type="dxa"/>
        <w:jc w:val="left"/>
        <w:tblInd w:w="1393" w:type="dxa"/>
        <w:tblLayout w:type="fixed"/>
        <w:tblCellMar>
          <w:top w:w="0" w:type="dxa"/>
          <w:left w:w="0" w:type="dxa"/>
          <w:bottom w:w="28" w:type="dxa"/>
          <w:right w:w="0" w:type="dxa"/>
        </w:tblCellMar>
      </w:tblPr>
      <w:tblGrid>
        <w:gridCol w:w="1064"/>
        <w:gridCol w:w="109"/>
        <w:gridCol w:w="109"/>
        <w:gridCol w:w="3770"/>
        <w:gridCol w:w="109"/>
        <w:gridCol w:w="109"/>
        <w:gridCol w:w="3386"/>
        <w:gridCol w:w="156"/>
      </w:tblGrid>
      <w:tr>
        <w:trPr/>
        <w:tc>
          <w:tcPr>
            <w:tcW w:w="106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770"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Delaware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386"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QBCA </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1064" w:type="dxa"/>
            <w:tcBorders/>
            <w:tcMar>
              <w:bottom w:w="0" w:type="dxa"/>
            </w:tcMar>
            <w:vAlign w:val="center"/>
          </w:tcPr>
          <w:p>
            <w:pPr>
              <w:pStyle w:val="TableContents"/>
              <w:bidi w:val="0"/>
              <w:spacing w:before="0" w:after="0"/>
              <w:jc w:val="left"/>
              <w:rPr>
                <w:b/>
                <w:i/>
              </w:rPr>
            </w:pPr>
            <w:r>
              <w:rPr>
                <w:b/>
                <w:i/>
                <w:spacing w:val="-4"/>
              </w:rPr>
              <w:t>Number and Election of Directors</w:t>
            </w:r>
            <w:r>
              <w:rPr>
                <w:b/>
                <w:i/>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770" w:type="dxa"/>
            <w:tcBorders/>
            <w:tcMar>
              <w:bottom w:w="0" w:type="dxa"/>
            </w:tcMar>
            <w:vAlign w:val="center"/>
          </w:tcPr>
          <w:p>
            <w:pPr>
              <w:pStyle w:val="TableContents"/>
              <w:bidi w:val="0"/>
              <w:spacing w:before="0" w:after="283"/>
              <w:jc w:val="left"/>
              <w:rPr>
                <w:spacing w:val="4"/>
              </w:rPr>
            </w:pPr>
            <w:r>
              <w:rPr>
                <w:spacing w:val="4"/>
              </w:rPr>
              <w:t xml:space="preserve">Under the DGCL, the board of directors must consist of at least one director. The number of directors shall be fixed by the bylaws of the corporation, unless the certificate of incorporation fixes the number of directors, in which case a change in the number of directors shall only be made by an amendment of the certificate of incorporation. Under the DGCL, directors are elected at annual stockholder meetings by plurality vote of the stockholders, unless a shareholder — adopted bylaw prescribes a different required vote.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86" w:type="dxa"/>
            <w:tcBorders/>
            <w:tcMar>
              <w:bottom w:w="0" w:type="dxa"/>
            </w:tcMar>
            <w:vAlign w:val="center"/>
          </w:tcPr>
          <w:p>
            <w:pPr>
              <w:pStyle w:val="TableContents"/>
              <w:bidi w:val="0"/>
              <w:spacing w:before="0" w:after="283"/>
              <w:jc w:val="left"/>
              <w:rPr>
                <w:spacing w:val="4"/>
              </w:rPr>
            </w:pPr>
            <w:r>
              <w:rPr>
                <w:spacing w:val="4"/>
              </w:rPr>
              <w:t xml:space="preserve">Under the QBCA, the board of directors of a corporation must consist of at least three members, at least two of whom must not be officers or employees of the corporation or an affiliate of the corporation, so long as the corporation remains a “reporting issuer” for purposes of the QBCA, which includes a corporation that has made a distribution of securities to the public. Under the QBCA, directors are elected by the shareholders, in the manner and for the term, not exceeding three years, set out in the corporation’s bylaws. Our bylaws provide that our directors are elected at each annual meeting of shareholders at which such an election is required. </w:t>
            </w:r>
          </w:p>
        </w:tc>
        <w:tc>
          <w:tcPr>
            <w:tcW w:w="156" w:type="dxa"/>
            <w:tcBorders/>
            <w:tcMar>
              <w:bottom w:w="0" w:type="dxa"/>
            </w:tcMar>
            <w:vAlign w:val="center"/>
          </w:tcPr>
          <w:p>
            <w:pPr>
              <w:pStyle w:val="TableContents"/>
              <w:bidi w:val="0"/>
              <w:spacing w:before="0" w:after="283"/>
              <w:jc w:val="left"/>
              <w:rPr/>
            </w:pPr>
            <w:r>
              <w:rPr/>
              <w:t>​</w:t>
            </w:r>
          </w:p>
        </w:tc>
      </w:tr>
      <w:tr>
        <w:trPr/>
        <w:tc>
          <w:tcPr>
            <w:tcW w:w="1064" w:type="dxa"/>
            <w:tcBorders/>
            <w:tcMar>
              <w:bottom w:w="0" w:type="dxa"/>
            </w:tcMar>
            <w:vAlign w:val="center"/>
          </w:tcPr>
          <w:p>
            <w:pPr>
              <w:pStyle w:val="TableContents"/>
              <w:bidi w:val="0"/>
              <w:spacing w:before="0" w:after="0"/>
              <w:jc w:val="left"/>
              <w:rPr>
                <w:b/>
                <w:i/>
              </w:rPr>
            </w:pPr>
            <w:r>
              <w:rPr>
                <w:b/>
                <w:i/>
                <w:spacing w:val="-4"/>
              </w:rPr>
              <w:t>Removal of Directors</w:t>
            </w:r>
            <w:r>
              <w:rPr>
                <w:b/>
                <w:i/>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770" w:type="dxa"/>
            <w:tcBorders/>
            <w:tcMar>
              <w:bottom w:w="0" w:type="dxa"/>
            </w:tcMar>
            <w:vAlign w:val="center"/>
          </w:tcPr>
          <w:p>
            <w:pPr>
              <w:pStyle w:val="TableContents"/>
              <w:bidi w:val="0"/>
              <w:spacing w:before="0" w:after="283"/>
              <w:jc w:val="left"/>
              <w:rPr>
                <w:spacing w:val="4"/>
              </w:rPr>
            </w:pPr>
            <w:r>
              <w:rPr>
                <w:spacing w:val="4"/>
              </w:rPr>
              <w:t xml:space="preserve">Under the DGCL, any director or the entire board of directors may be removed, with or without cause, by the holders of a majority of the shares then entitled to vote at an election of directors, except (i) unless the certificate of incorporation provides otherwise, in the case of a corporation whose board of directors is classified, stockholders may effect such removal only for cause, or (ii) in the case of a corporation having cumulative voting, if less than the entire board of directors is to be removed, no director may be removed without cause if the votes cast against his removal would be sufficient to elect him if then cumulatively voted at an election of the entire board of directors, or, if there are classes of directors, at an election of the class of directors of which he is a part.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86" w:type="dxa"/>
            <w:tcBorders/>
            <w:tcMar>
              <w:bottom w:w="0" w:type="dxa"/>
            </w:tcMar>
            <w:vAlign w:val="center"/>
          </w:tcPr>
          <w:p>
            <w:pPr>
              <w:pStyle w:val="TableContents"/>
              <w:bidi w:val="0"/>
              <w:spacing w:before="0" w:after="283"/>
              <w:jc w:val="left"/>
              <w:rPr>
                <w:spacing w:val="4"/>
              </w:rPr>
            </w:pPr>
            <w:r>
              <w:rPr>
                <w:spacing w:val="4"/>
              </w:rPr>
              <w:t xml:space="preserve">Under the QBCA, unless the articles of a corporation provide for cumulative voting (which is not the case for us), shareholders of the corporation may, by resolution passed by a majority of the vote cast thereon at a special meeting of shareholders, remove any or all directors from office and may elect any qualified person to fill the resulting vacancy. </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1526"/>
        <w:gridCol w:w="109"/>
        <w:gridCol w:w="109"/>
        <w:gridCol w:w="3156"/>
        <w:gridCol w:w="109"/>
        <w:gridCol w:w="109"/>
        <w:gridCol w:w="3538"/>
        <w:gridCol w:w="156"/>
      </w:tblGrid>
      <w:tr>
        <w:trPr/>
        <w:tc>
          <w:tcPr>
            <w:tcW w:w="152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156"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Delaware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538"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QBCA </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1526" w:type="dxa"/>
            <w:tcBorders/>
            <w:tcMar>
              <w:bottom w:w="0" w:type="dxa"/>
            </w:tcMar>
            <w:vAlign w:val="center"/>
          </w:tcPr>
          <w:p>
            <w:pPr>
              <w:pStyle w:val="TableContents"/>
              <w:bidi w:val="0"/>
              <w:spacing w:before="0" w:after="0"/>
              <w:jc w:val="left"/>
              <w:rPr>
                <w:b/>
                <w:i/>
              </w:rPr>
            </w:pPr>
            <w:r>
              <w:rPr>
                <w:b/>
                <w:i/>
                <w:spacing w:val="-4"/>
              </w:rPr>
              <w:t>Vacancies on the Board of Directors</w:t>
            </w:r>
            <w:r>
              <w:rPr>
                <w:b/>
                <w:i/>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56" w:type="dxa"/>
            <w:tcBorders/>
            <w:tcMar>
              <w:bottom w:w="0" w:type="dxa"/>
            </w:tcMar>
            <w:vAlign w:val="center"/>
          </w:tcPr>
          <w:p>
            <w:pPr>
              <w:pStyle w:val="TableContents"/>
              <w:bidi w:val="0"/>
              <w:spacing w:before="0" w:after="283"/>
              <w:jc w:val="left"/>
              <w:rPr>
                <w:spacing w:val="4"/>
              </w:rPr>
            </w:pPr>
            <w:r>
              <w:rPr>
                <w:spacing w:val="4"/>
              </w:rPr>
              <w:t xml:space="preserve">Under the DGCL, vacancies and newly created directorships may be filled by a majority of the directors then in office (even though less than a quorum) or by a sole remaining director unless (i) otherwise provided in the certificate of incorporation or bylaws of the corporation or (ii) the certificate of incorporation directs that a particular class of stock is to elect such director, in which case a majority of the other directors elected by such class, or a sole remaining director elected by such class, will fill such vacancy.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538" w:type="dxa"/>
            <w:tcBorders/>
            <w:tcMar>
              <w:bottom w:w="0" w:type="dxa"/>
            </w:tcMar>
            <w:vAlign w:val="center"/>
          </w:tcPr>
          <w:p>
            <w:pPr>
              <w:pStyle w:val="TableContents"/>
              <w:bidi w:val="0"/>
              <w:spacing w:before="0" w:after="283"/>
              <w:jc w:val="left"/>
              <w:rPr>
                <w:spacing w:val="4"/>
              </w:rPr>
            </w:pPr>
            <w:r>
              <w:rPr>
                <w:spacing w:val="4"/>
              </w:rPr>
              <w:t xml:space="preserve">Under the QBCA, vacancies that exist on the board of directors may generally be filled by the board if the remaining directors constitute a quorum. In the absence of a quorum, the remaining directors shall call a meeting of shareholders to fill the vacancy. If the directors refuse or fail to call a meeting or if there are no directors then in office, the meeting may be called by any shareholder. </w:t>
            </w:r>
          </w:p>
        </w:tc>
        <w:tc>
          <w:tcPr>
            <w:tcW w:w="156" w:type="dxa"/>
            <w:tcBorders/>
            <w:tcMar>
              <w:bottom w:w="0" w:type="dxa"/>
            </w:tcMar>
            <w:vAlign w:val="center"/>
          </w:tcPr>
          <w:p>
            <w:pPr>
              <w:pStyle w:val="TableContents"/>
              <w:bidi w:val="0"/>
              <w:spacing w:before="0" w:after="283"/>
              <w:jc w:val="left"/>
              <w:rPr/>
            </w:pPr>
            <w:r>
              <w:rPr/>
              <w:t>​</w:t>
            </w:r>
          </w:p>
        </w:tc>
      </w:tr>
      <w:tr>
        <w:trPr/>
        <w:tc>
          <w:tcPr>
            <w:tcW w:w="1526" w:type="dxa"/>
            <w:tcBorders/>
            <w:tcMar>
              <w:bottom w:w="0" w:type="dxa"/>
            </w:tcMar>
            <w:vAlign w:val="center"/>
          </w:tcPr>
          <w:p>
            <w:pPr>
              <w:pStyle w:val="TableContents"/>
              <w:bidi w:val="0"/>
              <w:spacing w:before="0" w:after="0"/>
              <w:jc w:val="left"/>
              <w:rPr>
                <w:b/>
                <w:i/>
              </w:rPr>
            </w:pPr>
            <w:r>
              <w:rPr>
                <w:b/>
                <w:i/>
                <w:spacing w:val="-4"/>
              </w:rPr>
              <w:t>Board of Director Quorum and Vote Requirements</w:t>
            </w:r>
            <w:r>
              <w:rPr>
                <w:b/>
                <w:i/>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56" w:type="dxa"/>
            <w:tcBorders/>
            <w:tcMar>
              <w:bottom w:w="0" w:type="dxa"/>
            </w:tcMar>
            <w:vAlign w:val="center"/>
          </w:tcPr>
          <w:p>
            <w:pPr>
              <w:pStyle w:val="TableContents"/>
              <w:bidi w:val="0"/>
              <w:spacing w:before="0" w:after="0"/>
              <w:jc w:val="left"/>
              <w:rPr/>
            </w:pPr>
            <w:r>
              <w:rPr>
                <w:spacing w:val="4"/>
              </w:rPr>
              <w:t>Under the DGCL, a majority of the total number of directors shall constitute a quorum for the transaction of business unless the certificate of incorporation or bylaws require a greater number. The bylaws may lower the number required for a quorum to one-third the number of directors, but no less.</w:t>
            </w:r>
            <w:r>
              <w:rPr/>
              <w:t xml:space="preserve"> </w:t>
            </w:r>
          </w:p>
          <w:p>
            <w:pPr>
              <w:pStyle w:val="TableContents"/>
              <w:bidi w:val="0"/>
              <w:spacing w:before="120" w:after="283"/>
              <w:jc w:val="left"/>
              <w:rPr>
                <w:spacing w:val="4"/>
              </w:rPr>
            </w:pPr>
            <w:r>
              <w:rPr>
                <w:spacing w:val="4"/>
              </w:rPr>
              <w:t xml:space="preserve">Under the DGCL, the board of directors may take action by the majority vote of the directors present at a meeting at which a quorum is present unless the certificate of incorporation or bylaws require a greater vote.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538" w:type="dxa"/>
            <w:tcBorders/>
            <w:tcMar>
              <w:bottom w:w="0" w:type="dxa"/>
            </w:tcMar>
            <w:vAlign w:val="center"/>
          </w:tcPr>
          <w:p>
            <w:pPr>
              <w:pStyle w:val="TableContents"/>
              <w:bidi w:val="0"/>
              <w:spacing w:before="0" w:after="0"/>
              <w:jc w:val="left"/>
              <w:rPr/>
            </w:pPr>
            <w:r>
              <w:rPr>
                <w:spacing w:val="4"/>
              </w:rPr>
              <w:t>Under the QBCA, subject to the corporation’s bylaws, a majority of the directors in office constitutes a quorum at any meeting of the board. Our bylaws also provide that a majority of the directors in office constitutes a quorum at any meeting of the board.</w:t>
            </w:r>
            <w:r>
              <w:rPr/>
              <w:t xml:space="preserve"> </w:t>
            </w:r>
          </w:p>
          <w:p>
            <w:pPr>
              <w:pStyle w:val="TableContents"/>
              <w:bidi w:val="0"/>
              <w:spacing w:before="120" w:after="283"/>
              <w:jc w:val="left"/>
              <w:rPr>
                <w:spacing w:val="4"/>
              </w:rPr>
            </w:pPr>
            <w:r>
              <w:rPr>
                <w:spacing w:val="4"/>
              </w:rPr>
              <w:t xml:space="preserve">Under the QBCA, a quorum of directors may exercise all the powers of the directors despite any vacancy on the board. </w:t>
            </w:r>
          </w:p>
        </w:tc>
        <w:tc>
          <w:tcPr>
            <w:tcW w:w="156" w:type="dxa"/>
            <w:tcBorders/>
            <w:tcMar>
              <w:bottom w:w="0" w:type="dxa"/>
            </w:tcMar>
            <w:vAlign w:val="center"/>
          </w:tcPr>
          <w:p>
            <w:pPr>
              <w:pStyle w:val="TableContents"/>
              <w:bidi w:val="0"/>
              <w:spacing w:before="0" w:after="283"/>
              <w:jc w:val="left"/>
              <w:rPr/>
            </w:pPr>
            <w:r>
              <w:rPr/>
              <w:t>​</w:t>
            </w:r>
          </w:p>
        </w:tc>
      </w:tr>
      <w:tr>
        <w:trPr/>
        <w:tc>
          <w:tcPr>
            <w:tcW w:w="1526" w:type="dxa"/>
            <w:tcBorders/>
            <w:tcMar>
              <w:bottom w:w="0" w:type="dxa"/>
            </w:tcMar>
            <w:vAlign w:val="center"/>
          </w:tcPr>
          <w:p>
            <w:pPr>
              <w:pStyle w:val="TableContents"/>
              <w:bidi w:val="0"/>
              <w:spacing w:before="0" w:after="0"/>
              <w:jc w:val="left"/>
              <w:rPr>
                <w:b/>
                <w:i/>
              </w:rPr>
            </w:pPr>
            <w:r>
              <w:rPr>
                <w:b/>
                <w:i/>
                <w:spacing w:val="-4"/>
              </w:rPr>
              <w:t>Transactions with Directors and Officers</w:t>
            </w:r>
            <w:r>
              <w:rPr>
                <w:b/>
                <w:i/>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56" w:type="dxa"/>
            <w:tcBorders/>
            <w:tcMar>
              <w:bottom w:w="0" w:type="dxa"/>
            </w:tcMar>
            <w:vAlign w:val="center"/>
          </w:tcPr>
          <w:p>
            <w:pPr>
              <w:pStyle w:val="TableContents"/>
              <w:bidi w:val="0"/>
              <w:spacing w:before="0" w:after="283"/>
              <w:jc w:val="left"/>
              <w:rPr>
                <w:spacing w:val="4"/>
              </w:rPr>
            </w:pPr>
            <w:r>
              <w:rPr>
                <w:spacing w:val="4"/>
              </w:rPr>
              <w:t xml:space="preserve">The DGCL generally provides that no transaction between a corporation and one or more of its directors or officers, or between a corporation and any other corporation or other organization in which one or more of its directors or officers, are directors or officers, or have a financial interest, shall be void or voidable solely for this reason, or solely because the director or officer is present at or participates in the meeting of the board or committee which authorizes the transaction, or solely because any such director’s or officer’s votes are counted for such purpose, if (i) the material facts as to the director’s or officer’s interest and as to the transaction are known to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538" w:type="dxa"/>
            <w:tcBorders/>
            <w:tcMar>
              <w:bottom w:w="0" w:type="dxa"/>
            </w:tcMar>
            <w:vAlign w:val="center"/>
          </w:tcPr>
          <w:p>
            <w:pPr>
              <w:pStyle w:val="TableContents"/>
              <w:bidi w:val="0"/>
              <w:spacing w:before="0" w:after="283"/>
              <w:jc w:val="left"/>
              <w:rPr>
                <w:spacing w:val="4"/>
              </w:rPr>
            </w:pPr>
            <w:r>
              <w:rPr>
                <w:spacing w:val="4"/>
              </w:rPr>
              <w:t xml:space="preserve">Under the QBCA, every director or officer of a corporation must disclose the nature and value of any interest he or she has in a contract or transaction to which the corporation is a party. For the purposes of this rule, “interest” means any financial stake in a contract or transaction that may reasonably be considered likely to influence decision-making. Furthermore, a proposed contract or a proposed transaction, including related negotiations, is considered a contract or transaction. In addition, a director or an officer must disclose any contract or transaction to which the corporation and any of the following are a party: (i) an associate of the director or officer; (ii) a group </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124"/>
        <w:gridCol w:w="109"/>
        <w:gridCol w:w="109"/>
        <w:gridCol w:w="3480"/>
        <w:gridCol w:w="109"/>
        <w:gridCol w:w="109"/>
        <w:gridCol w:w="4617"/>
        <w:gridCol w:w="155"/>
      </w:tblGrid>
      <w:tr>
        <w:trPr/>
        <w:tc>
          <w:tcPr>
            <w:tcW w:w="12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480"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Delaware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4617"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QBCA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480" w:type="dxa"/>
            <w:tcBorders/>
            <w:tcMar>
              <w:bottom w:w="0" w:type="dxa"/>
            </w:tcMar>
            <w:vAlign w:val="center"/>
          </w:tcPr>
          <w:p>
            <w:pPr>
              <w:pStyle w:val="TableContents"/>
              <w:bidi w:val="0"/>
              <w:spacing w:before="0" w:after="283"/>
              <w:jc w:val="left"/>
              <w:rPr>
                <w:spacing w:val="4"/>
              </w:rPr>
            </w:pPr>
            <w:r>
              <w:rPr>
                <w:spacing w:val="4"/>
              </w:rPr>
              <w:t xml:space="preserve">the board of directors or the committee, and the board or committee in good faith authorizes the transaction by the affirmative votes of a majority of the disinterested directors, even though the disinterested directors be less than a quorum (ii) the material facts as to the director’s or officer’s interest and as to the transaction are disclosed or are known to the stockholders entitled to vote thereon, and the transaction is specifically approved in good faith by vote of the stockholders; or (iii) the transaction is fair as to the corporation as of the time it is authorized, approved or ratified, by the board of directors, a committee or the stockholders.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617" w:type="dxa"/>
            <w:tcBorders/>
            <w:tcMar>
              <w:bottom w:w="0" w:type="dxa"/>
            </w:tcMar>
            <w:vAlign w:val="center"/>
          </w:tcPr>
          <w:p>
            <w:pPr>
              <w:pStyle w:val="TableContents"/>
              <w:bidi w:val="0"/>
              <w:spacing w:before="0" w:after="0"/>
              <w:jc w:val="left"/>
              <w:rPr/>
            </w:pPr>
            <w:r>
              <w:rPr>
                <w:spacing w:val="4"/>
              </w:rPr>
              <w:t>of which the director or officer is a director or officer; or (iii) a group in which the director or officer or an associate of the director or officer has an interest. Such disclosure is required even for a contract or transaction that does not require approval by the board of directors. If a director is required to disclose his or her interest in a contract or transaction, such director is not allowed to vote on any resolution to approve, amend or terminate the contract or transaction or be present during deliberations concerning the approval, amendment or termination of such contract or transaction, unless the contract or transaction (i) relates primarily to the remuneration of the director or an associate of the director as a director, officer, employee or mandatory of the corporation or an affiliate of the corporation, (ii) is for indemnity or liability insurance under the QBCA, or (iii) is with an affiliate of the corporation, and the sole interest of the director is as a director or officer of the affiliate.</w:t>
            </w:r>
            <w:r>
              <w:rPr/>
              <w:t xml:space="preserve"> </w:t>
            </w:r>
          </w:p>
          <w:p>
            <w:pPr>
              <w:pStyle w:val="TableContents"/>
              <w:bidi w:val="0"/>
              <w:spacing w:before="120" w:after="283"/>
              <w:jc w:val="left"/>
              <w:rPr>
                <w:spacing w:val="4"/>
              </w:rPr>
            </w:pPr>
            <w:r>
              <w:rPr>
                <w:spacing w:val="4"/>
              </w:rPr>
              <w:t xml:space="preserve">If a director or officer does not disclose his or her interest in accordance with the QBCA, or (in the case of a director) votes in respect of a resolution on a contract or transaction in which he or she is interested contrary to the QBCA, the corporation or a shareholder may ask the court to declare the contract or transaction null and to require the director or officer to account to the corporation for any profit or gain realized on it by the director or officer or the associates of the director or officer, and to remit the profit or gain to the corporation, according to the conditions the court considers appropriate. However, the contract or transaction may not be declared null if it was approved by the board of directors and the contract or transaction was in the interest of the corporation when it was approved,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1715"/>
        <w:gridCol w:w="109"/>
        <w:gridCol w:w="109"/>
        <w:gridCol w:w="2672"/>
        <w:gridCol w:w="109"/>
        <w:gridCol w:w="109"/>
        <w:gridCol w:w="3833"/>
        <w:gridCol w:w="156"/>
      </w:tblGrid>
      <w:tr>
        <w:trPr/>
        <w:tc>
          <w:tcPr>
            <w:tcW w:w="1715"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672"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Delaware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833"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QBCA </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17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67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833" w:type="dxa"/>
            <w:tcBorders/>
            <w:tcMar>
              <w:bottom w:w="0" w:type="dxa"/>
            </w:tcMar>
            <w:vAlign w:val="center"/>
          </w:tcPr>
          <w:p>
            <w:pPr>
              <w:pStyle w:val="TableContents"/>
              <w:bidi w:val="0"/>
              <w:spacing w:before="0" w:after="283"/>
              <w:jc w:val="left"/>
              <w:rPr>
                <w:spacing w:val="4"/>
              </w:rPr>
            </w:pPr>
            <w:r>
              <w:rPr>
                <w:spacing w:val="4"/>
              </w:rPr>
              <w:t xml:space="preserve">nor may the director or officer concerned, in such a case, be required to account for any profit or gain realized or to remit the profit or gain to the corporation. In addition, the contract or transaction may not be declared null if it was approved by ordinary resolution by the shareholders entitled to vote who do not have an interest in the contract or transaction, the required disclosure was made to the shareholders in a sufficiently clear manner and the contract or transaction was in the best interests of the corporation when it was approved, and if the director or officer acted honestly and in good faith, he or she may not be required to account for the profit or gain realized and to remit the profit or gain to the corporation. </w:t>
            </w:r>
          </w:p>
        </w:tc>
        <w:tc>
          <w:tcPr>
            <w:tcW w:w="156" w:type="dxa"/>
            <w:tcBorders/>
            <w:tcMar>
              <w:bottom w:w="0" w:type="dxa"/>
            </w:tcMar>
            <w:vAlign w:val="center"/>
          </w:tcPr>
          <w:p>
            <w:pPr>
              <w:pStyle w:val="TableContents"/>
              <w:bidi w:val="0"/>
              <w:spacing w:before="0" w:after="283"/>
              <w:jc w:val="left"/>
              <w:rPr/>
            </w:pPr>
            <w:r>
              <w:rPr/>
              <w:t>​</w:t>
            </w:r>
          </w:p>
        </w:tc>
      </w:tr>
      <w:tr>
        <w:trPr/>
        <w:tc>
          <w:tcPr>
            <w:tcW w:w="1715" w:type="dxa"/>
            <w:tcBorders/>
            <w:tcMar>
              <w:bottom w:w="0" w:type="dxa"/>
            </w:tcMar>
            <w:vAlign w:val="center"/>
          </w:tcPr>
          <w:p>
            <w:pPr>
              <w:pStyle w:val="TableContents"/>
              <w:bidi w:val="0"/>
              <w:spacing w:before="0" w:after="0"/>
              <w:jc w:val="left"/>
              <w:rPr>
                <w:b/>
                <w:i/>
              </w:rPr>
            </w:pPr>
            <w:r>
              <w:rPr>
                <w:b/>
                <w:i/>
                <w:spacing w:val="-4"/>
              </w:rPr>
              <w:t>Limitation on Liability of Directors</w:t>
            </w:r>
            <w:r>
              <w:rPr>
                <w:b/>
                <w:i/>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672" w:type="dxa"/>
            <w:tcBorders/>
            <w:tcMar>
              <w:bottom w:w="0" w:type="dxa"/>
            </w:tcMar>
            <w:vAlign w:val="center"/>
          </w:tcPr>
          <w:p>
            <w:pPr>
              <w:pStyle w:val="TableContents"/>
              <w:bidi w:val="0"/>
              <w:spacing w:before="0" w:after="0"/>
              <w:jc w:val="left"/>
              <w:rPr/>
            </w:pPr>
            <w:r>
              <w:rPr>
                <w:spacing w:val="4"/>
              </w:rPr>
              <w:t>Under the DGCL, a corporation’s certificate of incorporation may include a provision eliminating or limiting the personal liability of a director to the corporation and its stockholders for damages arising from a breach of fiduciary duty as a director. However, no provision can limit the liability of a director for:</w:t>
            </w:r>
            <w:r>
              <w:rPr/>
              <w:t xml:space="preserve"> </w:t>
            </w:r>
          </w:p>
          <w:p>
            <w:pPr>
              <w:pStyle w:val="TableContents"/>
              <w:bidi w:val="0"/>
              <w:spacing w:lineRule="atLeast" w:line="240" w:before="160" w:after="0"/>
              <w:ind w:left="400" w:right="0" w:hanging="0"/>
              <w:jc w:val="left"/>
              <w:rPr/>
            </w:pPr>
            <w:r>
              <w:rPr>
                <w:spacing w:val="4"/>
              </w:rPr>
              <w:t>breach of the director’s duty of loyalty to the corporation or its stockholders;</w:t>
            </w:r>
            <w:r>
              <w:rPr/>
              <w:t xml:space="preserve"> </w:t>
            </w:r>
            <w:r>
              <mc:AlternateContent>
                <mc:Choice Requires="wps">
                  <w:drawing>
                    <wp:anchor behindDoc="0" distT="101600" distB="0" distL="127000" distR="0" simplePos="0" locked="0" layoutInCell="1" allowOverlap="1" relativeHeight="151">
                      <wp:simplePos x="0" y="0"/>
                      <wp:positionH relativeFrom="column">
                        <wp:align>left</wp:align>
                      </wp:positionH>
                      <wp:positionV relativeFrom="line">
                        <wp:align>top</wp:align>
                      </wp:positionV>
                      <wp:extent cx="127000" cy="350520"/>
                      <wp:effectExtent l="0" t="0" r="0" b="0"/>
                      <wp:wrapSquare wrapText="right"/>
                      <wp:docPr id="143" name="Frame1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400" w:right="0" w:hanging="0"/>
              <w:jc w:val="left"/>
              <w:rPr/>
            </w:pPr>
            <w:r>
              <w:rPr>
                <w:spacing w:val="4"/>
              </w:rPr>
              <w:t>acts or omissions not in good faith or which involve intentional misconduct or a knowing violation of the law;</w:t>
            </w:r>
            <w:r>
              <w:rPr/>
              <w:t xml:space="preserve"> </w:t>
            </w:r>
            <w:r>
              <mc:AlternateContent>
                <mc:Choice Requires="wps">
                  <w:drawing>
                    <wp:anchor behindDoc="0" distT="101600" distB="0" distL="127000" distR="0" simplePos="0" locked="0" layoutInCell="1" allowOverlap="1" relativeHeight="152">
                      <wp:simplePos x="0" y="0"/>
                      <wp:positionH relativeFrom="column">
                        <wp:align>left</wp:align>
                      </wp:positionH>
                      <wp:positionV relativeFrom="line">
                        <wp:align>top</wp:align>
                      </wp:positionV>
                      <wp:extent cx="127000" cy="350520"/>
                      <wp:effectExtent l="0" t="0" r="0" b="0"/>
                      <wp:wrapSquare wrapText="right"/>
                      <wp:docPr id="144" name="Frame1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400" w:right="0" w:hanging="0"/>
              <w:jc w:val="left"/>
              <w:rPr/>
            </w:pPr>
            <w:r>
              <w:rPr>
                <w:spacing w:val="4"/>
              </w:rPr>
              <w:t>intentional or negligent payment of unlawful dividends or stock purchases or redemptions; or</w:t>
            </w:r>
            <w:r>
              <w:rPr/>
              <w:t xml:space="preserve"> </w:t>
            </w:r>
            <w:r>
              <mc:AlternateContent>
                <mc:Choice Requires="wps">
                  <w:drawing>
                    <wp:anchor behindDoc="0" distT="101600" distB="0" distL="127000" distR="0" simplePos="0" locked="0" layoutInCell="1" allowOverlap="1" relativeHeight="153">
                      <wp:simplePos x="0" y="0"/>
                      <wp:positionH relativeFrom="column">
                        <wp:align>left</wp:align>
                      </wp:positionH>
                      <wp:positionV relativeFrom="line">
                        <wp:align>top</wp:align>
                      </wp:positionV>
                      <wp:extent cx="127000" cy="350520"/>
                      <wp:effectExtent l="0" t="0" r="0" b="0"/>
                      <wp:wrapSquare wrapText="right"/>
                      <wp:docPr id="145" name="Frame1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400" w:right="0" w:hanging="0"/>
              <w:jc w:val="left"/>
              <w:rPr>
                <w:spacing w:val="4"/>
              </w:rPr>
            </w:pPr>
            <w:r>
              <w:rPr>
                <w:spacing w:val="4"/>
              </w:rPr>
              <w:t xml:space="preserve">for any transaction from which the director derived an improper personal benefit. </w:t>
            </w:r>
            <w:r>
              <mc:AlternateContent>
                <mc:Choice Requires="wps">
                  <w:drawing>
                    <wp:anchor behindDoc="0" distT="101600" distB="0" distL="127000" distR="0" simplePos="0" locked="0" layoutInCell="1" allowOverlap="1" relativeHeight="154">
                      <wp:simplePos x="0" y="0"/>
                      <wp:positionH relativeFrom="column">
                        <wp:align>left</wp:align>
                      </wp:positionH>
                      <wp:positionV relativeFrom="line">
                        <wp:align>top</wp:align>
                      </wp:positionV>
                      <wp:extent cx="127000" cy="350520"/>
                      <wp:effectExtent l="0" t="0" r="0" b="0"/>
                      <wp:wrapSquare wrapText="right"/>
                      <wp:docPr id="146" name="Frame1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833" w:type="dxa"/>
            <w:tcBorders/>
            <w:tcMar>
              <w:bottom w:w="0" w:type="dxa"/>
            </w:tcMar>
            <w:vAlign w:val="center"/>
          </w:tcPr>
          <w:p>
            <w:pPr>
              <w:pStyle w:val="TableContents"/>
              <w:bidi w:val="0"/>
              <w:spacing w:before="0" w:after="283"/>
              <w:jc w:val="left"/>
              <w:rPr>
                <w:spacing w:val="4"/>
              </w:rPr>
            </w:pPr>
            <w:r>
              <w:rPr>
                <w:spacing w:val="4"/>
              </w:rPr>
              <w:t xml:space="preserve">The QBCA does not permit the limitation of a director’s liability as the DGCL does. </w:t>
            </w:r>
          </w:p>
        </w:tc>
        <w:tc>
          <w:tcPr>
            <w:tcW w:w="156" w:type="dxa"/>
            <w:tcBorders/>
            <w:tcMar>
              <w:bottom w:w="0" w:type="dxa"/>
            </w:tcMar>
            <w:vAlign w:val="center"/>
          </w:tcPr>
          <w:p>
            <w:pPr>
              <w:pStyle w:val="TableContents"/>
              <w:bidi w:val="0"/>
              <w:spacing w:before="0" w:after="283"/>
              <w:jc w:val="left"/>
              <w:rPr/>
            </w:pPr>
            <w:r>
              <w:rPr/>
              <w:t>​</w:t>
            </w:r>
          </w:p>
        </w:tc>
      </w:tr>
      <w:tr>
        <w:trPr/>
        <w:tc>
          <w:tcPr>
            <w:tcW w:w="1715" w:type="dxa"/>
            <w:tcBorders/>
            <w:tcMar>
              <w:bottom w:w="0" w:type="dxa"/>
            </w:tcMar>
            <w:vAlign w:val="center"/>
          </w:tcPr>
          <w:p>
            <w:pPr>
              <w:pStyle w:val="TableContents"/>
              <w:bidi w:val="0"/>
              <w:spacing w:before="0" w:after="0"/>
              <w:jc w:val="left"/>
              <w:rPr>
                <w:b/>
                <w:i/>
              </w:rPr>
            </w:pPr>
            <w:r>
              <w:rPr>
                <w:b/>
                <w:i/>
                <w:spacing w:val="-4"/>
              </w:rPr>
              <w:t>Indemnification of Directors and Officers</w:t>
            </w:r>
            <w:r>
              <w:rPr>
                <w:b/>
                <w:i/>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672" w:type="dxa"/>
            <w:tcBorders/>
            <w:tcMar>
              <w:bottom w:w="0" w:type="dxa"/>
            </w:tcMar>
            <w:vAlign w:val="center"/>
          </w:tcPr>
          <w:p>
            <w:pPr>
              <w:pStyle w:val="TableContents"/>
              <w:bidi w:val="0"/>
              <w:spacing w:before="0" w:after="283"/>
              <w:jc w:val="left"/>
              <w:rPr>
                <w:spacing w:val="4"/>
              </w:rPr>
            </w:pPr>
            <w:r>
              <w:rPr>
                <w:spacing w:val="4"/>
              </w:rPr>
              <w:t xml:space="preserve">The DGCL permits indemnification for derivative suits only for expenses (including legal fees) and only if the person is not found liable, unless 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833" w:type="dxa"/>
            <w:tcBorders/>
            <w:tcMar>
              <w:bottom w:w="0" w:type="dxa"/>
            </w:tcMar>
            <w:vAlign w:val="center"/>
          </w:tcPr>
          <w:p>
            <w:pPr>
              <w:pStyle w:val="TableContents"/>
              <w:bidi w:val="0"/>
              <w:spacing w:before="0" w:after="283"/>
              <w:jc w:val="left"/>
              <w:rPr>
                <w:spacing w:val="4"/>
              </w:rPr>
            </w:pPr>
            <w:r>
              <w:rPr>
                <w:spacing w:val="4"/>
              </w:rPr>
              <w:t xml:space="preserve">Under the QBCA, a corporation must indemnify a director or officer, a former director or officer or a person who acts or acted at the </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1389"/>
        <w:gridCol w:w="109"/>
        <w:gridCol w:w="109"/>
        <w:gridCol w:w="3917"/>
        <w:gridCol w:w="109"/>
        <w:gridCol w:w="109"/>
        <w:gridCol w:w="2915"/>
        <w:gridCol w:w="155"/>
      </w:tblGrid>
      <w:tr>
        <w:trPr/>
        <w:tc>
          <w:tcPr>
            <w:tcW w:w="138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917"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Delaware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915"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QBCA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38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917" w:type="dxa"/>
            <w:tcBorders/>
            <w:tcMar>
              <w:bottom w:w="0" w:type="dxa"/>
            </w:tcMar>
            <w:vAlign w:val="center"/>
          </w:tcPr>
          <w:p>
            <w:pPr>
              <w:pStyle w:val="TableContents"/>
              <w:bidi w:val="0"/>
              <w:spacing w:before="0" w:after="283"/>
              <w:jc w:val="left"/>
              <w:rPr>
                <w:spacing w:val="4"/>
              </w:rPr>
            </w:pPr>
            <w:r>
              <w:rPr>
                <w:spacing w:val="4"/>
              </w:rPr>
              <w:t xml:space="preserve">court determines the person is fairly and reasonably entitled to the indemnification.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915" w:type="dxa"/>
            <w:tcBorders/>
            <w:tcMar>
              <w:bottom w:w="0" w:type="dxa"/>
            </w:tcMar>
            <w:vAlign w:val="center"/>
          </w:tcPr>
          <w:p>
            <w:pPr>
              <w:pStyle w:val="TableContents"/>
              <w:bidi w:val="0"/>
              <w:spacing w:before="0" w:after="0"/>
              <w:jc w:val="left"/>
              <w:rPr/>
            </w:pPr>
            <w:r>
              <w:rPr>
                <w:spacing w:val="4"/>
              </w:rPr>
              <w:t>corporation’s request as a director or officer, or an individual acting in a similar capacity of another group (who is referred to in this document as an indemnifiable person) against all costs, charges and expenses, including an amount paid to settle an action or satisfy a judgment, reasonably incurred by the indemnifiable person on the exercise of the person’s functions or arising from any investigative or other proceeding in which the person is involved if:</w:t>
            </w:r>
            <w:r>
              <w:rPr/>
              <w:t xml:space="preserve"> </w:t>
            </w:r>
          </w:p>
          <w:p>
            <w:pPr>
              <w:pStyle w:val="TableContents"/>
              <w:bidi w:val="0"/>
              <w:spacing w:lineRule="atLeast" w:line="240" w:before="160" w:after="0"/>
              <w:ind w:left="320" w:right="0" w:hanging="0"/>
              <w:jc w:val="left"/>
              <w:rPr/>
            </w:pPr>
            <w:r>
              <w:rPr>
                <w:spacing w:val="4"/>
              </w:rPr>
              <w:t>the person acted honestly and loyally in the interest of the corporation or other group, and</w:t>
            </w:r>
            <w:r>
              <w:rPr/>
              <w:t xml:space="preserve"> </w:t>
            </w:r>
            <w:r>
              <mc:AlternateContent>
                <mc:Choice Requires="wps">
                  <w:drawing>
                    <wp:anchor behindDoc="0" distT="101600" distB="0" distL="101600" distR="0" simplePos="0" locked="0" layoutInCell="1" allowOverlap="1" relativeHeight="155">
                      <wp:simplePos x="0" y="0"/>
                      <wp:positionH relativeFrom="column">
                        <wp:align>left</wp:align>
                      </wp:positionH>
                      <wp:positionV relativeFrom="line">
                        <wp:align>top</wp:align>
                      </wp:positionV>
                      <wp:extent cx="101600" cy="350520"/>
                      <wp:effectExtent l="0" t="0" r="0" b="0"/>
                      <wp:wrapSquare wrapText="right"/>
                      <wp:docPr id="147" name="Frame145"/>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8pt;mso-wrap-distance-right:0pt;mso-wrap-distance-top:8pt;mso-wrap-distance-bottom:0pt;margin-top:8pt;mso-position-vertical:top;mso-position-vertical-relative:text;margin-left:8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320" w:right="0" w:hanging="0"/>
              <w:jc w:val="left"/>
              <w:rPr/>
            </w:pPr>
            <w:r>
              <w:rPr>
                <w:spacing w:val="4"/>
              </w:rPr>
              <w:t>in the case of a proceeding enforceable by a monetary penalty, the person had reasonable grounds for believing the person’s conduct was lawful.</w:t>
            </w:r>
            <w:r>
              <w:rPr/>
              <w:t xml:space="preserve"> </w:t>
            </w:r>
            <w:r>
              <mc:AlternateContent>
                <mc:Choice Requires="wps">
                  <w:drawing>
                    <wp:anchor behindDoc="0" distT="101600" distB="0" distL="101600" distR="0" simplePos="0" locked="0" layoutInCell="1" allowOverlap="1" relativeHeight="156">
                      <wp:simplePos x="0" y="0"/>
                      <wp:positionH relativeFrom="column">
                        <wp:align>left</wp:align>
                      </wp:positionH>
                      <wp:positionV relativeFrom="line">
                        <wp:align>top</wp:align>
                      </wp:positionV>
                      <wp:extent cx="101600" cy="350520"/>
                      <wp:effectExtent l="0" t="0" r="0" b="0"/>
                      <wp:wrapSquare wrapText="right"/>
                      <wp:docPr id="148" name="Frame146"/>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8pt;mso-wrap-distance-right:0pt;mso-wrap-distance-top:8pt;mso-wrap-distance-bottom:0pt;margin-top:8pt;mso-position-vertical:top;mso-position-vertical-relative:text;margin-left:8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before="160" w:after="283"/>
              <w:jc w:val="left"/>
              <w:rPr/>
            </w:pPr>
            <w:r>
              <w:rPr>
                <w:spacing w:val="4"/>
              </w:rPr>
              <w:t>The QBCA also provides that a corporation must advance moneys to an indemnifiable person for the costs, charges and expenses incurred in connection with such proceeding.</w:t>
            </w:r>
            <w:r>
              <w:rPr/>
              <w:t xml:space="preserve"> </w:t>
            </w:r>
          </w:p>
          <w:p>
            <w:pPr>
              <w:pStyle w:val="TableContents"/>
              <w:bidi w:val="0"/>
              <w:spacing w:before="160" w:after="283"/>
              <w:jc w:val="left"/>
              <w:rPr>
                <w:spacing w:val="4"/>
              </w:rPr>
            </w:pPr>
            <w:r>
              <w:rPr>
                <w:spacing w:val="4"/>
              </w:rPr>
              <w:t xml:space="preserve">In the case of a derivative action, indemnity may be made only with court approval. </w:t>
            </w:r>
          </w:p>
        </w:tc>
        <w:tc>
          <w:tcPr>
            <w:tcW w:w="155" w:type="dxa"/>
            <w:tcBorders/>
            <w:tcMar>
              <w:bottom w:w="0" w:type="dxa"/>
            </w:tcMar>
            <w:vAlign w:val="center"/>
          </w:tcPr>
          <w:p>
            <w:pPr>
              <w:pStyle w:val="TableContents"/>
              <w:bidi w:val="0"/>
              <w:spacing w:before="0" w:after="283"/>
              <w:jc w:val="left"/>
              <w:rPr/>
            </w:pPr>
            <w:r>
              <w:rPr/>
              <w:t>​</w:t>
            </w:r>
          </w:p>
        </w:tc>
      </w:tr>
      <w:tr>
        <w:trPr/>
        <w:tc>
          <w:tcPr>
            <w:tcW w:w="1389" w:type="dxa"/>
            <w:tcBorders/>
            <w:tcMar>
              <w:bottom w:w="0" w:type="dxa"/>
            </w:tcMar>
            <w:vAlign w:val="center"/>
          </w:tcPr>
          <w:p>
            <w:pPr>
              <w:pStyle w:val="TableContents"/>
              <w:bidi w:val="0"/>
              <w:spacing w:before="0" w:after="0"/>
              <w:jc w:val="left"/>
              <w:rPr>
                <w:b/>
                <w:i/>
              </w:rPr>
            </w:pPr>
            <w:r>
              <w:rPr>
                <w:b/>
                <w:i/>
                <w:spacing w:val="-4"/>
              </w:rPr>
              <w:t>Call and Notice of Shareholder Meetings</w:t>
            </w:r>
            <w:r>
              <w:rPr>
                <w:b/>
                <w:i/>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917" w:type="dxa"/>
            <w:tcBorders/>
            <w:tcMar>
              <w:bottom w:w="0" w:type="dxa"/>
            </w:tcMar>
            <w:vAlign w:val="center"/>
          </w:tcPr>
          <w:p>
            <w:pPr>
              <w:pStyle w:val="TableContents"/>
              <w:bidi w:val="0"/>
              <w:spacing w:before="0" w:after="283"/>
              <w:jc w:val="left"/>
              <w:rPr>
                <w:spacing w:val="4"/>
              </w:rPr>
            </w:pPr>
            <w:r>
              <w:rPr>
                <w:spacing w:val="4"/>
              </w:rPr>
              <w:t xml:space="preserve">Under the DGCL, an annual or special stockholder meeting is held on such date, at such time and at such place as may be designated by the board of directors or any other person authorized to call such meeting under the corporation’s certificate of incorporation or bylaws. If an annual meeting for election of directors is not held on the date designated or an action by written consent to elect directors in lieu of an annual meeting has not been taken within 30 days after the date designated for the annual meeting, or if no date has been designated, for a period of 13 months after the later of the last annual meeting or the last action by written consent to elect directors in lieu of an annual meeting, the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915" w:type="dxa"/>
            <w:tcBorders/>
            <w:tcMar>
              <w:bottom w:w="0" w:type="dxa"/>
            </w:tcMar>
            <w:vAlign w:val="center"/>
          </w:tcPr>
          <w:p>
            <w:pPr>
              <w:pStyle w:val="TableContents"/>
              <w:bidi w:val="0"/>
              <w:spacing w:before="0" w:after="283"/>
              <w:jc w:val="left"/>
              <w:rPr>
                <w:spacing w:val="4"/>
              </w:rPr>
            </w:pPr>
            <w:r>
              <w:rPr>
                <w:spacing w:val="4"/>
              </w:rPr>
              <w:t xml:space="preserve">Under the QBCA, an annual meeting of shareholders must be held no later than 15 months after holding the last preceding annual meeting. Under the QBCA, the directors of a corporation may call a special meeting at any time. In addition, holders of not less than 10% of the issued shares of a corporation that carry the right to vote at a meeting sought to be held may requisition the directors to call a meeting of shareholders for the purposes stated in the requisition.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1464"/>
        <w:gridCol w:w="109"/>
        <w:gridCol w:w="109"/>
        <w:gridCol w:w="2263"/>
        <w:gridCol w:w="109"/>
        <w:gridCol w:w="109"/>
        <w:gridCol w:w="4494"/>
        <w:gridCol w:w="155"/>
      </w:tblGrid>
      <w:tr>
        <w:trPr/>
        <w:tc>
          <w:tcPr>
            <w:tcW w:w="146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3"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Delaware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4494"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QBCA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46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3" w:type="dxa"/>
            <w:tcBorders/>
            <w:tcMar>
              <w:bottom w:w="0" w:type="dxa"/>
            </w:tcMar>
            <w:vAlign w:val="center"/>
          </w:tcPr>
          <w:p>
            <w:pPr>
              <w:pStyle w:val="TableContents"/>
              <w:bidi w:val="0"/>
              <w:spacing w:before="0" w:after="283"/>
              <w:jc w:val="left"/>
              <w:rPr>
                <w:spacing w:val="4"/>
              </w:rPr>
            </w:pPr>
            <w:r>
              <w:rPr>
                <w:spacing w:val="4"/>
              </w:rPr>
              <w:t xml:space="preserve">Delaware Court of Chancery may summarily order a meeting to be held upon the application of any stockholder or 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494"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1464" w:type="dxa"/>
            <w:tcBorders/>
            <w:tcMar>
              <w:bottom w:w="0" w:type="dxa"/>
            </w:tcMar>
            <w:vAlign w:val="center"/>
          </w:tcPr>
          <w:p>
            <w:pPr>
              <w:pStyle w:val="TableContents"/>
              <w:bidi w:val="0"/>
              <w:spacing w:before="0" w:after="0"/>
              <w:jc w:val="left"/>
              <w:rPr>
                <w:b/>
                <w:i/>
              </w:rPr>
            </w:pPr>
            <w:r>
              <w:rPr>
                <w:b/>
                <w:i/>
                <w:spacing w:val="-4"/>
              </w:rPr>
              <w:t>Shareholder Action by Written Consent</w:t>
            </w:r>
            <w:r>
              <w:rPr>
                <w:b/>
                <w:i/>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3" w:type="dxa"/>
            <w:tcBorders/>
            <w:tcMar>
              <w:bottom w:w="0" w:type="dxa"/>
            </w:tcMar>
            <w:vAlign w:val="center"/>
          </w:tcPr>
          <w:p>
            <w:pPr>
              <w:pStyle w:val="TableContents"/>
              <w:bidi w:val="0"/>
              <w:spacing w:before="0" w:after="283"/>
              <w:jc w:val="left"/>
              <w:rPr>
                <w:spacing w:val="4"/>
              </w:rPr>
            </w:pPr>
            <w:r>
              <w:rPr>
                <w:spacing w:val="4"/>
              </w:rPr>
              <w:t xml:space="preserve">Under the DGCL, a majority of the stockholders of a corporation may act by written consent without a meeting unless such action is prohibited by the corporation’s certificate of incorporation.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494" w:type="dxa"/>
            <w:tcBorders/>
            <w:tcMar>
              <w:bottom w:w="0" w:type="dxa"/>
            </w:tcMar>
            <w:vAlign w:val="center"/>
          </w:tcPr>
          <w:p>
            <w:pPr>
              <w:pStyle w:val="TableContents"/>
              <w:bidi w:val="0"/>
              <w:spacing w:before="0" w:after="283"/>
              <w:jc w:val="left"/>
              <w:rPr>
                <w:spacing w:val="4"/>
              </w:rPr>
            </w:pPr>
            <w:r>
              <w:rPr>
                <w:spacing w:val="4"/>
              </w:rPr>
              <w:t xml:space="preserve">Under the QBCA, a written resolution signed by all the shareholders of a corporation who would have been entitled to vote on the resolution at a meeting is effective to approve the resolution. </w:t>
            </w:r>
          </w:p>
        </w:tc>
        <w:tc>
          <w:tcPr>
            <w:tcW w:w="155" w:type="dxa"/>
            <w:tcBorders/>
            <w:tcMar>
              <w:bottom w:w="0" w:type="dxa"/>
            </w:tcMar>
            <w:vAlign w:val="center"/>
          </w:tcPr>
          <w:p>
            <w:pPr>
              <w:pStyle w:val="TableContents"/>
              <w:bidi w:val="0"/>
              <w:spacing w:before="0" w:after="283"/>
              <w:jc w:val="left"/>
              <w:rPr/>
            </w:pPr>
            <w:r>
              <w:rPr/>
              <w:t>​</w:t>
            </w:r>
          </w:p>
        </w:tc>
      </w:tr>
      <w:tr>
        <w:trPr/>
        <w:tc>
          <w:tcPr>
            <w:tcW w:w="1464" w:type="dxa"/>
            <w:tcBorders/>
            <w:tcMar>
              <w:bottom w:w="0" w:type="dxa"/>
            </w:tcMar>
            <w:vAlign w:val="center"/>
          </w:tcPr>
          <w:p>
            <w:pPr>
              <w:pStyle w:val="TableContents"/>
              <w:bidi w:val="0"/>
              <w:spacing w:before="0" w:after="0"/>
              <w:jc w:val="left"/>
              <w:rPr>
                <w:b/>
                <w:i/>
              </w:rPr>
            </w:pPr>
            <w:r>
              <w:rPr>
                <w:b/>
                <w:i/>
                <w:spacing w:val="-4"/>
              </w:rPr>
              <w:t>Shareholder Nominations and Proposals</w:t>
            </w:r>
            <w:r>
              <w:rPr>
                <w:b/>
                <w:i/>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3" w:type="dxa"/>
            <w:tcBorders/>
            <w:tcMar>
              <w:bottom w:w="0" w:type="dxa"/>
            </w:tcMar>
            <w:vAlign w:val="center"/>
          </w:tcPr>
          <w:p>
            <w:pPr>
              <w:pStyle w:val="TableContents"/>
              <w:bidi w:val="0"/>
              <w:spacing w:before="0" w:after="283"/>
              <w:jc w:val="left"/>
              <w:rPr>
                <w:spacing w:val="4"/>
              </w:rPr>
            </w:pPr>
            <w:r>
              <w:rPr>
                <w:spacing w:val="4"/>
              </w:rPr>
              <w:t xml:space="preserve">Not applicable.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494" w:type="dxa"/>
            <w:tcBorders/>
            <w:tcMar>
              <w:bottom w:w="0" w:type="dxa"/>
            </w:tcMar>
            <w:vAlign w:val="center"/>
          </w:tcPr>
          <w:p>
            <w:pPr>
              <w:pStyle w:val="TableContents"/>
              <w:bidi w:val="0"/>
              <w:spacing w:before="0" w:after="0"/>
              <w:jc w:val="left"/>
              <w:rPr/>
            </w:pPr>
            <w:r>
              <w:rPr>
                <w:spacing w:val="4"/>
              </w:rPr>
              <w:t>Under the QBCA, a shareholder entitled to vote at a shareholders’ meeting may submit a shareholder proposal relating to matters which the shareholder wishes to propose and discuss at an annual shareholders’ meeting and, subject to such shareholder’s compliance with the prescribed time periods and other requirements of the QBCA pertaining to shareholder proposals, the corporation is required to include such proposal in the information circular pertaining to any annual meeting at which it solicits proxies, subject to certain exceptions. Notice of such a proposal must be provided to the corporation at least 90 days before the anniversary date of the notice of meeting for the last annual shareholders’ meeting.</w:t>
            </w:r>
            <w:r>
              <w:rPr/>
              <w:t xml:space="preserve"> </w:t>
            </w:r>
          </w:p>
          <w:p>
            <w:pPr>
              <w:pStyle w:val="TableContents"/>
              <w:bidi w:val="0"/>
              <w:spacing w:before="120" w:after="283"/>
              <w:jc w:val="left"/>
              <w:rPr/>
            </w:pPr>
            <w:r>
              <w:rPr>
                <w:spacing w:val="4"/>
              </w:rPr>
              <w:t>In addition, the QBCA requires that any shareholder proposal that includes nominations for the election of directors must be signed by one or more holders of shares representing in the aggregate not less than five per cent of the shares or five per cent of the shares of a class of shares of the corporation entitled to vote at the meeting to which the proposal is to be presented.</w:t>
            </w:r>
            <w:r>
              <w:rPr/>
              <w:t xml:space="preserve"> </w:t>
            </w:r>
          </w:p>
          <w:p>
            <w:pPr>
              <w:pStyle w:val="TableContents"/>
              <w:bidi w:val="0"/>
              <w:spacing w:before="120" w:after="283"/>
              <w:jc w:val="left"/>
              <w:rPr>
                <w:spacing w:val="4"/>
              </w:rPr>
            </w:pPr>
            <w:r>
              <w:rPr>
                <w:spacing w:val="4"/>
              </w:rPr>
              <w:t xml:space="preserve">Our bylaws require shareholders wishing to nominate directors or propose business for a meeting of shareholders to give timely advance notice in writing, as described in our bylaws.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1540"/>
        <w:gridCol w:w="109"/>
        <w:gridCol w:w="109"/>
        <w:gridCol w:w="3564"/>
        <w:gridCol w:w="109"/>
        <w:gridCol w:w="109"/>
        <w:gridCol w:w="3117"/>
        <w:gridCol w:w="155"/>
      </w:tblGrid>
      <w:tr>
        <w:trPr/>
        <w:tc>
          <w:tcPr>
            <w:tcW w:w="154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564"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Delaware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117"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QBCA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540" w:type="dxa"/>
            <w:tcBorders/>
            <w:tcMar>
              <w:bottom w:w="0" w:type="dxa"/>
            </w:tcMar>
            <w:vAlign w:val="center"/>
          </w:tcPr>
          <w:p>
            <w:pPr>
              <w:pStyle w:val="TableContents"/>
              <w:bidi w:val="0"/>
              <w:spacing w:before="0" w:after="0"/>
              <w:jc w:val="left"/>
              <w:rPr>
                <w:b/>
                <w:i/>
              </w:rPr>
            </w:pPr>
            <w:r>
              <w:rPr>
                <w:b/>
                <w:i/>
                <w:spacing w:val="-4"/>
              </w:rPr>
              <w:t>Shareholder Quorum and Vote Requirements</w:t>
            </w:r>
            <w:r>
              <w:rPr>
                <w:b/>
                <w:i/>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564" w:type="dxa"/>
            <w:tcBorders/>
            <w:tcMar>
              <w:bottom w:w="0" w:type="dxa"/>
            </w:tcMar>
            <w:vAlign w:val="center"/>
          </w:tcPr>
          <w:p>
            <w:pPr>
              <w:pStyle w:val="TableContents"/>
              <w:bidi w:val="0"/>
              <w:spacing w:before="0" w:after="283"/>
              <w:jc w:val="left"/>
              <w:rPr>
                <w:spacing w:val="4"/>
              </w:rPr>
            </w:pPr>
            <w:r>
              <w:rPr>
                <w:spacing w:val="4"/>
              </w:rPr>
              <w:t xml:space="preserve">Under the DGCL, quorum for a stock corporation is a majority of the shares entitled to vote at the meeting unless the certificate of incorporation or bylaws specify a different quorum, but in no event may a quorum be less than one-third of the shares entitled to vote. Unless the DGCL, certificate of incorporation or bylaws provide for a greater vote, generally the required vote under the DGCL is a majority of the shares present in person or represented by proxy, except for the election of directors which requires a plurality of the votes cast.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17" w:type="dxa"/>
            <w:tcBorders/>
            <w:tcMar>
              <w:bottom w:w="0" w:type="dxa"/>
            </w:tcMar>
            <w:vAlign w:val="center"/>
          </w:tcPr>
          <w:p>
            <w:pPr>
              <w:pStyle w:val="TableContents"/>
              <w:bidi w:val="0"/>
              <w:spacing w:before="0" w:after="283"/>
              <w:jc w:val="left"/>
              <w:rPr>
                <w:spacing w:val="4"/>
              </w:rPr>
            </w:pPr>
            <w:r>
              <w:rPr>
                <w:spacing w:val="4"/>
              </w:rPr>
              <w:t xml:space="preserve">Under the QBCA, unless the bylaws otherwise provide, the holders of a majority of the shares of a corporation entitled to vote at a meeting of shareholders, whether present in person or represented by proxy, constitute a quorum. </w:t>
            </w:r>
          </w:p>
        </w:tc>
        <w:tc>
          <w:tcPr>
            <w:tcW w:w="155" w:type="dxa"/>
            <w:tcBorders/>
            <w:tcMar>
              <w:bottom w:w="0" w:type="dxa"/>
            </w:tcMar>
            <w:vAlign w:val="center"/>
          </w:tcPr>
          <w:p>
            <w:pPr>
              <w:pStyle w:val="TableContents"/>
              <w:bidi w:val="0"/>
              <w:spacing w:before="0" w:after="283"/>
              <w:jc w:val="left"/>
              <w:rPr/>
            </w:pPr>
            <w:r>
              <w:rPr/>
              <w:t>​</w:t>
            </w:r>
          </w:p>
        </w:tc>
      </w:tr>
      <w:tr>
        <w:trPr/>
        <w:tc>
          <w:tcPr>
            <w:tcW w:w="1540" w:type="dxa"/>
            <w:tcBorders/>
            <w:tcMar>
              <w:bottom w:w="0" w:type="dxa"/>
            </w:tcMar>
            <w:vAlign w:val="center"/>
          </w:tcPr>
          <w:p>
            <w:pPr>
              <w:pStyle w:val="TableContents"/>
              <w:bidi w:val="0"/>
              <w:spacing w:before="0" w:after="0"/>
              <w:jc w:val="left"/>
              <w:rPr>
                <w:b/>
                <w:i/>
              </w:rPr>
            </w:pPr>
            <w:r>
              <w:rPr>
                <w:b/>
                <w:i/>
                <w:spacing w:val="-4"/>
              </w:rPr>
              <w:t>Amendment of Certificate of Incorporation</w:t>
            </w:r>
            <w:r>
              <w:rPr>
                <w:b/>
                <w:i/>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564" w:type="dxa"/>
            <w:tcBorders/>
            <w:tcMar>
              <w:bottom w:w="0" w:type="dxa"/>
            </w:tcMar>
            <w:vAlign w:val="center"/>
          </w:tcPr>
          <w:p>
            <w:pPr>
              <w:pStyle w:val="TableContents"/>
              <w:bidi w:val="0"/>
              <w:spacing w:before="0" w:after="283"/>
              <w:jc w:val="left"/>
              <w:rPr>
                <w:spacing w:val="4"/>
              </w:rPr>
            </w:pPr>
            <w:r>
              <w:rPr>
                <w:spacing w:val="4"/>
              </w:rPr>
              <w:t xml:space="preserve">Generally, under the DGCL, the affirmative vote of the holders of a majority of the outstanding stock entitled to vote is required to approve a proposed amendment to the certificate of incorporation, following the adoption of the amendment by the board of directors of the corporation, provided that the certificate of incorporation may provide for a greater vote. Under the DGCL, holders of outstanding shares of a class or series are entitled to vote separately on an amendment to the certificate of incorporation if the amendment would have certain consequences, including changes that adversely affect the rights and preferences of such class or series.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17" w:type="dxa"/>
            <w:tcBorders/>
            <w:tcMar>
              <w:bottom w:w="0" w:type="dxa"/>
            </w:tcMar>
            <w:vAlign w:val="center"/>
          </w:tcPr>
          <w:p>
            <w:pPr>
              <w:pStyle w:val="TableContents"/>
              <w:bidi w:val="0"/>
              <w:spacing w:before="0" w:after="283"/>
              <w:jc w:val="left"/>
              <w:rPr>
                <w:spacing w:val="4"/>
              </w:rPr>
            </w:pPr>
            <w:r>
              <w:rPr>
                <w:spacing w:val="4"/>
              </w:rPr>
              <w:t xml:space="preserve">Under the QBCA, amendments to the articles generally require the approval of not less than two-thirds of the votes cast by shareholders entitled to vote on the resolution. Specified amendments may also require the separate approval of other classes of shares. If the amendment is of a nature affecting a particular class or series in a manner requiring a separate class or series vote, that class or series is entitled to vote on the amendment whether or not it otherwise carries the right to vote. </w:t>
            </w:r>
          </w:p>
        </w:tc>
        <w:tc>
          <w:tcPr>
            <w:tcW w:w="155" w:type="dxa"/>
            <w:tcBorders/>
            <w:tcMar>
              <w:bottom w:w="0" w:type="dxa"/>
            </w:tcMar>
            <w:vAlign w:val="center"/>
          </w:tcPr>
          <w:p>
            <w:pPr>
              <w:pStyle w:val="TableContents"/>
              <w:bidi w:val="0"/>
              <w:spacing w:before="0" w:after="283"/>
              <w:jc w:val="left"/>
              <w:rPr/>
            </w:pPr>
            <w:r>
              <w:rPr/>
              <w:t>​</w:t>
            </w:r>
          </w:p>
        </w:tc>
      </w:tr>
      <w:tr>
        <w:trPr/>
        <w:tc>
          <w:tcPr>
            <w:tcW w:w="1540" w:type="dxa"/>
            <w:tcBorders/>
            <w:tcMar>
              <w:bottom w:w="0" w:type="dxa"/>
            </w:tcMar>
            <w:vAlign w:val="center"/>
          </w:tcPr>
          <w:p>
            <w:pPr>
              <w:pStyle w:val="TableContents"/>
              <w:bidi w:val="0"/>
              <w:spacing w:before="0" w:after="0"/>
              <w:jc w:val="left"/>
              <w:rPr>
                <w:b/>
                <w:i/>
              </w:rPr>
            </w:pPr>
            <w:r>
              <w:rPr>
                <w:b/>
                <w:i/>
                <w:spacing w:val="-4"/>
              </w:rPr>
              <w:t>Amendment of Bylaws</w:t>
            </w:r>
            <w:r>
              <w:rPr>
                <w:b/>
                <w:i/>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564" w:type="dxa"/>
            <w:tcBorders/>
            <w:tcMar>
              <w:bottom w:w="0" w:type="dxa"/>
            </w:tcMar>
            <w:vAlign w:val="center"/>
          </w:tcPr>
          <w:p>
            <w:pPr>
              <w:pStyle w:val="TableContents"/>
              <w:bidi w:val="0"/>
              <w:spacing w:before="0" w:after="283"/>
              <w:jc w:val="left"/>
              <w:rPr>
                <w:spacing w:val="4"/>
              </w:rPr>
            </w:pPr>
            <w:r>
              <w:rPr>
                <w:spacing w:val="4"/>
              </w:rPr>
              <w:t xml:space="preserve">Under the DGCL, after a corporation has received any payment for any of its stock, the power to adopt, amend or repeal bylaws shall be vested in the stockholders entitled to vote; provided, however, that any corporation may, in its certificate of incorporation, provide that bylaws may be adopted, amended or repealed by the board of directors. The fact that such power has been conferred upon the board of directors shall not divest the stockholders of the power nor limit their power to adopt, amend or repeal the bylaws.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17" w:type="dxa"/>
            <w:tcBorders/>
            <w:tcMar>
              <w:bottom w:w="0" w:type="dxa"/>
            </w:tcMar>
            <w:vAlign w:val="center"/>
          </w:tcPr>
          <w:p>
            <w:pPr>
              <w:pStyle w:val="TableContents"/>
              <w:bidi w:val="0"/>
              <w:spacing w:before="0" w:after="283"/>
              <w:jc w:val="left"/>
              <w:rPr>
                <w:spacing w:val="4"/>
              </w:rPr>
            </w:pPr>
            <w:r>
              <w:rPr>
                <w:spacing w:val="4"/>
              </w:rPr>
              <w:t xml:space="preserve">Under the QBCA, the directors may, by resolution, make, amend or repeal any bylaws that regulates the business or affairs of the corporation. Where the directors make, amend or repeal a bylaw, they are required under the QBCA to submit that action to the shareholders at the next meeting of shareholders and the shareholders may ratify, reject or amend that action by simple majority, or ordinary resolution. If the action is rejected by shareholders, or the directors of a corporation do not submit the action to the shareholders at the next meeting of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1846"/>
        <w:gridCol w:w="109"/>
        <w:gridCol w:w="109"/>
        <w:gridCol w:w="3182"/>
        <w:gridCol w:w="109"/>
        <w:gridCol w:w="109"/>
        <w:gridCol w:w="3193"/>
        <w:gridCol w:w="155"/>
      </w:tblGrid>
      <w:tr>
        <w:trPr/>
        <w:tc>
          <w:tcPr>
            <w:tcW w:w="184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182"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Delaware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193"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QBCA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84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8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93" w:type="dxa"/>
            <w:tcBorders/>
            <w:tcMar>
              <w:bottom w:w="0" w:type="dxa"/>
            </w:tcMar>
            <w:vAlign w:val="center"/>
          </w:tcPr>
          <w:p>
            <w:pPr>
              <w:pStyle w:val="TableContents"/>
              <w:bidi w:val="0"/>
              <w:spacing w:before="0" w:after="283"/>
              <w:jc w:val="left"/>
              <w:rPr>
                <w:spacing w:val="4"/>
              </w:rPr>
            </w:pPr>
            <w:r>
              <w:rPr>
                <w:spacing w:val="4"/>
              </w:rPr>
              <w:t xml:space="preserve">shareholders, the action in respect of the bylaws will cease to be effective, and no subsequent resolution of the directors to make, amend or repeal a bylaw having substantially the same purpose or effect will be effective until it is confirmed. </w:t>
            </w:r>
          </w:p>
        </w:tc>
        <w:tc>
          <w:tcPr>
            <w:tcW w:w="155" w:type="dxa"/>
            <w:tcBorders/>
            <w:tcMar>
              <w:bottom w:w="0" w:type="dxa"/>
            </w:tcMar>
            <w:vAlign w:val="center"/>
          </w:tcPr>
          <w:p>
            <w:pPr>
              <w:pStyle w:val="TableContents"/>
              <w:bidi w:val="0"/>
              <w:spacing w:before="0" w:after="283"/>
              <w:jc w:val="left"/>
              <w:rPr/>
            </w:pPr>
            <w:r>
              <w:rPr/>
              <w:t>​</w:t>
            </w:r>
          </w:p>
        </w:tc>
      </w:tr>
      <w:tr>
        <w:trPr/>
        <w:tc>
          <w:tcPr>
            <w:tcW w:w="1846" w:type="dxa"/>
            <w:tcBorders/>
            <w:tcMar>
              <w:bottom w:w="0" w:type="dxa"/>
            </w:tcMar>
            <w:vAlign w:val="center"/>
          </w:tcPr>
          <w:p>
            <w:pPr>
              <w:pStyle w:val="TableContents"/>
              <w:bidi w:val="0"/>
              <w:spacing w:before="0" w:after="0"/>
              <w:jc w:val="left"/>
              <w:rPr>
                <w:b/>
                <w:i/>
              </w:rPr>
            </w:pPr>
            <w:r>
              <w:rPr>
                <w:b/>
                <w:i/>
                <w:spacing w:val="-4"/>
              </w:rPr>
              <w:t>Votes on Amalgamations, Mergers, Consolidations and Sales of Assets</w:t>
            </w:r>
            <w:r>
              <w:rPr>
                <w:b/>
                <w:i/>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82" w:type="dxa"/>
            <w:tcBorders/>
            <w:tcMar>
              <w:bottom w:w="0" w:type="dxa"/>
            </w:tcMar>
            <w:vAlign w:val="center"/>
          </w:tcPr>
          <w:p>
            <w:pPr>
              <w:pStyle w:val="TableContents"/>
              <w:bidi w:val="0"/>
              <w:spacing w:before="0" w:after="283"/>
              <w:jc w:val="left"/>
              <w:rPr>
                <w:spacing w:val="4"/>
              </w:rPr>
            </w:pPr>
            <w:r>
              <w:rPr>
                <w:spacing w:val="4"/>
              </w:rPr>
              <w:t xml:space="preserve">The DGCL provides that, unless otherwise provided in the certificate of incorporation or bylaws, the adoption of a merger agreement requires the approval of a majority of the outstanding stock of the corporation entitled to vote thereon.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93" w:type="dxa"/>
            <w:tcBorders/>
            <w:tcMar>
              <w:bottom w:w="0" w:type="dxa"/>
            </w:tcMar>
            <w:vAlign w:val="center"/>
          </w:tcPr>
          <w:p>
            <w:pPr>
              <w:pStyle w:val="TableContents"/>
              <w:bidi w:val="0"/>
              <w:spacing w:before="0" w:after="0"/>
              <w:jc w:val="left"/>
              <w:rPr/>
            </w:pPr>
            <w:r>
              <w:rPr>
                <w:spacing w:val="4"/>
              </w:rPr>
              <w:t>Under the QBCA, certain extraordinary corporate actions, such as amalgamations (other than with certain affiliated corporations), continuances and sales, leases or exchanges of the property of a corporation if as a result of such alienation the corporation would be unable to retain a significant part of its business activities, and other extraordinary corporate actions such as liquidations, dissolutions and (if ordered by a court) arrangements, are required to be approved by “special resolution.”</w:t>
            </w:r>
            <w:r>
              <w:rPr/>
              <w:t xml:space="preserve"> </w:t>
            </w:r>
          </w:p>
          <w:p>
            <w:pPr>
              <w:pStyle w:val="TableContents"/>
              <w:bidi w:val="0"/>
              <w:spacing w:before="120" w:after="283"/>
              <w:jc w:val="left"/>
              <w:rPr>
                <w:spacing w:val="4"/>
              </w:rPr>
            </w:pPr>
            <w:r>
              <w:rPr>
                <w:spacing w:val="4"/>
              </w:rPr>
              <w:t xml:space="preserve">A “special resolution” is a resolution passed by not less than two-thirds of the votes cast by the shareholders who voted in respect of the resolution or signed by all shareholders entitled to vote on the resolution. In specified cases, a special resolution to approve the extraordinary corporate action is also required to be approved separately by the holders of a class or series of shares, including in certain cases a class or series of shares not otherwise carrying voting rights. </w:t>
            </w:r>
          </w:p>
        </w:tc>
        <w:tc>
          <w:tcPr>
            <w:tcW w:w="155" w:type="dxa"/>
            <w:tcBorders/>
            <w:tcMar>
              <w:bottom w:w="0" w:type="dxa"/>
            </w:tcMar>
            <w:vAlign w:val="center"/>
          </w:tcPr>
          <w:p>
            <w:pPr>
              <w:pStyle w:val="TableContents"/>
              <w:bidi w:val="0"/>
              <w:spacing w:before="0" w:after="283"/>
              <w:jc w:val="left"/>
              <w:rPr/>
            </w:pPr>
            <w:r>
              <w:rPr/>
              <w:t>​</w:t>
            </w:r>
          </w:p>
        </w:tc>
      </w:tr>
      <w:tr>
        <w:trPr/>
        <w:tc>
          <w:tcPr>
            <w:tcW w:w="1846" w:type="dxa"/>
            <w:tcBorders/>
            <w:tcMar>
              <w:bottom w:w="0" w:type="dxa"/>
            </w:tcMar>
            <w:vAlign w:val="center"/>
          </w:tcPr>
          <w:p>
            <w:pPr>
              <w:pStyle w:val="TableContents"/>
              <w:bidi w:val="0"/>
              <w:spacing w:before="0" w:after="0"/>
              <w:jc w:val="left"/>
              <w:rPr>
                <w:b/>
                <w:i/>
              </w:rPr>
            </w:pPr>
            <w:r>
              <w:rPr>
                <w:b/>
                <w:i/>
                <w:spacing w:val="-4"/>
              </w:rPr>
              <w:t>Dissenter’s Rights of Appraisal</w:t>
            </w:r>
            <w:r>
              <w:rPr>
                <w:b/>
                <w:i/>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82" w:type="dxa"/>
            <w:tcBorders/>
            <w:tcMar>
              <w:bottom w:w="0" w:type="dxa"/>
            </w:tcMar>
            <w:vAlign w:val="center"/>
          </w:tcPr>
          <w:p>
            <w:pPr>
              <w:pStyle w:val="TableContents"/>
              <w:bidi w:val="0"/>
              <w:spacing w:before="0" w:after="283"/>
              <w:jc w:val="left"/>
              <w:rPr>
                <w:spacing w:val="4"/>
              </w:rPr>
            </w:pPr>
            <w:r>
              <w:rPr>
                <w:spacing w:val="4"/>
              </w:rPr>
              <w:t xml:space="preserve">Under the DGCL, a stockholder of a Delaware corporation generally has the right to dissent to a, merger or consolidation in which the Delaware corporation is participating, subject to specified procedural requirements, including that such dissenting stockholder does not vote in favor of the merger or consolidation. However, the DGCL does not confer appraisal rights, in certain circumstances, including if the dissenting stockholder owns shares traded on a national securities exchange and will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93" w:type="dxa"/>
            <w:tcBorders/>
            <w:tcMar>
              <w:bottom w:w="0" w:type="dxa"/>
            </w:tcMar>
            <w:vAlign w:val="center"/>
          </w:tcPr>
          <w:p>
            <w:pPr>
              <w:pStyle w:val="TableContents"/>
              <w:bidi w:val="0"/>
              <w:spacing w:before="0" w:after="0"/>
              <w:jc w:val="left"/>
              <w:rPr/>
            </w:pPr>
            <w:r>
              <w:rPr>
                <w:spacing w:val="4"/>
              </w:rPr>
              <w:t>The QBCA provides that shareholders of a corporation are entitled to exercise dissent rights (called “the right to demand the repurchase of shares”) and to be paid the fair value of their shares in connection with specified matters, including:</w:t>
            </w:r>
            <w:r>
              <w:rPr/>
              <w:t xml:space="preserve"> </w:t>
            </w:r>
          </w:p>
          <w:p>
            <w:pPr>
              <w:pStyle w:val="TableContents"/>
              <w:bidi w:val="0"/>
              <w:spacing w:lineRule="atLeast" w:line="200" w:before="160" w:after="0"/>
              <w:ind w:left="400" w:right="0" w:hanging="0"/>
              <w:jc w:val="left"/>
              <w:rPr/>
            </w:pPr>
            <w:r>
              <w:rPr>
                <w:spacing w:val="4"/>
              </w:rPr>
              <w:t>a squeeze out transaction;</w:t>
            </w:r>
            <w:r>
              <w:rPr/>
              <w:t xml:space="preserve"> </w:t>
            </w:r>
            <w:r>
              <mc:AlternateContent>
                <mc:Choice Requires="wps">
                  <w:drawing>
                    <wp:anchor behindDoc="0" distT="101600" distB="0" distL="127000" distR="0" simplePos="0" locked="0" layoutInCell="1" allowOverlap="1" relativeHeight="157">
                      <wp:simplePos x="0" y="0"/>
                      <wp:positionH relativeFrom="column">
                        <wp:align>left</wp:align>
                      </wp:positionH>
                      <wp:positionV relativeFrom="line">
                        <wp:align>top</wp:align>
                      </wp:positionV>
                      <wp:extent cx="127000" cy="350520"/>
                      <wp:effectExtent l="0" t="0" r="0" b="0"/>
                      <wp:wrapSquare wrapText="right"/>
                      <wp:docPr id="149" name="Frame1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0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bidi w:val="0"/>
                              <w:spacing w:lineRule="atLeast" w:line="20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400" w:right="0" w:hanging="0"/>
              <w:jc w:val="left"/>
              <w:rPr/>
            </w:pPr>
            <w:r>
              <w:rPr>
                <w:spacing w:val="4"/>
              </w:rPr>
              <w:t>amalgamation with another corporation (other than with certain affiliated corporations);</w:t>
            </w:r>
            <w:r>
              <w:rPr/>
              <w:t xml:space="preserve"> </w:t>
            </w:r>
            <w:r>
              <mc:AlternateContent>
                <mc:Choice Requires="wps">
                  <w:drawing>
                    <wp:anchor behindDoc="0" distT="101600" distB="0" distL="127000" distR="0" simplePos="0" locked="0" layoutInCell="1" allowOverlap="1" relativeHeight="158">
                      <wp:simplePos x="0" y="0"/>
                      <wp:positionH relativeFrom="column">
                        <wp:align>left</wp:align>
                      </wp:positionH>
                      <wp:positionV relativeFrom="line">
                        <wp:align>top</wp:align>
                      </wp:positionV>
                      <wp:extent cx="127000" cy="350520"/>
                      <wp:effectExtent l="0" t="0" r="0" b="0"/>
                      <wp:wrapSquare wrapText="right"/>
                      <wp:docPr id="150" name="Frame1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400" w:right="0" w:hanging="0"/>
              <w:jc w:val="left"/>
              <w:rPr>
                <w:spacing w:val="4"/>
              </w:rPr>
            </w:pPr>
            <w:r>
              <w:rPr>
                <w:spacing w:val="4"/>
              </w:rPr>
              <w:t xml:space="preserve">amendment to the corporation’s articles to add, change or </w:t>
            </w:r>
            <w:r>
              <mc:AlternateContent>
                <mc:Choice Requires="wps">
                  <w:drawing>
                    <wp:anchor behindDoc="0" distT="101600" distB="0" distL="127000" distR="0" simplePos="0" locked="0" layoutInCell="1" allowOverlap="1" relativeHeight="159">
                      <wp:simplePos x="0" y="0"/>
                      <wp:positionH relativeFrom="column">
                        <wp:align>left</wp:align>
                      </wp:positionH>
                      <wp:positionV relativeFrom="line">
                        <wp:align>top</wp:align>
                      </wp:positionV>
                      <wp:extent cx="127000" cy="350520"/>
                      <wp:effectExtent l="0" t="0" r="0" b="0"/>
                      <wp:wrapSquare wrapText="right"/>
                      <wp:docPr id="151" name="Frame1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1239"/>
        <w:gridCol w:w="109"/>
        <w:gridCol w:w="109"/>
        <w:gridCol w:w="3425"/>
        <w:gridCol w:w="109"/>
        <w:gridCol w:w="109"/>
        <w:gridCol w:w="3556"/>
        <w:gridCol w:w="156"/>
      </w:tblGrid>
      <w:tr>
        <w:trPr/>
        <w:tc>
          <w:tcPr>
            <w:tcW w:w="123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425" w:type="dxa"/>
            <w:tcBorders>
              <w:bottom w:val="single" w:sz="2" w:space="0" w:color="000000"/>
            </w:tcBorders>
            <w:tcMar>
              <w:bottom w:w="37" w:type="dxa"/>
            </w:tcMar>
            <w:vAlign w:val="center"/>
          </w:tcPr>
          <w:p>
            <w:pPr>
              <w:pStyle w:val="TableContents"/>
              <w:bidi w:val="0"/>
              <w:spacing w:lineRule="atLeast" w:line="180" w:before="0" w:after="0"/>
              <w:jc w:val="center"/>
              <w:rPr>
                <w:spacing w:val="-3"/>
              </w:rPr>
            </w:pPr>
            <w:r>
              <w:rPr>
                <w:spacing w:val="-3"/>
              </w:rPr>
              <w:t xml:space="preserve">Delaware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556" w:type="dxa"/>
            <w:tcBorders>
              <w:bottom w:val="single" w:sz="2" w:space="0" w:color="000000"/>
            </w:tcBorders>
            <w:tcMar>
              <w:bottom w:w="37" w:type="dxa"/>
            </w:tcMar>
            <w:vAlign w:val="center"/>
          </w:tcPr>
          <w:p>
            <w:pPr>
              <w:pStyle w:val="TableContents"/>
              <w:bidi w:val="0"/>
              <w:spacing w:lineRule="atLeast" w:line="180" w:before="0" w:after="0"/>
              <w:jc w:val="center"/>
              <w:rPr>
                <w:spacing w:val="-3"/>
              </w:rPr>
            </w:pPr>
            <w:r>
              <w:rPr>
                <w:spacing w:val="-3"/>
              </w:rPr>
              <w:t xml:space="preserve">QBCA </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123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425" w:type="dxa"/>
            <w:tcBorders/>
            <w:tcMar>
              <w:bottom w:w="0" w:type="dxa"/>
            </w:tcMar>
            <w:vAlign w:val="center"/>
          </w:tcPr>
          <w:p>
            <w:pPr>
              <w:pStyle w:val="TableContents"/>
              <w:bidi w:val="0"/>
              <w:spacing w:before="0" w:after="283"/>
              <w:jc w:val="left"/>
              <w:rPr>
                <w:spacing w:val="4"/>
              </w:rPr>
            </w:pPr>
            <w:r>
              <w:rPr>
                <w:spacing w:val="4"/>
              </w:rPr>
              <w:t xml:space="preserve">receive publicly traded shares in the merger or consolidation. Under the DGCL, a stockholder asserting appraisal rights does not receive any payment for his or her shares until the court determines the fair value or the parties otherwise agree to a value. The costs of the proceeding may be determined by the court and assessed against the parties as the court deems equitable under the circumstances.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556" w:type="dxa"/>
            <w:tcBorders/>
            <w:tcMar>
              <w:bottom w:w="0" w:type="dxa"/>
            </w:tcMar>
            <w:vAlign w:val="center"/>
          </w:tcPr>
          <w:p>
            <w:pPr>
              <w:pStyle w:val="TableContents"/>
              <w:bidi w:val="0"/>
              <w:spacing w:before="0" w:after="0"/>
              <w:ind w:left="400" w:right="0" w:hanging="0"/>
              <w:jc w:val="left"/>
              <w:rPr/>
            </w:pPr>
            <w:r>
              <w:rPr>
                <w:spacing w:val="4"/>
              </w:rPr>
              <w:t>remove any provisions restricting or constraining the transfer of shares;</w:t>
            </w:r>
            <w:r>
              <w:rPr/>
              <w:t xml:space="preserve"> </w:t>
            </w:r>
          </w:p>
          <w:p>
            <w:pPr>
              <w:pStyle w:val="TableContents"/>
              <w:bidi w:val="0"/>
              <w:spacing w:lineRule="atLeast" w:line="240" w:before="160" w:after="0"/>
              <w:ind w:left="320" w:right="0" w:hanging="0"/>
              <w:jc w:val="left"/>
              <w:rPr/>
            </w:pPr>
            <w:r>
              <w:rPr>
                <w:spacing w:val="4"/>
              </w:rPr>
              <w:t>amendment to the corporation’s articles to add, change or remove any restriction upon the businesses or businesses that the corporation may carry on;</w:t>
            </w:r>
            <w:r>
              <w:rPr/>
              <w:t xml:space="preserve"> </w:t>
            </w:r>
            <w:r>
              <mc:AlternateContent>
                <mc:Choice Requires="wps">
                  <w:drawing>
                    <wp:anchor behindDoc="0" distT="101600" distB="0" distL="101600" distR="0" simplePos="0" locked="0" layoutInCell="1" allowOverlap="1" relativeHeight="160">
                      <wp:simplePos x="0" y="0"/>
                      <wp:positionH relativeFrom="column">
                        <wp:align>left</wp:align>
                      </wp:positionH>
                      <wp:positionV relativeFrom="line">
                        <wp:align>top</wp:align>
                      </wp:positionV>
                      <wp:extent cx="101600" cy="350520"/>
                      <wp:effectExtent l="0" t="0" r="0" b="0"/>
                      <wp:wrapSquare wrapText="right"/>
                      <wp:docPr id="152" name="Frame150"/>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8pt;mso-wrap-distance-right:0pt;mso-wrap-distance-top:8pt;mso-wrap-distance-bottom:0pt;margin-top:8pt;mso-position-vertical:top;mso-position-vertical-relative:text;margin-left:8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320" w:right="0" w:hanging="0"/>
              <w:jc w:val="left"/>
              <w:rPr/>
            </w:pPr>
            <w:r>
              <w:rPr>
                <w:spacing w:val="4"/>
              </w:rPr>
              <w:t>continuance under the laws of another jurisdiction;</w:t>
            </w:r>
            <w:r>
              <w:rPr/>
              <w:t xml:space="preserve"> </w:t>
            </w:r>
            <w:r>
              <mc:AlternateContent>
                <mc:Choice Requires="wps">
                  <w:drawing>
                    <wp:anchor behindDoc="0" distT="101600" distB="0" distL="101600" distR="0" simplePos="0" locked="0" layoutInCell="1" allowOverlap="1" relativeHeight="161">
                      <wp:simplePos x="0" y="0"/>
                      <wp:positionH relativeFrom="column">
                        <wp:align>left</wp:align>
                      </wp:positionH>
                      <wp:positionV relativeFrom="line">
                        <wp:align>top</wp:align>
                      </wp:positionV>
                      <wp:extent cx="101600" cy="350520"/>
                      <wp:effectExtent l="0" t="0" r="0" b="0"/>
                      <wp:wrapSquare wrapText="right"/>
                      <wp:docPr id="153" name="Frame151"/>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8pt;mso-wrap-distance-right:0pt;mso-wrap-distance-top:8pt;mso-wrap-distance-bottom:0pt;margin-top:8pt;mso-position-vertical:top;mso-position-vertical-relative:text;margin-left:8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320" w:right="0" w:hanging="0"/>
              <w:jc w:val="left"/>
              <w:rPr/>
            </w:pPr>
            <w:r>
              <w:rPr>
                <w:spacing w:val="4"/>
              </w:rPr>
              <w:t>alienation of the property of the corporation or of its subsidiaries if, as a result of such alienation, the corporation is unable to retain a significant part of its business activity;</w:t>
            </w:r>
            <w:r>
              <w:rPr/>
              <w:t xml:space="preserve"> </w:t>
            </w:r>
            <w:r>
              <mc:AlternateContent>
                <mc:Choice Requires="wps">
                  <w:drawing>
                    <wp:anchor behindDoc="0" distT="101600" distB="0" distL="101600" distR="0" simplePos="0" locked="0" layoutInCell="1" allowOverlap="1" relativeHeight="162">
                      <wp:simplePos x="0" y="0"/>
                      <wp:positionH relativeFrom="column">
                        <wp:align>left</wp:align>
                      </wp:positionH>
                      <wp:positionV relativeFrom="line">
                        <wp:align>top</wp:align>
                      </wp:positionV>
                      <wp:extent cx="101600" cy="350520"/>
                      <wp:effectExtent l="0" t="0" r="0" b="0"/>
                      <wp:wrapSquare wrapText="right"/>
                      <wp:docPr id="154" name="Frame152"/>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8pt;mso-wrap-distance-right:0pt;mso-wrap-distance-top:8pt;mso-wrap-distance-bottom:0pt;margin-top:8pt;mso-position-vertical:top;mso-position-vertical-relative:text;margin-left:8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320" w:right="0" w:hanging="0"/>
              <w:jc w:val="left"/>
              <w:rPr/>
            </w:pPr>
            <w:r>
              <w:rPr>
                <w:spacing w:val="4"/>
              </w:rPr>
              <w:t>a court order permitting a shareholder to exercise his right to demand the repurchase of his shares in connection with an application to the court for an order approving an arrangement proposed by the corporation;</w:t>
            </w:r>
            <w:r>
              <w:rPr/>
              <w:t xml:space="preserve"> </w:t>
            </w:r>
            <w:r>
              <mc:AlternateContent>
                <mc:Choice Requires="wps">
                  <w:drawing>
                    <wp:anchor behindDoc="0" distT="101600" distB="0" distL="101600" distR="0" simplePos="0" locked="0" layoutInCell="1" allowOverlap="1" relativeHeight="163">
                      <wp:simplePos x="0" y="0"/>
                      <wp:positionH relativeFrom="column">
                        <wp:align>left</wp:align>
                      </wp:positionH>
                      <wp:positionV relativeFrom="line">
                        <wp:align>top</wp:align>
                      </wp:positionV>
                      <wp:extent cx="101600" cy="350520"/>
                      <wp:effectExtent l="0" t="0" r="0" b="0"/>
                      <wp:wrapSquare wrapText="right"/>
                      <wp:docPr id="155" name="Frame153"/>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8pt;mso-wrap-distance-right:0pt;mso-wrap-distance-top:8pt;mso-wrap-distance-bottom:0pt;margin-top:8pt;mso-position-vertical:top;mso-position-vertical-relative:text;margin-left:8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320" w:right="0" w:hanging="0"/>
              <w:jc w:val="left"/>
              <w:rPr>
                <w:spacing w:val="4"/>
              </w:rPr>
            </w:pPr>
            <w:r>
              <w:rPr>
                <w:spacing w:val="4"/>
              </w:rPr>
              <w:t xml:space="preserve">certain amendments to the articles of a corporation which require a separate class or series vote by a holder of shares of any class or series. </w:t>
            </w:r>
            <w:r>
              <mc:AlternateContent>
                <mc:Choice Requires="wps">
                  <w:drawing>
                    <wp:anchor behindDoc="0" distT="101600" distB="0" distL="101600" distR="0" simplePos="0" locked="0" layoutInCell="1" allowOverlap="1" relativeHeight="164">
                      <wp:simplePos x="0" y="0"/>
                      <wp:positionH relativeFrom="column">
                        <wp:align>left</wp:align>
                      </wp:positionH>
                      <wp:positionV relativeFrom="line">
                        <wp:align>top</wp:align>
                      </wp:positionV>
                      <wp:extent cx="101600" cy="350520"/>
                      <wp:effectExtent l="0" t="0" r="0" b="0"/>
                      <wp:wrapSquare wrapText="right"/>
                      <wp:docPr id="156" name="Frame154"/>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8pt;mso-wrap-distance-right:0pt;mso-wrap-distance-top:8pt;mso-wrap-distance-bottom:0pt;margin-top:8pt;mso-position-vertical:top;mso-position-vertical-relative:text;margin-left:8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1239" w:type="dxa"/>
            <w:tcBorders/>
            <w:tcMar>
              <w:bottom w:w="0" w:type="dxa"/>
            </w:tcMar>
            <w:vAlign w:val="center"/>
          </w:tcPr>
          <w:p>
            <w:pPr>
              <w:pStyle w:val="TableContents"/>
              <w:bidi w:val="0"/>
              <w:spacing w:before="0" w:after="0"/>
              <w:jc w:val="left"/>
              <w:rPr>
                <w:b/>
                <w:i/>
              </w:rPr>
            </w:pPr>
            <w:r>
              <w:rPr>
                <w:b/>
                <w:i/>
                <w:spacing w:val="-4"/>
              </w:rPr>
              <w:t>Oppression Remedy</w:t>
            </w:r>
            <w:r>
              <w:rPr>
                <w:b/>
                <w:i/>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425" w:type="dxa"/>
            <w:tcBorders/>
            <w:tcMar>
              <w:bottom w:w="0" w:type="dxa"/>
            </w:tcMar>
            <w:vAlign w:val="center"/>
          </w:tcPr>
          <w:p>
            <w:pPr>
              <w:pStyle w:val="TableContents"/>
              <w:bidi w:val="0"/>
              <w:spacing w:before="0" w:after="283"/>
              <w:jc w:val="left"/>
              <w:rPr>
                <w:spacing w:val="4"/>
              </w:rPr>
            </w:pPr>
            <w:r>
              <w:rPr>
                <w:spacing w:val="4"/>
              </w:rPr>
              <w:t xml:space="preserve">The DGCL does not provide for a similar remedy.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556" w:type="dxa"/>
            <w:tcBorders/>
            <w:tcMar>
              <w:bottom w:w="0" w:type="dxa"/>
            </w:tcMar>
            <w:vAlign w:val="center"/>
          </w:tcPr>
          <w:p>
            <w:pPr>
              <w:pStyle w:val="TableContents"/>
              <w:bidi w:val="0"/>
              <w:spacing w:before="0" w:after="0"/>
              <w:jc w:val="left"/>
              <w:rPr/>
            </w:pPr>
            <w:r>
              <w:rPr>
                <w:spacing w:val="4"/>
              </w:rPr>
              <w:t>The QBCA provides an oppression remedy (called “rectification of abuse of power or iniquity”) that enables a court to make any order, whether interim or final, to rectify matters that are oppressive or unfairly prejudicial to the interests of any securityholder, director or officer of the corporation if an application is made to a court by an “applicant”. An “applicant” with respect to a corporation means any of the following:</w:t>
            </w:r>
            <w:r>
              <w:rPr/>
              <w:t xml:space="preserve"> </w:t>
            </w:r>
          </w:p>
          <w:p>
            <w:pPr>
              <w:pStyle w:val="TableContents"/>
              <w:bidi w:val="0"/>
              <w:spacing w:lineRule="atLeast" w:line="240" w:before="160" w:after="0"/>
              <w:ind w:left="400" w:right="0" w:hanging="0"/>
              <w:jc w:val="left"/>
              <w:rPr/>
            </w:pPr>
            <w:r>
              <w:rPr>
                <w:spacing w:val="4"/>
              </w:rPr>
              <w:t>a present or former registered holder or beneficiary of securities of the corporation or any of its affiliates;</w:t>
            </w:r>
            <w:r>
              <w:rPr/>
              <w:t xml:space="preserve"> </w:t>
            </w:r>
            <w:r>
              <mc:AlternateContent>
                <mc:Choice Requires="wps">
                  <w:drawing>
                    <wp:anchor behindDoc="0" distT="101600" distB="0" distL="127000" distR="0" simplePos="0" locked="0" layoutInCell="1" allowOverlap="1" relativeHeight="165">
                      <wp:simplePos x="0" y="0"/>
                      <wp:positionH relativeFrom="column">
                        <wp:align>left</wp:align>
                      </wp:positionH>
                      <wp:positionV relativeFrom="line">
                        <wp:align>top</wp:align>
                      </wp:positionV>
                      <wp:extent cx="127000" cy="350520"/>
                      <wp:effectExtent l="0" t="0" r="0" b="0"/>
                      <wp:wrapSquare wrapText="right"/>
                      <wp:docPr id="157" name="Frame1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400" w:right="0" w:hanging="0"/>
              <w:jc w:val="left"/>
              <w:rPr/>
            </w:pPr>
            <w:r>
              <w:rPr>
                <w:spacing w:val="4"/>
              </w:rPr>
              <w:t>a present or former officer or director of the corporation or any of its affiliates; and</w:t>
            </w:r>
            <w:r>
              <w:rPr/>
              <w:t xml:space="preserve"> </w:t>
              <w:br/>
            </w:r>
            <w:r>
              <w:rPr>
                <w:spacing w:val="4"/>
              </w:rPr>
              <w:t> </w:t>
            </w:r>
            <w:r>
              <w:rPr/>
              <w:t xml:space="preserve"> </w:t>
            </w:r>
            <w:r>
              <mc:AlternateContent>
                <mc:Choice Requires="wps">
                  <w:drawing>
                    <wp:anchor behindDoc="0" distT="101600" distB="0" distL="127000" distR="0" simplePos="0" locked="0" layoutInCell="1" allowOverlap="1" relativeHeight="166">
                      <wp:simplePos x="0" y="0"/>
                      <wp:positionH relativeFrom="column">
                        <wp:align>left</wp:align>
                      </wp:positionH>
                      <wp:positionV relativeFrom="line">
                        <wp:align>top</wp:align>
                      </wp:positionV>
                      <wp:extent cx="127000" cy="350520"/>
                      <wp:effectExtent l="0" t="0" r="0" b="0"/>
                      <wp:wrapSquare wrapText="right"/>
                      <wp:docPr id="158" name="Frame1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1352"/>
        <w:gridCol w:w="109"/>
        <w:gridCol w:w="109"/>
        <w:gridCol w:w="3169"/>
        <w:gridCol w:w="109"/>
        <w:gridCol w:w="109"/>
        <w:gridCol w:w="3700"/>
        <w:gridCol w:w="155"/>
      </w:tblGrid>
      <w:tr>
        <w:trPr/>
        <w:tc>
          <w:tcPr>
            <w:tcW w:w="135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169"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Delaware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700"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QBCA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35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6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700" w:type="dxa"/>
            <w:tcBorders/>
            <w:tcMar>
              <w:bottom w:w="0" w:type="dxa"/>
            </w:tcMar>
            <w:vAlign w:val="center"/>
          </w:tcPr>
          <w:p>
            <w:pPr>
              <w:pStyle w:val="TableContents"/>
              <w:bidi w:val="0"/>
              <w:spacing w:lineRule="atLeast" w:line="240" w:before="0" w:after="0"/>
              <w:ind w:left="320" w:right="0" w:hanging="0"/>
              <w:jc w:val="left"/>
              <w:rPr/>
            </w:pPr>
            <w:r>
              <w:rPr>
                <w:spacing w:val="4"/>
              </w:rPr>
              <w:t>any other person who in the discretion of the court has the interest required to make the application.</w:t>
            </w:r>
            <w:r>
              <w:rPr/>
              <w:t xml:space="preserve"> </w:t>
            </w:r>
            <w:r>
              <mc:AlternateContent>
                <mc:Choice Requires="wps">
                  <w:drawing>
                    <wp:anchor behindDoc="0" distT="0" distB="0" distL="101600" distR="0" simplePos="0" locked="0" layoutInCell="1" allowOverlap="1" relativeHeight="167">
                      <wp:simplePos x="0" y="0"/>
                      <wp:positionH relativeFrom="column">
                        <wp:align>left</wp:align>
                      </wp:positionH>
                      <wp:positionV relativeFrom="line">
                        <wp:posOffset>635</wp:posOffset>
                      </wp:positionV>
                      <wp:extent cx="101600" cy="350520"/>
                      <wp:effectExtent l="0" t="0" r="0" b="0"/>
                      <wp:wrapSquare wrapText="right"/>
                      <wp:docPr id="159" name="Frame157"/>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8pt;mso-wrap-distance-right:0pt;mso-wrap-distance-top:0pt;mso-wrap-distance-bottom:0pt;margin-top:0pt;mso-position-vertical:top;mso-position-vertical-relative:text;margin-left:8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before="160" w:after="283"/>
              <w:jc w:val="left"/>
              <w:rPr>
                <w:spacing w:val="4"/>
              </w:rPr>
            </w:pPr>
            <w:r>
              <w:rPr>
                <w:spacing w:val="4"/>
              </w:rPr>
              <w:t xml:space="preserve">The oppression remedy provides the court with very broad and flexible powers to intervene in corporate affairs to protect shareholders and other complainants. While conduct that is in breach of fiduciary duties of directors or that is contrary to the legal right of a complainant will normally trigger the court’s jurisdiction under the oppression remedy, the exercise of that jurisdiction does not depend on a finding of a breach of those legal and equitable rights. Furthermore, the court may order a corporation to pay the interim expenses of an applicant seeking an oppression remedy, but the applicant may be held accountable for interim costs on final disposition of the complaint (as in the case of a derivative action as described in “Shareholder Derivative Actions” below). </w:t>
            </w:r>
          </w:p>
        </w:tc>
        <w:tc>
          <w:tcPr>
            <w:tcW w:w="155" w:type="dxa"/>
            <w:tcBorders/>
            <w:tcMar>
              <w:bottom w:w="0" w:type="dxa"/>
            </w:tcMar>
            <w:vAlign w:val="center"/>
          </w:tcPr>
          <w:p>
            <w:pPr>
              <w:pStyle w:val="TableContents"/>
              <w:bidi w:val="0"/>
              <w:spacing w:before="0" w:after="283"/>
              <w:jc w:val="left"/>
              <w:rPr/>
            </w:pPr>
            <w:r>
              <w:rPr/>
              <w:t>​</w:t>
            </w:r>
          </w:p>
        </w:tc>
      </w:tr>
      <w:tr>
        <w:trPr/>
        <w:tc>
          <w:tcPr>
            <w:tcW w:w="1352" w:type="dxa"/>
            <w:tcBorders/>
            <w:tcMar>
              <w:bottom w:w="0" w:type="dxa"/>
            </w:tcMar>
            <w:vAlign w:val="center"/>
          </w:tcPr>
          <w:p>
            <w:pPr>
              <w:pStyle w:val="TableContents"/>
              <w:bidi w:val="0"/>
              <w:spacing w:before="0" w:after="0"/>
              <w:jc w:val="left"/>
              <w:rPr>
                <w:b/>
                <w:i/>
              </w:rPr>
            </w:pPr>
            <w:r>
              <w:rPr>
                <w:b/>
                <w:i/>
                <w:spacing w:val="-4"/>
              </w:rPr>
              <w:t>Shareholder Derivative Actions</w:t>
            </w:r>
            <w:r>
              <w:rPr>
                <w:b/>
                <w:i/>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169" w:type="dxa"/>
            <w:tcBorders/>
            <w:tcMar>
              <w:bottom w:w="0" w:type="dxa"/>
            </w:tcMar>
            <w:vAlign w:val="center"/>
          </w:tcPr>
          <w:p>
            <w:pPr>
              <w:pStyle w:val="TableContents"/>
              <w:bidi w:val="0"/>
              <w:spacing w:before="0" w:after="283"/>
              <w:jc w:val="left"/>
              <w:rPr>
                <w:spacing w:val="4"/>
              </w:rPr>
            </w:pPr>
            <w:r>
              <w:rPr>
                <w:spacing w:val="4"/>
              </w:rPr>
              <w:t xml:space="preserve">Under the DGCL, stockholders may bring derivative actions on behalf of, and for the benefit of the corporation. The plaintiff in a derivative action on behalf of the corporation either must be or have been a stockholder of the corporation at the time of the transaction or must be a stockholder who became a stockholder by operation of law in the transaction regarding which the stockholder complains. A stockholder may not sue derivatively on behalf of the corporation unless the stockholder first makes demand on the corporation that it bring suit and the demand is refused, unless it is shown that making the demand would have been a futile act.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700" w:type="dxa"/>
            <w:tcBorders/>
            <w:tcMar>
              <w:bottom w:w="0" w:type="dxa"/>
            </w:tcMar>
            <w:vAlign w:val="center"/>
          </w:tcPr>
          <w:p>
            <w:pPr>
              <w:pStyle w:val="TableContents"/>
              <w:bidi w:val="0"/>
              <w:spacing w:before="0" w:after="0"/>
              <w:jc w:val="left"/>
              <w:rPr/>
            </w:pPr>
            <w:r>
              <w:rPr>
                <w:spacing w:val="4"/>
              </w:rPr>
              <w:t>Under the QBCA, a shareholder of a corporation may apply to a Québec court for leave to bring an action in the name of, and on behalf of, the corporation or any subsidiary, or to intervene in an existing action to which the corporation or any of its subsidiaries is a party, for the purpose of prosecuting, defending or discontinuing an action on behalf of the corporation or its subsidiary. Under the QBCA, no action may be brought and no intervention in an action may be made unless a court is satisfied that:</w:t>
            </w:r>
            <w:r>
              <w:rPr/>
              <w:t xml:space="preserve"> </w:t>
            </w:r>
          </w:p>
          <w:p>
            <w:pPr>
              <w:pStyle w:val="TableContents"/>
              <w:bidi w:val="0"/>
              <w:spacing w:lineRule="atLeast" w:line="240" w:before="160" w:after="0"/>
              <w:ind w:left="400" w:right="0" w:hanging="0"/>
              <w:jc w:val="left"/>
              <w:rPr/>
            </w:pPr>
            <w:r>
              <w:rPr>
                <w:spacing w:val="4"/>
              </w:rPr>
              <w:t>the shareholder has given the required 14-day notice to the directors of the corporation or the subsidiary of the shareholder’s intention to apply to the court if the directors do not bring, diligently prosecute or defend or discontinue the action;</w:t>
            </w:r>
            <w:r>
              <w:rPr/>
              <w:t xml:space="preserve"> </w:t>
            </w:r>
            <w:r>
              <mc:AlternateContent>
                <mc:Choice Requires="wps">
                  <w:drawing>
                    <wp:anchor behindDoc="0" distT="101600" distB="0" distL="127000" distR="0" simplePos="0" locked="0" layoutInCell="1" allowOverlap="1" relativeHeight="168">
                      <wp:simplePos x="0" y="0"/>
                      <wp:positionH relativeFrom="column">
                        <wp:align>left</wp:align>
                      </wp:positionH>
                      <wp:positionV relativeFrom="line">
                        <wp:align>top</wp:align>
                      </wp:positionV>
                      <wp:extent cx="127000" cy="350520"/>
                      <wp:effectExtent l="0" t="0" r="0" b="0"/>
                      <wp:wrapSquare wrapText="right"/>
                      <wp:docPr id="160" name="Frame1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10pt;mso-wrap-distance-right:0pt;mso-wrap-distance-top:8pt;mso-wrap-distance-bottom:0pt;margin-top:8pt;mso-position-vertical:top;mso-position-vertical-relative:text;margin-left:1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1552"/>
        <w:gridCol w:w="109"/>
        <w:gridCol w:w="109"/>
        <w:gridCol w:w="2983"/>
        <w:gridCol w:w="109"/>
        <w:gridCol w:w="109"/>
        <w:gridCol w:w="3686"/>
        <w:gridCol w:w="155"/>
      </w:tblGrid>
      <w:tr>
        <w:trPr/>
        <w:tc>
          <w:tcPr>
            <w:tcW w:w="155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983"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Delaware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3686"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QBCA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55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98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686" w:type="dxa"/>
            <w:tcBorders/>
            <w:tcMar>
              <w:bottom w:w="0" w:type="dxa"/>
            </w:tcMar>
            <w:vAlign w:val="center"/>
          </w:tcPr>
          <w:p>
            <w:pPr>
              <w:pStyle w:val="TableContents"/>
              <w:bidi w:val="0"/>
              <w:spacing w:lineRule="atLeast" w:line="240" w:before="0" w:after="0"/>
              <w:ind w:left="320" w:right="0" w:hanging="0"/>
              <w:jc w:val="left"/>
              <w:rPr/>
            </w:pPr>
            <w:r>
              <w:rPr>
                <w:spacing w:val="4"/>
              </w:rPr>
              <w:t>the shareholder is acting in good faith; and</w:t>
            </w:r>
            <w:r>
              <w:rPr/>
              <w:t xml:space="preserve"> </w:t>
            </w:r>
            <w:r>
              <mc:AlternateContent>
                <mc:Choice Requires="wps">
                  <w:drawing>
                    <wp:anchor behindDoc="0" distT="0" distB="0" distL="101600" distR="0" simplePos="0" locked="0" layoutInCell="1" allowOverlap="1" relativeHeight="169">
                      <wp:simplePos x="0" y="0"/>
                      <wp:positionH relativeFrom="column">
                        <wp:align>left</wp:align>
                      </wp:positionH>
                      <wp:positionV relativeFrom="line">
                        <wp:posOffset>635</wp:posOffset>
                      </wp:positionV>
                      <wp:extent cx="101600" cy="350520"/>
                      <wp:effectExtent l="0" t="0" r="0" b="0"/>
                      <wp:wrapSquare wrapText="right"/>
                      <wp:docPr id="161" name="Frame159"/>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8pt;mso-wrap-distance-right:0pt;mso-wrap-distance-top:0pt;mso-wrap-distance-bottom:0pt;margin-top:0pt;mso-position-vertical:top;mso-position-vertical-relative:text;margin-left:8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lineRule="atLeast" w:line="240" w:before="160" w:after="0"/>
              <w:ind w:left="320" w:right="0" w:hanging="0"/>
              <w:jc w:val="left"/>
              <w:rPr/>
            </w:pPr>
            <w:r>
              <w:rPr>
                <w:spacing w:val="4"/>
              </w:rPr>
              <w:t>it appears to be in the interests of the corporation or the relevant subsidiary that the action be brought, prosecuted, defended or discontinued.</w:t>
            </w:r>
            <w:r>
              <w:rPr/>
              <w:t xml:space="preserve"> </w:t>
            </w:r>
            <w:r>
              <mc:AlternateContent>
                <mc:Choice Requires="wps">
                  <w:drawing>
                    <wp:anchor behindDoc="0" distT="101600" distB="0" distL="101600" distR="0" simplePos="0" locked="0" layoutInCell="1" allowOverlap="1" relativeHeight="170">
                      <wp:simplePos x="0" y="0"/>
                      <wp:positionH relativeFrom="column">
                        <wp:align>left</wp:align>
                      </wp:positionH>
                      <wp:positionV relativeFrom="line">
                        <wp:align>top</wp:align>
                      </wp:positionV>
                      <wp:extent cx="101600" cy="350520"/>
                      <wp:effectExtent l="0" t="0" r="0" b="0"/>
                      <wp:wrapSquare wrapText="right"/>
                      <wp:docPr id="162" name="Frame160"/>
                      <a:graphic xmlns:a="http://schemas.openxmlformats.org/drawingml/2006/main">
                        <a:graphicData uri="http://schemas.microsoft.com/office/word/2010/wordprocessingShape">
                          <wps:wsp>
                            <wps:cNvSpPr txBox="1"/>
                            <wps:spPr>
                              <a:xfrm>
                                <a:off x="0" y="0"/>
                                <a:ext cx="1016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8pt;height:27.6pt;mso-wrap-distance-left:8pt;mso-wrap-distance-right:0pt;mso-wrap-distance-top:8pt;mso-wrap-distance-bottom:0pt;margin-top:8pt;mso-position-vertical:top;mso-position-vertical-relative:text;margin-left:8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ableContents"/>
              <w:bidi w:val="0"/>
              <w:spacing w:before="0" w:after="0"/>
              <w:ind w:left="0" w:right="0" w:hanging="0"/>
              <w:jc w:val="left"/>
              <w:rPr/>
            </w:pPr>
            <w:r>
              <w:rPr/>
              <w:t>​</w:t>
            </w:r>
          </w:p>
          <w:p>
            <w:pPr>
              <w:pStyle w:val="TableContents"/>
              <w:bidi w:val="0"/>
              <w:spacing w:before="160" w:after="283"/>
              <w:jc w:val="left"/>
              <w:rPr>
                <w:spacing w:val="4"/>
              </w:rPr>
            </w:pPr>
            <w:r>
              <w:rPr>
                <w:spacing w:val="4"/>
              </w:rPr>
              <w:t xml:space="preserve">Under the QBCA, the court in a derivative action may make any order it thinks fit. In addition, under the QBCA, a court may order the corporation or its relevant subsidiary to pay the shareholder’s interim costs, including reasonable legal fees and disbursements. </w:t>
            </w:r>
          </w:p>
        </w:tc>
        <w:tc>
          <w:tcPr>
            <w:tcW w:w="155" w:type="dxa"/>
            <w:tcBorders/>
            <w:tcMar>
              <w:bottom w:w="0" w:type="dxa"/>
            </w:tcMar>
            <w:vAlign w:val="center"/>
          </w:tcPr>
          <w:p>
            <w:pPr>
              <w:pStyle w:val="TableContents"/>
              <w:bidi w:val="0"/>
              <w:spacing w:before="0" w:after="283"/>
              <w:jc w:val="left"/>
              <w:rPr/>
            </w:pPr>
            <w:r>
              <w:rPr/>
              <w:t>​</w:t>
            </w:r>
          </w:p>
        </w:tc>
      </w:tr>
      <w:tr>
        <w:trPr/>
        <w:tc>
          <w:tcPr>
            <w:tcW w:w="1552" w:type="dxa"/>
            <w:tcBorders/>
            <w:tcMar>
              <w:bottom w:w="0" w:type="dxa"/>
            </w:tcMar>
            <w:vAlign w:val="center"/>
          </w:tcPr>
          <w:p>
            <w:pPr>
              <w:pStyle w:val="TableContents"/>
              <w:bidi w:val="0"/>
              <w:spacing w:before="0" w:after="0"/>
              <w:jc w:val="left"/>
              <w:rPr>
                <w:b/>
                <w:i/>
              </w:rPr>
            </w:pPr>
            <w:r>
              <w:rPr>
                <w:b/>
                <w:i/>
                <w:spacing w:val="-4"/>
              </w:rPr>
              <w:t>Anti-Takeover and Ownership Provisions</w:t>
            </w:r>
            <w:r>
              <w:rPr>
                <w:b/>
                <w:i/>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983" w:type="dxa"/>
            <w:tcBorders/>
            <w:tcMar>
              <w:bottom w:w="0" w:type="dxa"/>
            </w:tcMar>
            <w:vAlign w:val="center"/>
          </w:tcPr>
          <w:p>
            <w:pPr>
              <w:pStyle w:val="TableContents"/>
              <w:bidi w:val="0"/>
              <w:spacing w:before="0" w:after="283"/>
              <w:jc w:val="left"/>
              <w:rPr>
                <w:spacing w:val="4"/>
              </w:rPr>
            </w:pPr>
            <w:r>
              <w:rPr>
                <w:spacing w:val="4"/>
              </w:rPr>
              <w:t xml:space="preserve">Unless an issuer opts out of the provisions of Section 203 of the DGCL, Section 203 generally prohibits a public Delaware corporation from engaging in a “business combination” with a holder of 15% or more of the corporation’s voting stock (as defined in Section 203), referred to as an interested stockholder, for a period of three years after the date of the transaction in which the interested stockholder became an interested stockholder, except as otherwise provided in Section 203. For these purposes, the term “business combination” includes mergers, assets sales and other similar transactions with an interested stockholder.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686" w:type="dxa"/>
            <w:tcBorders/>
            <w:tcMar>
              <w:bottom w:w="0" w:type="dxa"/>
            </w:tcMar>
            <w:vAlign w:val="center"/>
          </w:tcPr>
          <w:p>
            <w:pPr>
              <w:pStyle w:val="TableContents"/>
              <w:bidi w:val="0"/>
              <w:spacing w:before="0" w:after="0"/>
              <w:jc w:val="left"/>
              <w:rPr/>
            </w:pPr>
            <w:r>
              <w:rPr>
                <w:spacing w:val="4"/>
              </w:rPr>
              <w:t>While the QBCA does not contain specific anti- takeover provisions with respect to “business combinations,” rules and policies of certain Canadian securities regulatory authorities, including Multilateral Instrument 61 – 101 — Protection of Minority Security Holders in Special Transactions, or Multilateral Instrument 61-101, contain requirements in connection with, among other things, “related party transactions” and “business combinations”, including, among other things, any transaction by which an issuer directly or indirectly engages in the following with a related party: acquires, sells, leases or transfers an asset, acquires the related party, acquires or issues treasury securities, amends the terms of a security if the security is owned by the related party or assumes or becomes subject to a liability or takes certain other actions with respect to debt.</w:t>
            </w:r>
            <w:r>
              <w:rPr/>
              <w:t xml:space="preserve"> </w:t>
            </w:r>
          </w:p>
          <w:p>
            <w:pPr>
              <w:pStyle w:val="TableContents"/>
              <w:bidi w:val="0"/>
              <w:spacing w:before="120" w:after="283"/>
              <w:jc w:val="left"/>
              <w:rPr/>
            </w:pPr>
            <w:r>
              <w:rPr>
                <w:spacing w:val="4"/>
              </w:rPr>
              <w:t>The term “related party” includes directors, senior officers and holders of more than 10% of the voting rights attached to all outstanding voting securities of the issuer or holders of a sufficient number of any securities of the issuer to materially affect control of the issuer.</w:t>
            </w:r>
            <w:r>
              <w:rPr/>
              <w:t xml:space="preserve"> </w:t>
              <w:br/>
            </w:r>
            <w:r>
              <w:rPr>
                <w:spacing w:val="4"/>
              </w:rPr>
              <w:t> </w:t>
            </w:r>
            <w:r>
              <w:rPr/>
              <w:t xml:space="preserv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124"/>
        <w:gridCol w:w="109"/>
        <w:gridCol w:w="109"/>
        <w:gridCol w:w="1006"/>
        <w:gridCol w:w="109"/>
        <w:gridCol w:w="109"/>
        <w:gridCol w:w="7091"/>
        <w:gridCol w:w="155"/>
      </w:tblGrid>
      <w:tr>
        <w:trPr/>
        <w:tc>
          <w:tcPr>
            <w:tcW w:w="12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06"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Delaware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091"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QBCA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0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091" w:type="dxa"/>
            <w:tcBorders/>
            <w:tcMar>
              <w:bottom w:w="0" w:type="dxa"/>
            </w:tcMar>
            <w:vAlign w:val="center"/>
          </w:tcPr>
          <w:p>
            <w:pPr>
              <w:pStyle w:val="TableContents"/>
              <w:bidi w:val="0"/>
              <w:spacing w:before="0" w:after="283"/>
              <w:jc w:val="left"/>
              <w:rPr/>
            </w:pPr>
            <w:r>
              <w:rPr>
                <w:spacing w:val="4"/>
              </w:rPr>
              <w:t>Multilateral Instrument 61 – 101 requires, subject to certain exceptions, the preparation of a formal valuation relating to certain aspects of the transaction and more detailed disclosure in the proxy material sent to security holders in connection with a related party transaction including related to the valuation. Multilateral Instrument 61 – 101 also requires, subject to certain exceptions, that an issuer not engage in a related party transaction unless the shareholders of the issuer, other than the related parties, approve the transaction by a simple majority of the votes cast</w:t>
            </w:r>
            <w:r>
              <w:rPr/>
              <w:t xml:space="preserv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 w:name="tLOOS"/>
      <w:bookmarkEnd w:id="1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LEGAL OWNERSHIP OF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can issue securities in registered form or in the form of one or more global securities. We describe global securities in greater detail below. We refer to those persons who have securities registered in their own names on the books that we or any applicable trustee, depositary or warrant agent maintain for this purpose as the “holders” of those securities. These persons are the legal holders of the securities. We refer to those persons who, indirectly through others, own beneficial interests in securities that are not registered in their own names, as “indirect holders” of those securities. As we discuss below, indirect holders are not legal holders, and investors in securities issued in book-entry form or in street name will be indirect holders.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Book-Entry 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issue securities in book-entry form only, as we will specify in the applicable prospectus supplement. This means securities may be represented by one or more global securities registered in the name of a financial institution that holds them as depositary on behalf of other financial institutions that participate in the depositary’s book-entry system. These participating institutions, which are referred to as participants, in turn, hold beneficial interests in the securities on behalf of themselves or their customers.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Only the person in whose name a security is registered is recognized as the holder of that security. Global securities will be registered in the name of the depositary or its participants. Consequently, for global securities, we will recognize only the depositary as the holder of the securities, and we will make all payments on the securities to the depositary. The depositary passes along the payments it receives to its participants, which in turn pass the payments along to their customers who are the beneficial owners. The depositary and its participants do so under agreements they have made with one another or with their customers; they are not obligated to do so under the terms of the securities.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 result, investors in a global security will not own securities directly. Instead, they will own beneficial interests in a global security, through a bank, broker or other financial institution that participates in the depositary’s book-entry system or holds an interest through a participant. As long as the securities are issued in global form, investors will be indirect holders, and not legal holders, of the securities.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Street Name 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terminate a global security or issue securities that are not issued in global form. In these cases, investors may choose to hold their securities in their own names or in “street name.” Securities held by an investor in street name would be registered in the name of a bank, broker or other financial institution that the investor chooses, and the investor would hold only a beneficial interest in those securities through an account he or she maintains at that institution.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securities held in street name, we or any applicable trustee or depositary will recognize only the intermediary banks, brokers and other financial institutions in whose names the securities are registered as the holders of those securities, and we or any such trustee or depositary will make all payments on those securities to them. These institutions pass along the payments they receive to their customers who are the beneficial owners, but only because they agree to do so in their customer agreements or because they are legally required to do so. Investors who hold securities in street name will be indirect holders, not legal holders, of those securities.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Legal 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obligations, as well as the obligations of any applicable trustee or third party employed by us or a trustee, run only to the legal holders of the securities. We do not have obligations to investors who hold beneficial interests in global securities, in street name or by any other indirect means. This will be the case whether an investor chooses to be an indirect holder of a security or has no choice because we are issuing the securities only in global form.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example, once we make a payment or give a notice to the holder, we have no further responsibility for the payment or notice even if that holder is required, under agreements with its participants or customers or by law, to pass it along to the indirect holders but does not do so. Similarly, we may want to obtain the approval of the holders to amend an indenture, to relieve us of the consequences of a default or of our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obligation to comply with a particular provision of an indenture, or for other purposes. In such an event, we would seek approval only from the holders, and not the indirect holders, of the securities. Whether and how the legal holders contact the indirect holders is up to the legal holders.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Special Considerations for Indirect 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you hold securities through a bank, broker or other financial institution, either in book-entry form because the securities are represented by one or more global securities or in street name, you should check with your own institution to find out: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how it handles securities payments and notices; </w:t>
      </w:r>
      <w:r>
        <mc:AlternateContent>
          <mc:Choice Requires="wps">
            <w:drawing>
              <wp:anchor behindDoc="0" distT="76200" distB="0" distL="254000" distR="0" simplePos="0" locked="0" layoutInCell="1" allowOverlap="1" relativeHeight="171">
                <wp:simplePos x="0" y="0"/>
                <wp:positionH relativeFrom="column">
                  <wp:align>left</wp:align>
                </wp:positionH>
                <wp:positionV relativeFrom="line">
                  <wp:align>top</wp:align>
                </wp:positionV>
                <wp:extent cx="127000" cy="350520"/>
                <wp:effectExtent l="0" t="0" r="0" b="0"/>
                <wp:wrapSquare wrapText="right"/>
                <wp:docPr id="163" name="Frame1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it imposes fees or charges; </w:t>
      </w:r>
      <w:r>
        <mc:AlternateContent>
          <mc:Choice Requires="wps">
            <w:drawing>
              <wp:anchor behindDoc="0" distT="76200" distB="0" distL="254000" distR="0" simplePos="0" locked="0" layoutInCell="1" allowOverlap="1" relativeHeight="172">
                <wp:simplePos x="0" y="0"/>
                <wp:positionH relativeFrom="column">
                  <wp:align>left</wp:align>
                </wp:positionH>
                <wp:positionV relativeFrom="line">
                  <wp:align>top</wp:align>
                </wp:positionV>
                <wp:extent cx="127000" cy="350520"/>
                <wp:effectExtent l="0" t="0" r="0" b="0"/>
                <wp:wrapSquare wrapText="right"/>
                <wp:docPr id="164" name="Frame1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how it would handle a request for the holders’ consent, if ever required; </w:t>
      </w:r>
      <w:r>
        <mc:AlternateContent>
          <mc:Choice Requires="wps">
            <w:drawing>
              <wp:anchor behindDoc="0" distT="76200" distB="0" distL="254000" distR="0" simplePos="0" locked="0" layoutInCell="1" allowOverlap="1" relativeHeight="173">
                <wp:simplePos x="0" y="0"/>
                <wp:positionH relativeFrom="column">
                  <wp:align>left</wp:align>
                </wp:positionH>
                <wp:positionV relativeFrom="line">
                  <wp:align>top</wp:align>
                </wp:positionV>
                <wp:extent cx="127000" cy="350520"/>
                <wp:effectExtent l="0" t="0" r="0" b="0"/>
                <wp:wrapSquare wrapText="right"/>
                <wp:docPr id="165" name="Frame1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and how you can instruct it to send you securities registered in your own name so you can be a holder, if that is permitted in the future; </w:t>
      </w:r>
      <w:r>
        <mc:AlternateContent>
          <mc:Choice Requires="wps">
            <w:drawing>
              <wp:anchor behindDoc="0" distT="76200" distB="0" distL="254000" distR="0" simplePos="0" locked="0" layoutInCell="1" allowOverlap="1" relativeHeight="174">
                <wp:simplePos x="0" y="0"/>
                <wp:positionH relativeFrom="column">
                  <wp:align>left</wp:align>
                </wp:positionH>
                <wp:positionV relativeFrom="line">
                  <wp:align>top</wp:align>
                </wp:positionV>
                <wp:extent cx="127000" cy="350520"/>
                <wp:effectExtent l="0" t="0" r="0" b="0"/>
                <wp:wrapSquare wrapText="right"/>
                <wp:docPr id="166" name="Frame1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how it would exercise rights under the securities if there were a default or other event triggering the need for holders to act to protect their interests; and </w:t>
      </w:r>
      <w:r>
        <mc:AlternateContent>
          <mc:Choice Requires="wps">
            <w:drawing>
              <wp:anchor behindDoc="0" distT="76200" distB="0" distL="254000" distR="0" simplePos="0" locked="0" layoutInCell="1" allowOverlap="1" relativeHeight="175">
                <wp:simplePos x="0" y="0"/>
                <wp:positionH relativeFrom="column">
                  <wp:align>left</wp:align>
                </wp:positionH>
                <wp:positionV relativeFrom="line">
                  <wp:align>top</wp:align>
                </wp:positionV>
                <wp:extent cx="127000" cy="350520"/>
                <wp:effectExtent l="0" t="0" r="0" b="0"/>
                <wp:wrapSquare wrapText="right"/>
                <wp:docPr id="167" name="Frame1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securities are in book-entry form, how the depositary’s rules and procedures will affect these matters. </w:t>
      </w:r>
      <w:r>
        <mc:AlternateContent>
          <mc:Choice Requires="wps">
            <w:drawing>
              <wp:anchor behindDoc="0" distT="76200" distB="0" distL="254000" distR="0" simplePos="0" locked="0" layoutInCell="1" allowOverlap="1" relativeHeight="176">
                <wp:simplePos x="0" y="0"/>
                <wp:positionH relativeFrom="column">
                  <wp:align>left</wp:align>
                </wp:positionH>
                <wp:positionV relativeFrom="line">
                  <wp:align>top</wp:align>
                </wp:positionV>
                <wp:extent cx="127000" cy="350520"/>
                <wp:effectExtent l="0" t="0" r="0" b="0"/>
                <wp:wrapSquare wrapText="right"/>
                <wp:docPr id="168" name="Frame1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Global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global security is a security that represents one or any other number of individual securities held by a depositary. Generally, all securities represented by the same global securities will have the same terms.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security issued in book-entry form will be represented by a global security that we issue to, deposit with and register in the name of a financial institution or its nominee that we select. The financial institution that we select for this purpose is called the depositary. Unless we specify otherwise in the applicable prospectus supplement, The Depository Trust Company, New York, New York, known as DTC, will be the depositary for all securities issued in book-entry form.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global security may not be transferred to or registered in the name of anyone other than the depositary, its nominee or a successor depositary, unless special termination situations arise. We describe those situations below under “— Special Situations When a Global Security Will Be Terminated.” As a result of these arrangements, the depositary, or its nominee, will be the sole registered owner and legal holder of all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does. Thus, an investor whose security is represented by a global security will not be a legal holder of the security, but only an indirect holder of a beneficial interest in the global security.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prospectus supplement for a particular security indicates that the security will be issued as a global security, then the security will be represented by a global security at all times unless and until the global security is terminated. If termination occurs, we may issue the securities through another book-entry clearing system or decide that the securities may no longer be held through any book-entry clearing system.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Special Considerations for Global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an indirect holder, an investor’s rights relating to a global security will be governed by the account rules of the investor’s financial institution and of the depositary, as well as general laws relating to securities transfers.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do not recognize an indirect holder as a holder of securities and instead deal only with the depositary that holds the global security.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securities are issued only as global securities, an investor should be aware of the following: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investor cannot cause the securities to be registered in his or her name, and cannot obtain non- global certificates for his or her interest in the securities, except in the special situations we describe below; </w:t>
      </w:r>
      <w:r>
        <mc:AlternateContent>
          <mc:Choice Requires="wps">
            <w:drawing>
              <wp:anchor behindDoc="0" distT="76200" distB="0" distL="254000" distR="0" simplePos="0" locked="0" layoutInCell="1" allowOverlap="1" relativeHeight="177">
                <wp:simplePos x="0" y="0"/>
                <wp:positionH relativeFrom="column">
                  <wp:align>left</wp:align>
                </wp:positionH>
                <wp:positionV relativeFrom="line">
                  <wp:align>top</wp:align>
                </wp:positionV>
                <wp:extent cx="127000" cy="350520"/>
                <wp:effectExtent l="0" t="0" r="0" b="0"/>
                <wp:wrapSquare wrapText="right"/>
                <wp:docPr id="169" name="Frame1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investor will be an indirect holder and must look to his or her own bank or broker for payments on the securities and protection of his or her legal rights relating to the securities, as we describe above; </w:t>
      </w:r>
      <w:r>
        <mc:AlternateContent>
          <mc:Choice Requires="wps">
            <w:drawing>
              <wp:anchor behindDoc="0" distT="76200" distB="0" distL="254000" distR="0" simplePos="0" locked="0" layoutInCell="1" allowOverlap="1" relativeHeight="178">
                <wp:simplePos x="0" y="0"/>
                <wp:positionH relativeFrom="column">
                  <wp:align>left</wp:align>
                </wp:positionH>
                <wp:positionV relativeFrom="line">
                  <wp:align>top</wp:align>
                </wp:positionV>
                <wp:extent cx="127000" cy="350520"/>
                <wp:effectExtent l="0" t="0" r="0" b="0"/>
                <wp:wrapSquare wrapText="right"/>
                <wp:docPr id="170" name="Frame1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investor may not be able to sell interests in the securities to some insurance companies and to other institutions that are required by law to own their securities in non-book-entry form; </w:t>
      </w:r>
      <w:r>
        <mc:AlternateContent>
          <mc:Choice Requires="wps">
            <w:drawing>
              <wp:anchor behindDoc="0" distT="76200" distB="0" distL="254000" distR="0" simplePos="0" locked="0" layoutInCell="1" allowOverlap="1" relativeHeight="179">
                <wp:simplePos x="0" y="0"/>
                <wp:positionH relativeFrom="column">
                  <wp:align>left</wp:align>
                </wp:positionH>
                <wp:positionV relativeFrom="line">
                  <wp:align>top</wp:align>
                </wp:positionV>
                <wp:extent cx="127000" cy="350520"/>
                <wp:effectExtent l="0" t="0" r="0" b="0"/>
                <wp:wrapSquare wrapText="right"/>
                <wp:docPr id="171" name="Frame1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investor may not be able to pledge his or her interest in the global security in circumstances where certificates representing the securities must be delivered to the lender or other beneficiary of the pledge in order for the pledge to be effective; </w:t>
      </w:r>
      <w:r>
        <mc:AlternateContent>
          <mc:Choice Requires="wps">
            <w:drawing>
              <wp:anchor behindDoc="0" distT="76200" distB="0" distL="254000" distR="0" simplePos="0" locked="0" layoutInCell="1" allowOverlap="1" relativeHeight="180">
                <wp:simplePos x="0" y="0"/>
                <wp:positionH relativeFrom="column">
                  <wp:align>left</wp:align>
                </wp:positionH>
                <wp:positionV relativeFrom="line">
                  <wp:align>top</wp:align>
                </wp:positionV>
                <wp:extent cx="127000" cy="350520"/>
                <wp:effectExtent l="0" t="0" r="0" b="0"/>
                <wp:wrapSquare wrapText="right"/>
                <wp:docPr id="172" name="Frame1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depositary’s policies, which may change from time to time, will govern payments, transfers, exchanges and other matters relating to an investor’s interest in the global security; </w:t>
      </w:r>
      <w:r>
        <mc:AlternateContent>
          <mc:Choice Requires="wps">
            <w:drawing>
              <wp:anchor behindDoc="0" distT="76200" distB="0" distL="254000" distR="0" simplePos="0" locked="0" layoutInCell="1" allowOverlap="1" relativeHeight="181">
                <wp:simplePos x="0" y="0"/>
                <wp:positionH relativeFrom="column">
                  <wp:align>left</wp:align>
                </wp:positionH>
                <wp:positionV relativeFrom="line">
                  <wp:align>top</wp:align>
                </wp:positionV>
                <wp:extent cx="127000" cy="350520"/>
                <wp:effectExtent l="0" t="0" r="0" b="0"/>
                <wp:wrapSquare wrapText="right"/>
                <wp:docPr id="173" name="Frame1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and any applicable trustee have no responsibility for any aspect of the depositary’s actions or for its records of ownership interests in the global security, nor will we or any applicable trustee supervise the depositary in any way; </w:t>
      </w:r>
      <w:r>
        <mc:AlternateContent>
          <mc:Choice Requires="wps">
            <w:drawing>
              <wp:anchor behindDoc="0" distT="76200" distB="0" distL="254000" distR="0" simplePos="0" locked="0" layoutInCell="1" allowOverlap="1" relativeHeight="182">
                <wp:simplePos x="0" y="0"/>
                <wp:positionH relativeFrom="column">
                  <wp:align>left</wp:align>
                </wp:positionH>
                <wp:positionV relativeFrom="line">
                  <wp:align>top</wp:align>
                </wp:positionV>
                <wp:extent cx="127000" cy="350520"/>
                <wp:effectExtent l="0" t="0" r="0" b="0"/>
                <wp:wrapSquare wrapText="right"/>
                <wp:docPr id="174" name="Frame1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depositary may, and we understand that DTC will, require that those who purchase and sell interests in the global security within its book-entry system use immediately available funds, and your broker or bank may require you to do so as well; and </w:t>
      </w:r>
      <w:r>
        <mc:AlternateContent>
          <mc:Choice Requires="wps">
            <w:drawing>
              <wp:anchor behindDoc="0" distT="76200" distB="0" distL="254000" distR="0" simplePos="0" locked="0" layoutInCell="1" allowOverlap="1" relativeHeight="183">
                <wp:simplePos x="0" y="0"/>
                <wp:positionH relativeFrom="column">
                  <wp:align>left</wp:align>
                </wp:positionH>
                <wp:positionV relativeFrom="line">
                  <wp:align>top</wp:align>
                </wp:positionV>
                <wp:extent cx="127000" cy="350520"/>
                <wp:effectExtent l="0" t="0" r="0" b="0"/>
                <wp:wrapSquare wrapText="right"/>
                <wp:docPr id="175" name="Frame1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financial institutions that participate in the depositary’s book-entry system, and through which an investor holds its interest in the global security, may also have their own policies affecting payments, notices and other matters relating to the securities. </w:t>
      </w:r>
      <w:r>
        <mc:AlternateContent>
          <mc:Choice Requires="wps">
            <w:drawing>
              <wp:anchor behindDoc="0" distT="76200" distB="0" distL="254000" distR="0" simplePos="0" locked="0" layoutInCell="1" allowOverlap="1" relativeHeight="184">
                <wp:simplePos x="0" y="0"/>
                <wp:positionH relativeFrom="column">
                  <wp:align>left</wp:align>
                </wp:positionH>
                <wp:positionV relativeFrom="line">
                  <wp:align>top</wp:align>
                </wp:positionV>
                <wp:extent cx="127000" cy="350520"/>
                <wp:effectExtent l="0" t="0" r="0" b="0"/>
                <wp:wrapSquare wrapText="right"/>
                <wp:docPr id="176" name="Frame1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may be more than one financial intermediary in the chain of ownership for an investor. We do not monitor and are not responsible for the actions of any of those intermediaries.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Special Situations When a Global Security Will Be Terminated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 few special situations described below, a global security will terminate and interests in it will be exchanged for physical certificates representing those interests. After that exchange, the choice of whether to hold securities directly or in street name will be up to the investor. Investors must consult their own banks or brokers to find out how to have their interests in securities transferred to their own names, so that they will be direct holders. We have described the rights of holders and street name investors above.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we provide otherwise in the applicable prospectus supplement, a global security will terminate when the following special situations occur: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depositary notifies us that it is unwilling, unable or no longer qualified to continue as depositary for that global security and we do not appoint another institution to act as depositary within 90 days; </w:t>
      </w:r>
      <w:r>
        <mc:AlternateContent>
          <mc:Choice Requires="wps">
            <w:drawing>
              <wp:anchor behindDoc="0" distT="76200" distB="0" distL="254000" distR="0" simplePos="0" locked="0" layoutInCell="1" allowOverlap="1" relativeHeight="185">
                <wp:simplePos x="0" y="0"/>
                <wp:positionH relativeFrom="column">
                  <wp:align>left</wp:align>
                </wp:positionH>
                <wp:positionV relativeFrom="line">
                  <wp:align>top</wp:align>
                </wp:positionV>
                <wp:extent cx="127000" cy="350520"/>
                <wp:effectExtent l="0" t="0" r="0" b="0"/>
                <wp:wrapSquare wrapText="right"/>
                <wp:docPr id="177" name="Frame1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notify any applicable trustee that we wish to terminate that global security; or </w:t>
      </w:r>
      <w:r>
        <mc:AlternateContent>
          <mc:Choice Requires="wps">
            <w:drawing>
              <wp:anchor behindDoc="0" distT="76200" distB="0" distL="254000" distR="0" simplePos="0" locked="0" layoutInCell="1" allowOverlap="1" relativeHeight="186">
                <wp:simplePos x="0" y="0"/>
                <wp:positionH relativeFrom="column">
                  <wp:align>left</wp:align>
                </wp:positionH>
                <wp:positionV relativeFrom="line">
                  <wp:align>top</wp:align>
                </wp:positionV>
                <wp:extent cx="127000" cy="350520"/>
                <wp:effectExtent l="0" t="0" r="0" b="0"/>
                <wp:wrapSquare wrapText="right"/>
                <wp:docPr id="178" name="Frame1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 event of default has occurred with regard to securities represented by that global security and has not been cured or waived. </w:t>
      </w:r>
      <w:r>
        <mc:AlternateContent>
          <mc:Choice Requires="wps">
            <w:drawing>
              <wp:anchor behindDoc="0" distT="76200" distB="0" distL="254000" distR="0" simplePos="0" locked="0" layoutInCell="1" allowOverlap="1" relativeHeight="187">
                <wp:simplePos x="0" y="0"/>
                <wp:positionH relativeFrom="column">
                  <wp:align>left</wp:align>
                </wp:positionH>
                <wp:positionV relativeFrom="line">
                  <wp:align>top</wp:align>
                </wp:positionV>
                <wp:extent cx="127000" cy="350520"/>
                <wp:effectExtent l="0" t="0" r="0" b="0"/>
                <wp:wrapSquare wrapText="right"/>
                <wp:docPr id="179" name="Frame1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applicable prospectus supplement may also list additional situations for terminating a global security that would apply only to the particular series of securities covered by the prospectus supplement. When a global security terminates, the depositary, and neither we nor any applicable trustee, is responsible for deciding the names of the institutions that will be the initial direct holders.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 w:name="tPOD"/>
      <w:bookmarkEnd w:id="1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PLAN OF DISTRIBUTION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sell the securities from time to time pursuant to underwritten public offerings, negotiated transactions, block trades or a combination of these methods. We may sell the securities to or through underwriters or dealers, through agents, or directly to one or more purchasers. We may distribute securities from time to time in one or more transactions: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a fixed price or prices, which may be changed; </w:t>
      </w:r>
      <w:r>
        <mc:AlternateContent>
          <mc:Choice Requires="wps">
            <w:drawing>
              <wp:anchor behindDoc="0" distT="78740" distB="0" distL="254000" distR="0" simplePos="0" locked="0" layoutInCell="1" allowOverlap="1" relativeHeight="188">
                <wp:simplePos x="0" y="0"/>
                <wp:positionH relativeFrom="column">
                  <wp:align>left</wp:align>
                </wp:positionH>
                <wp:positionV relativeFrom="line">
                  <wp:align>top</wp:align>
                </wp:positionV>
                <wp:extent cx="127000" cy="350520"/>
                <wp:effectExtent l="0" t="0" r="0" b="0"/>
                <wp:wrapSquare wrapText="right"/>
                <wp:docPr id="180" name="Frame1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market prices prevailing at the time of sale; </w:t>
      </w:r>
      <w:r>
        <mc:AlternateContent>
          <mc:Choice Requires="wps">
            <w:drawing>
              <wp:anchor behindDoc="0" distT="78740" distB="0" distL="254000" distR="0" simplePos="0" locked="0" layoutInCell="1" allowOverlap="1" relativeHeight="189">
                <wp:simplePos x="0" y="0"/>
                <wp:positionH relativeFrom="column">
                  <wp:align>left</wp:align>
                </wp:positionH>
                <wp:positionV relativeFrom="line">
                  <wp:align>top</wp:align>
                </wp:positionV>
                <wp:extent cx="127000" cy="350520"/>
                <wp:effectExtent l="0" t="0" r="0" b="0"/>
                <wp:wrapSquare wrapText="right"/>
                <wp:docPr id="181" name="Frame1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prices related to such prevailing market prices; or </w:t>
      </w:r>
      <w:r>
        <mc:AlternateContent>
          <mc:Choice Requires="wps">
            <w:drawing>
              <wp:anchor behindDoc="0" distT="78740" distB="0" distL="254000" distR="0" simplePos="0" locked="0" layoutInCell="1" allowOverlap="1" relativeHeight="190">
                <wp:simplePos x="0" y="0"/>
                <wp:positionH relativeFrom="column">
                  <wp:align>left</wp:align>
                </wp:positionH>
                <wp:positionV relativeFrom="line">
                  <wp:align>top</wp:align>
                </wp:positionV>
                <wp:extent cx="127000" cy="350520"/>
                <wp:effectExtent l="0" t="0" r="0" b="0"/>
                <wp:wrapSquare wrapText="right"/>
                <wp:docPr id="182" name="Frame1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negotiated prices. </w:t>
      </w:r>
      <w:r>
        <mc:AlternateContent>
          <mc:Choice Requires="wps">
            <w:drawing>
              <wp:anchor behindDoc="0" distT="78740" distB="0" distL="254000" distR="0" simplePos="0" locked="0" layoutInCell="1" allowOverlap="1" relativeHeight="191">
                <wp:simplePos x="0" y="0"/>
                <wp:positionH relativeFrom="column">
                  <wp:align>left</wp:align>
                </wp:positionH>
                <wp:positionV relativeFrom="line">
                  <wp:align>top</wp:align>
                </wp:positionV>
                <wp:extent cx="127000" cy="350520"/>
                <wp:effectExtent l="0" t="0" r="0" b="0"/>
                <wp:wrapSquare wrapText="right"/>
                <wp:docPr id="183" name="Frame1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also sell equity securities covered by this registration statement in an “at the market offering” as defined in Rule 415 under the Securities Act. Such offering may be made into an existing trading market for such securities in transactions at other than a fixed price on or through the facilities of Nasdaq or any other securities exchange or quotation or trading service on which such securities may be listed, quoted or traded at the time of sale.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Such at the market offerings, if any, may be conducted by underwriters acting as principal or agent.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prospectus supplement or supplements (and any related free writing prospectus that we may authorize to be provided to you) will describe the terms of the offering of the securities, including, to the extent applicable: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name or names of any underwriters, dealers or agents, if any; </w:t>
      </w:r>
      <w:r>
        <mc:AlternateContent>
          <mc:Choice Requires="wps">
            <w:drawing>
              <wp:anchor behindDoc="0" distT="78740" distB="0" distL="254000" distR="0" simplePos="0" locked="0" layoutInCell="1" allowOverlap="1" relativeHeight="192">
                <wp:simplePos x="0" y="0"/>
                <wp:positionH relativeFrom="column">
                  <wp:align>left</wp:align>
                </wp:positionH>
                <wp:positionV relativeFrom="line">
                  <wp:align>top</wp:align>
                </wp:positionV>
                <wp:extent cx="127000" cy="350520"/>
                <wp:effectExtent l="0" t="0" r="0" b="0"/>
                <wp:wrapSquare wrapText="right"/>
                <wp:docPr id="184" name="Frame1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purchase price of the securities and the proceeds we will receive from the sale; </w:t>
      </w:r>
      <w:r>
        <mc:AlternateContent>
          <mc:Choice Requires="wps">
            <w:drawing>
              <wp:anchor behindDoc="0" distT="78740" distB="0" distL="254000" distR="0" simplePos="0" locked="0" layoutInCell="1" allowOverlap="1" relativeHeight="193">
                <wp:simplePos x="0" y="0"/>
                <wp:positionH relativeFrom="column">
                  <wp:align>left</wp:align>
                </wp:positionH>
                <wp:positionV relativeFrom="line">
                  <wp:align>top</wp:align>
                </wp:positionV>
                <wp:extent cx="127000" cy="350520"/>
                <wp:effectExtent l="0" t="0" r="0" b="0"/>
                <wp:wrapSquare wrapText="right"/>
                <wp:docPr id="185" name="Frame1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over-allotment options under which underwriters may purchase additional securities from us; </w:t>
      </w:r>
      <w:r>
        <mc:AlternateContent>
          <mc:Choice Requires="wps">
            <w:drawing>
              <wp:anchor behindDoc="0" distT="78740" distB="0" distL="254000" distR="0" simplePos="0" locked="0" layoutInCell="1" allowOverlap="1" relativeHeight="194">
                <wp:simplePos x="0" y="0"/>
                <wp:positionH relativeFrom="column">
                  <wp:align>left</wp:align>
                </wp:positionH>
                <wp:positionV relativeFrom="line">
                  <wp:align>top</wp:align>
                </wp:positionV>
                <wp:extent cx="127000" cy="350520"/>
                <wp:effectExtent l="0" t="0" r="0" b="0"/>
                <wp:wrapSquare wrapText="right"/>
                <wp:docPr id="186" name="Frame1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agency fees or underwriting discounts and other items constituting agents’ or underwriters’ compensation; </w:t>
      </w:r>
      <w:r>
        <mc:AlternateContent>
          <mc:Choice Requires="wps">
            <w:drawing>
              <wp:anchor behindDoc="0" distT="78740" distB="0" distL="254000" distR="0" simplePos="0" locked="0" layoutInCell="1" allowOverlap="1" relativeHeight="195">
                <wp:simplePos x="0" y="0"/>
                <wp:positionH relativeFrom="column">
                  <wp:align>left</wp:align>
                </wp:positionH>
                <wp:positionV relativeFrom="line">
                  <wp:align>top</wp:align>
                </wp:positionV>
                <wp:extent cx="127000" cy="350520"/>
                <wp:effectExtent l="0" t="0" r="0" b="0"/>
                <wp:wrapSquare wrapText="right"/>
                <wp:docPr id="187" name="Frame1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public offering price; </w:t>
      </w:r>
      <w:r>
        <mc:AlternateContent>
          <mc:Choice Requires="wps">
            <w:drawing>
              <wp:anchor behindDoc="0" distT="78740" distB="0" distL="254000" distR="0" simplePos="0" locked="0" layoutInCell="1" allowOverlap="1" relativeHeight="196">
                <wp:simplePos x="0" y="0"/>
                <wp:positionH relativeFrom="column">
                  <wp:align>left</wp:align>
                </wp:positionH>
                <wp:positionV relativeFrom="line">
                  <wp:align>top</wp:align>
                </wp:positionV>
                <wp:extent cx="127000" cy="350520"/>
                <wp:effectExtent l="0" t="0" r="0" b="0"/>
                <wp:wrapSquare wrapText="right"/>
                <wp:docPr id="188" name="Frame1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discounts or concessions allowed or reallowed or paid to dealers; and </w:t>
      </w:r>
      <w:r>
        <mc:AlternateContent>
          <mc:Choice Requires="wps">
            <w:drawing>
              <wp:anchor behindDoc="0" distT="78740" distB="0" distL="254000" distR="0" simplePos="0" locked="0" layoutInCell="1" allowOverlap="1" relativeHeight="197">
                <wp:simplePos x="0" y="0"/>
                <wp:positionH relativeFrom="column">
                  <wp:align>left</wp:align>
                </wp:positionH>
                <wp:positionV relativeFrom="line">
                  <wp:align>top</wp:align>
                </wp:positionV>
                <wp:extent cx="127000" cy="350520"/>
                <wp:effectExtent l="0" t="0" r="0" b="0"/>
                <wp:wrapSquare wrapText="right"/>
                <wp:docPr id="189" name="Frame1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securities exchange or market on which the securities may be listed. </w:t>
      </w:r>
      <w:r>
        <mc:AlternateContent>
          <mc:Choice Requires="wps">
            <w:drawing>
              <wp:anchor behindDoc="0" distT="78740" distB="0" distL="254000" distR="0" simplePos="0" locked="0" layoutInCell="1" allowOverlap="1" relativeHeight="198">
                <wp:simplePos x="0" y="0"/>
                <wp:positionH relativeFrom="column">
                  <wp:align>left</wp:align>
                </wp:positionH>
                <wp:positionV relativeFrom="line">
                  <wp:align>top</wp:align>
                </wp:positionV>
                <wp:extent cx="127000" cy="350520"/>
                <wp:effectExtent l="0" t="0" r="0" b="0"/>
                <wp:wrapSquare wrapText="right"/>
                <wp:docPr id="190" name="Frame1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Only underwriters named in the prospectus supplement are underwriters of the securities offered by the prospectus supplement.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underwriters are used in the sale, they will acquire the securities for their own account and may resell the securities from time to time in one or more transactions at a fixed public offering price or at varying prices determined at the time of sale. The obligations of the underwriters to purchase the securities will be subject to the conditions set forth in the applicable underwriting agreement. We may offer the securities to the public through underwriting syndicates represented by managing underwriters or by underwriters without a syndicate. Subject to certain conditions, the underwriters will be obligated to purchase all of the securities offered by the prospectus supplement, other than securities covered by an overallotment or other option. Any public offering price and any discounts or concessions allowed or reallowed or paid to dealers may change from time to time. We may use underwriters with whom we have a material relationship. We will describe in the prospectus supplement, naming the underwriter, the nature of any such relationship.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sell securities directly or through agents we designate from time to time. We will name any agent involved in the offering and sale of securities, and we will describe any commissions we will pay the agent in the prospectus supplement. Unless the prospectus supplement states otherwise, our agent will act on a best-efforts basis for the period of its appointment.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authorize agents or underwriters to solicit offers by certain types of institutional investors to purchase securities from us at the public offering price set forth in the prospectus supplement pursuant to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72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delayed delivery contracts providing for payment and delivery on a specified date in the future. We will describe the conditions to these contracts and the commissions we must pay for solicitation of these contracts in the prospectus supplement.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provide agents and underwriters with indemnification against civil liabilities related to any offering, including liabilities under the Securities Act, or contribution with respect to payments that the agents or underwriters may make with respect to these liabilities. Agents and underwriters may engage in transactions with, or perform services for, us in the ordinary course of business.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securities we may offer, other than common shares, will be new issues of securities with no established trading market. Any underwriters may make a market in these securities, but will not be obligated to do so and may discontinue any market making at any time without notice. We cannot guarantee the liquidity of the trading markets for any securities.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underwriter may engage in overallotment, stabilizing transactions, short covering transactions and penalty bids. Overallotment involves sales in excess of the offering size, which create a short position. Stabilizing transactions permit bids to purchase the underlying security so long as the stabilizing bids do not exceed a specified maximum. Short covering transactions involve purchases of the securities in the open market after the distribution is completed to cover short positions. Penalty bids permit the underwriters to reclaim a selling concession from a dealer when the securities originally sold by the dealer are purchased in a stabilizing or covering transaction to cover short positions. Those activities may cause the price of the securities to be higher than it would otherwise be. If commenced, the underwriters may discontinue any of the activities at any time. These transactions may be effected on any exchange or over-the-counter market or otherwise.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underwriters or agents who are qualified market makers on Nasdaq may engage in passive market making transactions in the securities on Nasdaq in accordance with Rule 103 of Regulation M, during the business day prior to the pricing of the offering, before the commencement of offers or sales of the securities.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 Passive market making may stabilize the market price of the securities at a level above that which might otherwise prevail in the open market and, if commenced, may be discontinued at any time.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 w:name="tLEMA"/>
      <w:bookmarkEnd w:id="14"/>
      <w:r>
        <w:rPr>
          <w:rFonts w:ascii="calibri;arial;sans-serif" w:hAnsi="calibri;arial;sans-serif"/>
          <w:b w:val="false"/>
          <w:i w:val="false"/>
          <w:caps w:val="false"/>
          <w:smallCaps w:val="false"/>
          <w:color w:val="000000"/>
          <w:sz w:val="16"/>
        </w:rPr>
        <w:t>​</w:t>
      </w:r>
      <w:bookmarkStart w:id="15" w:name="tEXP"/>
      <w:bookmarkEnd w:id="1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1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LEGAL MATTERS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the applicable prospectus supplement indicates otherwise, the validity of the securities in respect of which this prospectus, and any supplement thereto, is being delivered and certain legal matters with respect to Canadian law will be passed upon by Osler, Hoskin &amp; Harcourt LLP, Montréal, Canada. Certain matters in respect of U.S. securities laws may be opined upon by Cooley LLP. Additional legal matters may be passed upon for us or any underwriters, dealers or agents, by counsel that we will name in the applicable prospectus supplement.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EXPERTS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consolidated financial statements incorporated in this prospectus by reference to the Annual Report on Form 10-K for the year ended December 31, 2025 have been so incorporated in reliance on the report of PricewaterhouseCoopers LLP, an independent registered public accounting firm, given on the authority of said firm as experts in auditing and accounting.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 w:name="tWYCF"/>
      <w:bookmarkEnd w:id="1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9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WHERE YOU CAN FIND MORE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is part of a registration statement we filed with the SEC. This prospectus does not contain all of the information set forth in the registration statement and the exhibits to the registration statement. For further information with respect to us and the securities we are offering under this prospectus, we refer you to the registration statement and the exhibits and schedules filed as a part of the registration statement. You should rely only on the information contained in this prospectus or incorporated by reference. We have not authorized anyone else to provide you with different information. We are not making an offer of these securities in any state where the offer is not permitted. You should not assume that the information in this prospectus is accurate as of any date other than the date on the front page of this prospectus, regardless of the time of delivery of this prospectus or any sale of the securities offered by this prospectus.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may read our SEC filings, including this registration statement, over the Internet at the SEC’s website at www.sec.gov. We are subject to the information reporting requirements of the Exchange Act and we must file reports, proxy statements and other information with the SEC. These reports, proxy statements and other information are available on the website of the SEC referred to above. We also maintain a website at www.milestonepharma.com, at which you may access these materials free of charge as soon as reasonably practicable after they are electronically filed with, or furnished to, the SEC. Information contained on or accessible through our website is not a part of this prospectus, and the inclusion of our website address in this prospectus is an inactive textual reference only.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7" w:name="tIOCI"/>
      <w:bookmarkEnd w:id="1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4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INCORPORATION OF CERTAIN INFORMATION BY REFERENCE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 allows us to “incorporate by reference” information into this prospectus, which means that we can disclose important information to you by referring you to another document filed separately with the SEC. The SEC file number for the documents incorporated by reference in this prospectus is 001-38899. The documents incorporated by reference into this prospectus contain important information that you should read about us.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documents are incorporated by reference into this document: </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our </w:t>
      </w:r>
      <w:hyperlink r:id="rId4">
        <w:r>
          <w:rPr>
            <w:rStyle w:val="InternetLink"/>
          </w:rPr>
          <w:t>Annual Report on Form 10-K for the year ended December 31, 2025, filed with the SEC on March 20, 2026</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99">
                <wp:simplePos x="0" y="0"/>
                <wp:positionH relativeFrom="column">
                  <wp:align>left</wp:align>
                </wp:positionH>
                <wp:positionV relativeFrom="line">
                  <wp:align>top</wp:align>
                </wp:positionV>
                <wp:extent cx="127000" cy="350520"/>
                <wp:effectExtent l="0" t="0" r="0" b="0"/>
                <wp:wrapSquare wrapText="right"/>
                <wp:docPr id="191" name="Frame1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the information specifically incorporated by reference in our </w:t>
      </w:r>
      <w:hyperlink r:id="rId5">
        <w:r>
          <w:rPr>
            <w:rStyle w:val="InternetLink"/>
          </w:rPr>
          <w:t>Annual Report on Form 10-K for the year ended December 31, 2025, which was filed with the SEC on March 20, 2026</w:t>
        </w:r>
      </w:hyperlink>
      <w:r>
        <w:rPr>
          <w:rFonts w:ascii="Times New Roman;Times;serif" w:hAnsi="Times New Roman;Times;serif"/>
          <w:b w:val="false"/>
          <w:i w:val="false"/>
          <w:caps w:val="false"/>
          <w:smallCaps w:val="false"/>
          <w:color w:val="000000"/>
          <w:spacing w:val="4"/>
          <w:sz w:val="20"/>
        </w:rPr>
        <w:t xml:space="preserve">, from our </w:t>
      </w:r>
      <w:hyperlink r:id="rId6">
        <w:r>
          <w:rPr>
            <w:rStyle w:val="InternetLink"/>
          </w:rPr>
          <w:t>Definitive Proxy Statement on Schedule 14A relating to our 2026 Annual Meeting of Shareholders, which was filed with the SEC on April 30, 2026</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200">
                <wp:simplePos x="0" y="0"/>
                <wp:positionH relativeFrom="column">
                  <wp:align>left</wp:align>
                </wp:positionH>
                <wp:positionV relativeFrom="line">
                  <wp:align>top</wp:align>
                </wp:positionV>
                <wp:extent cx="127000" cy="350520"/>
                <wp:effectExtent l="0" t="0" r="0" b="0"/>
                <wp:wrapSquare wrapText="right"/>
                <wp:docPr id="192" name="Frame1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our Quarterly Report on Form 10-Q for the three months ended March 31, 2026, which was filed with the SEC on </w:t>
      </w:r>
      <w:hyperlink r:id="rId7">
        <w:r>
          <w:rPr>
            <w:rStyle w:val="InternetLink"/>
          </w:rPr>
          <w:t>May 13, 2026</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201">
                <wp:simplePos x="0" y="0"/>
                <wp:positionH relativeFrom="column">
                  <wp:align>left</wp:align>
                </wp:positionH>
                <wp:positionV relativeFrom="line">
                  <wp:align>top</wp:align>
                </wp:positionV>
                <wp:extent cx="127000" cy="350520"/>
                <wp:effectExtent l="0" t="0" r="0" b="0"/>
                <wp:wrapSquare wrapText="right"/>
                <wp:docPr id="193" name="Frame1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our Current Reports on Form 8-K filed with the SEC on </w:t>
      </w:r>
      <w:hyperlink r:id="rId8">
        <w:r>
          <w:rPr>
            <w:rStyle w:val="InternetLink"/>
          </w:rPr>
          <w:t>January 6, 2026</w:t>
        </w:r>
      </w:hyperlink>
      <w:r>
        <w:rPr>
          <w:rFonts w:ascii="Times New Roman;Times;serif" w:hAnsi="Times New Roman;Times;serif"/>
          <w:b w:val="false"/>
          <w:i w:val="false"/>
          <w:caps w:val="false"/>
          <w:smallCaps w:val="false"/>
          <w:color w:val="000000"/>
          <w:spacing w:val="4"/>
          <w:sz w:val="20"/>
        </w:rPr>
        <w:t xml:space="preserve">, </w:t>
      </w:r>
      <w:hyperlink r:id="rId9">
        <w:r>
          <w:rPr>
            <w:rStyle w:val="InternetLink"/>
          </w:rPr>
          <w:t>January 13, 2026</w:t>
        </w:r>
      </w:hyperlink>
      <w:r>
        <w:rPr>
          <w:rFonts w:ascii="Times New Roman;Times;serif" w:hAnsi="Times New Roman;Times;serif"/>
          <w:b w:val="false"/>
          <w:i w:val="false"/>
          <w:caps w:val="false"/>
          <w:smallCaps w:val="false"/>
          <w:color w:val="000000"/>
          <w:spacing w:val="4"/>
          <w:sz w:val="20"/>
        </w:rPr>
        <w:t xml:space="preserve"> and </w:t>
      </w:r>
      <w:hyperlink r:id="rId10">
        <w:r>
          <w:rPr>
            <w:rStyle w:val="InternetLink"/>
          </w:rPr>
          <w:t>January 26, 2026</w:t>
        </w:r>
      </w:hyperlink>
      <w:r>
        <w:rPr>
          <w:rFonts w:ascii="Times New Roman;Times;serif" w:hAnsi="Times New Roman;Times;serif"/>
          <w:b w:val="false"/>
          <w:i w:val="false"/>
          <w:caps w:val="false"/>
          <w:smallCaps w:val="false"/>
          <w:color w:val="000000"/>
          <w:spacing w:val="4"/>
          <w:sz w:val="20"/>
        </w:rPr>
        <w:t xml:space="preserve">, to the extent the information in such reports is filed and not furnished; and </w:t>
      </w:r>
      <w:r>
        <mc:AlternateContent>
          <mc:Choice Requires="wps">
            <w:drawing>
              <wp:anchor behindDoc="0" distT="76200" distB="0" distL="254000" distR="0" simplePos="0" locked="0" layoutInCell="1" allowOverlap="1" relativeHeight="202">
                <wp:simplePos x="0" y="0"/>
                <wp:positionH relativeFrom="column">
                  <wp:align>left</wp:align>
                </wp:positionH>
                <wp:positionV relativeFrom="line">
                  <wp:align>top</wp:align>
                </wp:positionV>
                <wp:extent cx="127000" cy="350520"/>
                <wp:effectExtent l="0" t="0" r="0" b="0"/>
                <wp:wrapSquare wrapText="right"/>
                <wp:docPr id="194" name="Frame1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the description of our common shares contained in our Registration Statement on </w:t>
      </w:r>
      <w:hyperlink r:id="rId11">
        <w:r>
          <w:rPr>
            <w:rStyle w:val="InternetLink"/>
          </w:rPr>
          <w:t>Form 8-A, filed with the SEC on May 6, 2019</w:t>
        </w:r>
      </w:hyperlink>
      <w:r>
        <w:rPr>
          <w:rFonts w:ascii="Times New Roman;Times;serif" w:hAnsi="Times New Roman;Times;serif"/>
          <w:b w:val="false"/>
          <w:i w:val="false"/>
          <w:caps w:val="false"/>
          <w:smallCaps w:val="false"/>
          <w:color w:val="000000"/>
          <w:spacing w:val="4"/>
          <w:sz w:val="20"/>
        </w:rPr>
        <w:t xml:space="preserve">, including any amendments or reports filed for the purposes of updating this description. </w:t>
      </w:r>
      <w:r>
        <mc:AlternateContent>
          <mc:Choice Requires="wps">
            <w:drawing>
              <wp:anchor behindDoc="0" distT="76200" distB="0" distL="254000" distR="0" simplePos="0" locked="0" layoutInCell="1" allowOverlap="1" relativeHeight="203">
                <wp:simplePos x="0" y="0"/>
                <wp:positionH relativeFrom="column">
                  <wp:align>left</wp:align>
                </wp:positionH>
                <wp:positionV relativeFrom="line">
                  <wp:align>top</wp:align>
                </wp:positionV>
                <wp:extent cx="127000" cy="350520"/>
                <wp:effectExtent l="0" t="0" r="0" b="0"/>
                <wp:wrapSquare wrapText="right"/>
                <wp:docPr id="195" name="Frame1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Notwithstanding the statements in the preceding paragraphs, no document, report or exhibit (or portion of any of the foregoing) or any other information that we have “furnished” to the SEC pursuant to the Exchange Act shall be incorporated by reference into this prospectus.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also incorporate by reference into this prospectus all documents (other than current reports furnished under Item 2.02 or Item 7.01 of Form 8-K and exhibits filed on such form that are related to such items) that are filed by us with the SEC pursuant to Sections 13(a), 13(c), 14 or 15(d) of the Exchange Act (i) after the date of the initial filing of the registration statement of which this prospectus forms a part and prior to effectiveness of the registration statement, or (ii) after the date of this prospectus but prior to the termination of the offering. These documents include periodic reports, such as Annual Reports on Form 10-K, Quarterly Reports on Form 10-Q and Current Reports on Form 8-K, as well as proxy statements.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provide to each person, including any beneficial owner, to whom a prospectus is delivered, without charge upon written or oral request, a copy of any or all of the documents that are incorporated by reference into this prospectus but not delivered with the prospectus, including exhibits that are specifically incorporated by reference into such documents. You should direct any requests for documents to Milestone Pharmaceuticals Inc., Attn: Company Secretary; 1111 Dr. Frederik-Philips Boulevard, Suite 420, Montréal, Québec, Canada H4M 2X6.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Any statement contained herein or in a document incorporated or deemed to be incorporated by reference into this prospectus will be deemed to be modified or superseded for purposes of the document to the extent that a statement contained in this document or any other subsequently filed document that is deemed to be incorporated by reference into this prospectus modifies or supersedes the statement.</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557" w:after="437"/>
        <w:ind w:left="1753" w:right="0" w:hanging="0"/>
        <w:jc w:val="center"/>
        <w:rPr>
          <w:rFonts w:ascii="Times New Roman;Times;serif" w:hAnsi="Times New Roman;Times;serif"/>
          <w:b/>
          <w:i w:val="false"/>
          <w:caps w:val="false"/>
          <w:smallCaps w:val="false"/>
          <w:color w:val="FC0014"/>
          <w:sz w:val="20"/>
        </w:rPr>
      </w:pPr>
      <w:r>
        <w:rPr>
          <w:rFonts w:ascii="Times New Roman;Times;serif" w:hAnsi="Times New Roman;Times;serif"/>
          <w:b/>
          <w:i w:val="false"/>
          <w:caps w:val="false"/>
          <w:smallCaps w:val="false"/>
          <w:color w:val="FC0014"/>
          <w:spacing w:val="-4"/>
          <w:sz w:val="20"/>
        </w:rPr>
        <w:t>Subject to Completion, dated May 13, 2026.</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PROSPECTUS</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(To Prospectus Dated            , 2026) </w:t>
      </w:r>
    </w:p>
    <w:p>
      <w:pPr>
        <w:pStyle w:val="TextBody"/>
        <w:bidi w:val="0"/>
        <w:spacing w:before="200" w:after="283"/>
        <w:jc w:val="center"/>
        <w:rPr>
          <w:caps w:val="false"/>
          <w:smallCaps w:val="false"/>
          <w:color w:val="000000"/>
        </w:rPr>
      </w:pPr>
      <w:r>
        <w:rPr>
          <w:caps w:val="false"/>
          <w:smallCaps w:val="false"/>
          <w:color w:val="000000"/>
        </w:rPr>
        <w:drawing>
          <wp:inline distT="0" distB="0" distL="0" distR="0">
            <wp:extent cx="2409825" cy="466725"/>
            <wp:effectExtent l="0" t="0" r="0" b="0"/>
            <wp:docPr id="19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Image2" descr=""/>
                    <pic:cNvPicPr>
                      <a:picLocks noChangeAspect="1" noChangeArrowheads="1"/>
                    </pic:cNvPicPr>
                  </pic:nvPicPr>
                  <pic:blipFill>
                    <a:blip r:embed="rId12"/>
                    <a:stretch>
                      <a:fillRect/>
                    </a:stretch>
                  </pic:blipFill>
                  <pic:spPr bwMode="auto">
                    <a:xfrm>
                      <a:off x="0" y="0"/>
                      <a:ext cx="2409825" cy="466725"/>
                    </a:xfrm>
                    <a:prstGeom prst="rect">
                      <a:avLst/>
                    </a:prstGeom>
                  </pic:spPr>
                </pic:pic>
              </a:graphicData>
            </a:graphic>
          </wp:inline>
        </w:drawing>
      </w:r>
      <w:r>
        <w:rPr>
          <w:caps w:val="false"/>
          <w:smallCaps w:val="false"/>
          <w:color w:val="000000"/>
        </w:rPr>
        <w:t xml:space="preserve"> </w:t>
      </w:r>
    </w:p>
    <w:p>
      <w:pPr>
        <w:pStyle w:val="TextBody"/>
        <w:bidi w:val="0"/>
        <w:spacing w:lineRule="atLeast" w:line="320" w:before="34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Up to $100,000,000</w:t>
      </w:r>
      <w:r>
        <w:rPr>
          <w:rFonts w:ascii="Times New Roman;Times;serif" w:hAnsi="Times New Roman;Times;serif"/>
          <w:b/>
          <w:i w:val="false"/>
          <w:caps w:val="false"/>
          <w:smallCaps w:val="false"/>
          <w:color w:val="000000"/>
          <w:sz w:val="28"/>
        </w:rPr>
        <w:t xml:space="preserve"> </w:t>
        <w:br/>
      </w:r>
      <w:r>
        <w:rPr>
          <w:rFonts w:ascii="Times New Roman;Times;serif" w:hAnsi="Times New Roman;Times;serif"/>
          <w:b/>
          <w:i w:val="false"/>
          <w:caps w:val="false"/>
          <w:smallCaps w:val="false"/>
          <w:color w:val="000000"/>
          <w:spacing w:val="-6"/>
          <w:sz w:val="28"/>
        </w:rPr>
        <w:t>Common Shares</w:t>
      </w:r>
      <w:r>
        <w:rPr>
          <w:rFonts w:ascii="Times New Roman;Times;serif" w:hAnsi="Times New Roman;Times;serif"/>
          <w:b/>
          <w:i w:val="false"/>
          <w:caps w:val="false"/>
          <w:smallCaps w:val="false"/>
          <w:color w:val="000000"/>
          <w:spacing w:val="6"/>
          <w:sz w:val="28"/>
        </w:rPr>
        <w:t xml:space="preserve"> </w:t>
      </w:r>
    </w:p>
    <w:p>
      <w:pPr>
        <w:pStyle w:val="TextBody"/>
        <w:bidi w:val="0"/>
        <w:spacing w:lineRule="atLeast" w:line="240" w:before="160" w:after="283"/>
        <w:ind w:left="175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have entered into a Controlled Equity Offering</w:t>
      </w:r>
      <w:r>
        <w:rPr>
          <w:rFonts w:ascii="Times New Roman;Times;serif" w:hAnsi="Times New Roman;Times;serif"/>
          <w:b w:val="false"/>
          <w:i w:val="false"/>
          <w:caps w:val="false"/>
          <w:smallCaps w:val="false"/>
          <w:color w:val="000000"/>
          <w:spacing w:val="3"/>
          <w:sz w:val="15"/>
        </w:rPr>
        <w:t>SM</w:t>
      </w:r>
      <w:r>
        <w:rPr>
          <w:rFonts w:ascii="Times New Roman;Times;serif" w:hAnsi="Times New Roman;Times;serif"/>
          <w:b w:val="false"/>
          <w:i w:val="false"/>
          <w:caps w:val="false"/>
          <w:smallCaps w:val="false"/>
          <w:color w:val="000000"/>
          <w:spacing w:val="4"/>
          <w:sz w:val="20"/>
        </w:rPr>
        <w:t xml:space="preserve"> Sales Agreement, or the sales agreement, with Cantor Fitzgerald &amp; Co., or Cantor, dated May 13, 2026, relating to the sale of our common shares offered by this prospectus. In accordance with the terms of the sales agreement, under this prospectus, we may offer and sell common shares having an aggregate offering price of up to $100,000,000 from time to time through Cantor, acting as our sales agent. </w:t>
      </w:r>
    </w:p>
    <w:p>
      <w:pPr>
        <w:pStyle w:val="TextBody"/>
        <w:bidi w:val="0"/>
        <w:spacing w:lineRule="atLeast" w:line="240" w:before="160" w:after="283"/>
        <w:ind w:left="175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common shares are listed on The Nasdaq Stock Market LLC, or Nasdaq, under the trading symbol “MIST.” On May 12, 2026, the last reported sale price of our common shares on Nasdaq was $1.90 per share. </w:t>
      </w:r>
    </w:p>
    <w:p>
      <w:pPr>
        <w:pStyle w:val="TextBody"/>
        <w:bidi w:val="0"/>
        <w:spacing w:lineRule="atLeast" w:line="240" w:before="160" w:after="283"/>
        <w:ind w:left="175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Sales of our common shares, if any, under this prospectus may be made in sales deemed to be “at the market offerings” as defined in Rule 415(a)(4) promulgated under the Securities Act of 1933, as amended, or the Securities Act. Cantor is not required to sell any specific number or dollar amount of our common shares, but will act as our sales agent and use commercially reasonable efforts to sell on our behalf all of the common shares requested to be sold by us, consistent with its normal sales and trading practices, on mutually agreed terms between Cantor and us. There is no arrangement for funds to be received in any escrow, trust or similar arrangement. </w:t>
      </w:r>
    </w:p>
    <w:p>
      <w:pPr>
        <w:pStyle w:val="TextBody"/>
        <w:bidi w:val="0"/>
        <w:spacing w:lineRule="atLeast" w:line="240" w:before="160" w:after="283"/>
        <w:ind w:left="1753" w:right="0" w:firstLine="400"/>
        <w:jc w:val="left"/>
        <w:rPr/>
      </w:pPr>
      <w:r>
        <w:rPr>
          <w:rFonts w:ascii="Times New Roman;Times;serif" w:hAnsi="Times New Roman;Times;serif"/>
          <w:b w:val="false"/>
          <w:i w:val="false"/>
          <w:caps w:val="false"/>
          <w:smallCaps w:val="false"/>
          <w:color w:val="000000"/>
          <w:spacing w:val="4"/>
          <w:sz w:val="20"/>
        </w:rPr>
        <w:t xml:space="preserve">Cantor will be entitled to compensation under the terms of the sales agreement at a fixed commission rate of up to 3.0% of the gross sales price per share sold under the sales agreement. See “Plan of Distribution” beginning on page </w:t>
      </w:r>
      <w:hyperlink w:anchor="tPOD1">
        <w:r>
          <w:rPr>
            <w:rStyle w:val="InternetLink"/>
          </w:rPr>
          <w:t>12</w:t>
        </w:r>
      </w:hyperlink>
      <w:r>
        <w:rPr>
          <w:rFonts w:ascii="Times New Roman;Times;serif" w:hAnsi="Times New Roman;Times;serif"/>
          <w:b w:val="false"/>
          <w:i w:val="false"/>
          <w:caps w:val="false"/>
          <w:smallCaps w:val="false"/>
          <w:color w:val="000000"/>
          <w:spacing w:val="4"/>
          <w:sz w:val="20"/>
        </w:rPr>
        <w:t xml:space="preserve"> for additional information regarding Cantor’s compensation. In connection with the sale of our common shares on our behalf, Cantor will be deemed to be an “underwriter” within the meaning of the Securities Act and the compensation of Cantor will be deemed to be underwriting commissions or discounts. We have also agreed to provide indemnification and contribution to Cantor with respect to certain liabilities, including liabilities under the Securities Act. </w:t>
      </w:r>
    </w:p>
    <w:p>
      <w:pPr>
        <w:pStyle w:val="TextBody"/>
        <w:bidi w:val="0"/>
        <w:spacing w:lineRule="atLeast" w:line="240" w:before="160" w:after="283"/>
        <w:ind w:left="175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a “smaller reporting company” under federal securities laws and as such, have elected to comply with reduced public company reporting requirements for this prospectus and may elect to comply with reduced public company reporting requirements in future filings. See “Prospectus Summary — Implications of Being a Smaller Reporting Company and a Non-Accelerated Filer.” </w:t>
      </w:r>
    </w:p>
    <w:p>
      <w:pPr>
        <w:pStyle w:val="TextBody"/>
        <w:bidi w:val="0"/>
        <w:spacing w:lineRule="atLeast" w:line="240" w:before="160" w:after="283"/>
        <w:ind w:left="1753" w:right="0" w:firstLine="400"/>
        <w:jc w:val="left"/>
        <w:rPr/>
      </w:pPr>
      <w:r>
        <w:rPr>
          <w:rFonts w:ascii="Times New Roman;Times;serif" w:hAnsi="Times New Roman;Times;serif"/>
          <w:b/>
          <w:i/>
          <w:caps w:val="false"/>
          <w:smallCaps w:val="false"/>
          <w:color w:val="000000"/>
          <w:spacing w:val="-4"/>
          <w:sz w:val="20"/>
        </w:rPr>
        <w:t xml:space="preserve">Investing in our securities involves a high degree of risk. You should review carefully the risks and uncertainties described under the heading “Risk Factors,” beginning on page </w:t>
      </w:r>
      <w:hyperlink w:anchor="tRIFA1">
        <w:r>
          <w:rPr>
            <w:rStyle w:val="InternetLink"/>
          </w:rPr>
          <w:t>5</w:t>
        </w:r>
      </w:hyperlink>
      <w:r>
        <w:rPr>
          <w:rFonts w:ascii="Times New Roman;Times;serif" w:hAnsi="Times New Roman;Times;serif"/>
          <w:b/>
          <w:i/>
          <w:caps w:val="false"/>
          <w:smallCaps w:val="false"/>
          <w:color w:val="000000"/>
          <w:spacing w:val="-4"/>
          <w:sz w:val="20"/>
        </w:rPr>
        <w:t xml:space="preserve"> of this prospectus and the other documents that are incorporated by reference into this prospectus.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75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NEITHER THE SECURITIES AND EXCHANGE COMMISSION NOR ANY STATE SECURITIES COMMISSION HAS APPROVED OR DISAPPROVED OF THESE SECURITIES OR DETERMINED IF THIS PROSPECTUS IS TRUTHFUL OR COMPLETE. ANY REPRESENTATION TO THE CONTRARY IS A CRIMINAL OFFENSE.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400" w:before="820" w:after="283"/>
        <w:jc w:val="center"/>
        <w:rPr>
          <w:rFonts w:ascii="Times New Roman;Times;serif" w:hAnsi="Times New Roman;Times;serif"/>
          <w:b/>
          <w:i w:val="false"/>
          <w:caps w:val="false"/>
          <w:smallCaps w:val="false"/>
          <w:color w:val="000000"/>
          <w:sz w:val="36"/>
        </w:rPr>
      </w:pPr>
      <w:r>
        <w:rPr>
          <w:rFonts w:ascii="Times New Roman;Times;serif" w:hAnsi="Times New Roman;Times;serif"/>
          <w:b/>
          <w:i w:val="false"/>
          <w:caps w:val="false"/>
          <w:smallCaps w:val="false"/>
          <w:color w:val="000000"/>
          <w:spacing w:val="-7"/>
          <w:sz w:val="36"/>
        </w:rPr>
        <w:t>Cantor</w:t>
      </w:r>
      <w:r>
        <w:rPr>
          <w:rFonts w:ascii="Times New Roman;Times;serif" w:hAnsi="Times New Roman;Times;serif"/>
          <w:b/>
          <w:i w:val="false"/>
          <w:caps w:val="false"/>
          <w:smallCaps w:val="false"/>
          <w:color w:val="000000"/>
          <w:spacing w:val="7"/>
          <w:sz w:val="36"/>
        </w:rPr>
        <w:t xml:space="preserve"> </w:t>
      </w:r>
    </w:p>
    <w:p>
      <w:pPr>
        <w:pStyle w:val="TextBody"/>
        <w:bidi w:val="0"/>
        <w:spacing w:lineRule="atLeast" w:line="240" w:before="82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date of this prospectus is            , 2026.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8" w:name="TOC2"/>
      <w:bookmarkEnd w:id="1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75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7703"/>
        <w:gridCol w:w="109"/>
        <w:gridCol w:w="109"/>
        <w:gridCol w:w="109"/>
        <w:gridCol w:w="109"/>
        <w:gridCol w:w="409"/>
        <w:gridCol w:w="109"/>
        <w:gridCol w:w="155"/>
      </w:tblGrid>
      <w:tr>
        <w:trPr/>
        <w:tc>
          <w:tcPr>
            <w:tcW w:w="770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36"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Page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7703" w:type="dxa"/>
            <w:tcBorders/>
            <w:shd w:fill="CCEEFF" w:val="clear"/>
            <w:tcMar>
              <w:bottom w:w="0" w:type="dxa"/>
            </w:tcMar>
            <w:vAlign w:val="center"/>
          </w:tcPr>
          <w:p>
            <w:pPr>
              <w:pStyle w:val="TableContents"/>
              <w:bidi w:val="0"/>
              <w:spacing w:before="0" w:after="0"/>
              <w:jc w:val="left"/>
              <w:rPr/>
            </w:pPr>
            <w:hyperlink w:anchor="tATP1">
              <w:r>
                <w:rPr>
                  <w:rStyle w:val="InternetLink"/>
                  <w:spacing w:val="4"/>
                </w:rPr>
                <w:t xml:space="preserve">ABOUT THIS PROSPECTUS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9" w:type="dxa"/>
            <w:tcBorders/>
            <w:shd w:fill="CCEEFF" w:val="clear"/>
            <w:tcMar>
              <w:bottom w:w="0" w:type="dxa"/>
            </w:tcMar>
            <w:vAlign w:val="center"/>
          </w:tcPr>
          <w:p>
            <w:pPr>
              <w:pStyle w:val="TableContents"/>
              <w:bidi w:val="0"/>
              <w:spacing w:before="0" w:after="283"/>
              <w:jc w:val="right"/>
              <w:rPr/>
            </w:pPr>
            <w:hyperlink w:anchor="tATP1">
              <w:r>
                <w:rPr>
                  <w:rStyle w:val="InternetLink"/>
                  <w:spacing w:val="4"/>
                </w:rPr>
                <w:t>1</w:t>
              </w:r>
            </w:hyperlink>
            <w:hyperlink w:anchor="tATP1">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03" w:type="dxa"/>
            <w:tcBorders/>
            <w:tcMar>
              <w:bottom w:w="0" w:type="dxa"/>
            </w:tcMar>
            <w:vAlign w:val="center"/>
          </w:tcPr>
          <w:p>
            <w:pPr>
              <w:pStyle w:val="TableContents"/>
              <w:bidi w:val="0"/>
              <w:spacing w:before="0" w:after="0"/>
              <w:jc w:val="left"/>
              <w:rPr/>
            </w:pPr>
            <w:hyperlink w:anchor="tPROSP">
              <w:r>
                <w:rPr>
                  <w:rStyle w:val="InternetLink"/>
                  <w:spacing w:val="4"/>
                </w:rPr>
                <w:t>PROSPECTUS SUMMARY</w:t>
              </w:r>
            </w:hyperlink>
            <w:hyperlink w:anchor="tPROSP">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9" w:type="dxa"/>
            <w:tcBorders/>
            <w:tcMar>
              <w:bottom w:w="0" w:type="dxa"/>
            </w:tcMar>
            <w:vAlign w:val="center"/>
          </w:tcPr>
          <w:p>
            <w:pPr>
              <w:pStyle w:val="TableContents"/>
              <w:bidi w:val="0"/>
              <w:spacing w:before="0" w:after="283"/>
              <w:jc w:val="right"/>
              <w:rPr/>
            </w:pPr>
            <w:hyperlink w:anchor="tPROSP">
              <w:r>
                <w:rPr>
                  <w:rStyle w:val="InternetLink"/>
                  <w:spacing w:val="4"/>
                </w:rPr>
                <w:t>2</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03" w:type="dxa"/>
            <w:tcBorders/>
            <w:shd w:fill="CCEEFF" w:val="clear"/>
            <w:tcMar>
              <w:bottom w:w="0" w:type="dxa"/>
            </w:tcMar>
            <w:vAlign w:val="center"/>
          </w:tcPr>
          <w:p>
            <w:pPr>
              <w:pStyle w:val="TableContents"/>
              <w:bidi w:val="0"/>
              <w:spacing w:before="0" w:after="0"/>
              <w:jc w:val="left"/>
              <w:rPr/>
            </w:pPr>
            <w:hyperlink w:anchor="tOFFG">
              <w:r>
                <w:rPr>
                  <w:rStyle w:val="InternetLink"/>
                  <w:spacing w:val="4"/>
                </w:rPr>
                <w:t>THE OFFERING</w:t>
              </w:r>
            </w:hyperlink>
            <w:hyperlink w:anchor="tOFFG">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9" w:type="dxa"/>
            <w:tcBorders/>
            <w:shd w:fill="CCEEFF" w:val="clear"/>
            <w:tcMar>
              <w:bottom w:w="0" w:type="dxa"/>
            </w:tcMar>
            <w:vAlign w:val="center"/>
          </w:tcPr>
          <w:p>
            <w:pPr>
              <w:pStyle w:val="TableContents"/>
              <w:bidi w:val="0"/>
              <w:spacing w:before="0" w:after="283"/>
              <w:jc w:val="right"/>
              <w:rPr/>
            </w:pPr>
            <w:hyperlink w:anchor="tOFFG">
              <w:r>
                <w:rPr>
                  <w:rStyle w:val="InternetLink"/>
                  <w:spacing w:val="4"/>
                </w:rPr>
                <w:t>4</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03" w:type="dxa"/>
            <w:tcBorders/>
            <w:tcMar>
              <w:bottom w:w="0" w:type="dxa"/>
            </w:tcMar>
            <w:vAlign w:val="center"/>
          </w:tcPr>
          <w:p>
            <w:pPr>
              <w:pStyle w:val="TableContents"/>
              <w:bidi w:val="0"/>
              <w:spacing w:before="0" w:after="0"/>
              <w:jc w:val="left"/>
              <w:rPr/>
            </w:pPr>
            <w:hyperlink w:anchor="tRIFA1">
              <w:r>
                <w:rPr>
                  <w:rStyle w:val="InternetLink"/>
                  <w:spacing w:val="4"/>
                </w:rPr>
                <w:t xml:space="preserve">RISK FACTORS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9" w:type="dxa"/>
            <w:tcBorders/>
            <w:tcMar>
              <w:bottom w:w="0" w:type="dxa"/>
            </w:tcMar>
            <w:vAlign w:val="center"/>
          </w:tcPr>
          <w:p>
            <w:pPr>
              <w:pStyle w:val="TableContents"/>
              <w:bidi w:val="0"/>
              <w:spacing w:before="0" w:after="283"/>
              <w:jc w:val="right"/>
              <w:rPr/>
            </w:pPr>
            <w:hyperlink w:anchor="tRIFA1">
              <w:r>
                <w:rPr>
                  <w:rStyle w:val="InternetLink"/>
                  <w:spacing w:val="4"/>
                </w:rPr>
                <w:t>5</w:t>
              </w:r>
            </w:hyperlink>
            <w:hyperlink w:anchor="tRIFA1">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03" w:type="dxa"/>
            <w:tcBorders/>
            <w:shd w:fill="CCEEFF" w:val="clear"/>
            <w:tcMar>
              <w:bottom w:w="0" w:type="dxa"/>
            </w:tcMar>
            <w:vAlign w:val="center"/>
          </w:tcPr>
          <w:p>
            <w:pPr>
              <w:pStyle w:val="TableContents"/>
              <w:bidi w:val="0"/>
              <w:spacing w:before="0" w:after="0"/>
              <w:jc w:val="left"/>
              <w:rPr/>
            </w:pPr>
            <w:hyperlink w:anchor="tSNRF1">
              <w:r>
                <w:rPr>
                  <w:rStyle w:val="InternetLink"/>
                  <w:spacing w:val="4"/>
                </w:rPr>
                <w:t xml:space="preserve">SPECIAL NOTE REGARDING FORWARD-LOOKING STATEMENTS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9" w:type="dxa"/>
            <w:tcBorders/>
            <w:shd w:fill="CCEEFF" w:val="clear"/>
            <w:tcMar>
              <w:bottom w:w="0" w:type="dxa"/>
            </w:tcMar>
            <w:vAlign w:val="center"/>
          </w:tcPr>
          <w:p>
            <w:pPr>
              <w:pStyle w:val="TableContents"/>
              <w:bidi w:val="0"/>
              <w:spacing w:before="0" w:after="283"/>
              <w:jc w:val="right"/>
              <w:rPr/>
            </w:pPr>
            <w:hyperlink w:anchor="tSNRF1">
              <w:r>
                <w:rPr>
                  <w:rStyle w:val="InternetLink"/>
                  <w:spacing w:val="4"/>
                </w:rPr>
                <w:t>7</w:t>
              </w:r>
            </w:hyperlink>
            <w:hyperlink w:anchor="tSNRF1">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03" w:type="dxa"/>
            <w:tcBorders/>
            <w:tcMar>
              <w:bottom w:w="0" w:type="dxa"/>
            </w:tcMar>
            <w:vAlign w:val="center"/>
          </w:tcPr>
          <w:p>
            <w:pPr>
              <w:pStyle w:val="TableContents"/>
              <w:bidi w:val="0"/>
              <w:spacing w:before="0" w:after="0"/>
              <w:jc w:val="left"/>
              <w:rPr/>
            </w:pPr>
            <w:hyperlink w:anchor="tDIL">
              <w:r>
                <w:rPr>
                  <w:rStyle w:val="InternetLink"/>
                  <w:spacing w:val="4"/>
                </w:rPr>
                <w:t xml:space="preserve">DILUTION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9" w:type="dxa"/>
            <w:tcBorders/>
            <w:tcMar>
              <w:bottom w:w="0" w:type="dxa"/>
            </w:tcMar>
            <w:vAlign w:val="center"/>
          </w:tcPr>
          <w:p>
            <w:pPr>
              <w:pStyle w:val="TableContents"/>
              <w:bidi w:val="0"/>
              <w:spacing w:before="0" w:after="283"/>
              <w:jc w:val="right"/>
              <w:rPr/>
            </w:pPr>
            <w:hyperlink w:anchor="tDIL">
              <w:r>
                <w:rPr>
                  <w:rStyle w:val="InternetLink"/>
                  <w:spacing w:val="4"/>
                </w:rPr>
                <w:t>9</w:t>
              </w:r>
            </w:hyperlink>
            <w:hyperlink w:anchor="tDIL">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03" w:type="dxa"/>
            <w:tcBorders/>
            <w:shd w:fill="CCEEFF" w:val="clear"/>
            <w:tcMar>
              <w:bottom w:w="0" w:type="dxa"/>
            </w:tcMar>
            <w:vAlign w:val="center"/>
          </w:tcPr>
          <w:p>
            <w:pPr>
              <w:pStyle w:val="TableContents"/>
              <w:bidi w:val="0"/>
              <w:spacing w:before="0" w:after="0"/>
              <w:jc w:val="left"/>
              <w:rPr/>
            </w:pPr>
            <w:hyperlink w:anchor="tUOP1">
              <w:r>
                <w:rPr>
                  <w:rStyle w:val="InternetLink"/>
                  <w:spacing w:val="4"/>
                </w:rPr>
                <w:t xml:space="preserve">USE OF PROCEEDS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9" w:type="dxa"/>
            <w:tcBorders/>
            <w:shd w:fill="CCEEFF" w:val="clear"/>
            <w:tcMar>
              <w:bottom w:w="0" w:type="dxa"/>
            </w:tcMar>
            <w:vAlign w:val="center"/>
          </w:tcPr>
          <w:p>
            <w:pPr>
              <w:pStyle w:val="TableContents"/>
              <w:bidi w:val="0"/>
              <w:spacing w:before="0" w:after="283"/>
              <w:jc w:val="right"/>
              <w:rPr/>
            </w:pPr>
            <w:hyperlink w:anchor="tUOP1">
              <w:r>
                <w:rPr>
                  <w:rStyle w:val="InternetLink"/>
                  <w:spacing w:val="4"/>
                </w:rPr>
                <w:t>11</w:t>
              </w:r>
            </w:hyperlink>
            <w:hyperlink w:anchor="tUOP1">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03" w:type="dxa"/>
            <w:tcBorders/>
            <w:tcMar>
              <w:bottom w:w="0" w:type="dxa"/>
            </w:tcMar>
            <w:vAlign w:val="center"/>
          </w:tcPr>
          <w:p>
            <w:pPr>
              <w:pStyle w:val="TableContents"/>
              <w:bidi w:val="0"/>
              <w:spacing w:before="0" w:after="0"/>
              <w:jc w:val="left"/>
              <w:rPr/>
            </w:pPr>
            <w:hyperlink w:anchor="tPOD1">
              <w:r>
                <w:rPr>
                  <w:rStyle w:val="InternetLink"/>
                  <w:spacing w:val="4"/>
                </w:rPr>
                <w:t xml:space="preserve">PLAN OF DISTRIBUTION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9" w:type="dxa"/>
            <w:tcBorders/>
            <w:tcMar>
              <w:bottom w:w="0" w:type="dxa"/>
            </w:tcMar>
            <w:vAlign w:val="center"/>
          </w:tcPr>
          <w:p>
            <w:pPr>
              <w:pStyle w:val="TableContents"/>
              <w:bidi w:val="0"/>
              <w:spacing w:before="0" w:after="283"/>
              <w:jc w:val="right"/>
              <w:rPr/>
            </w:pPr>
            <w:hyperlink w:anchor="tPOD1">
              <w:r>
                <w:rPr>
                  <w:rStyle w:val="InternetLink"/>
                  <w:spacing w:val="4"/>
                </w:rPr>
                <w:t>12</w:t>
              </w:r>
            </w:hyperlink>
            <w:hyperlink w:anchor="tPOD1">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03" w:type="dxa"/>
            <w:tcBorders/>
            <w:shd w:fill="CCEEFF" w:val="clear"/>
            <w:tcMar>
              <w:bottom w:w="0" w:type="dxa"/>
            </w:tcMar>
            <w:vAlign w:val="center"/>
          </w:tcPr>
          <w:p>
            <w:pPr>
              <w:pStyle w:val="TableContents"/>
              <w:bidi w:val="0"/>
              <w:spacing w:before="0" w:after="0"/>
              <w:jc w:val="left"/>
              <w:rPr/>
            </w:pPr>
            <w:hyperlink w:anchor="tLEMA1">
              <w:r>
                <w:rPr>
                  <w:rStyle w:val="InternetLink"/>
                  <w:spacing w:val="4"/>
                </w:rPr>
                <w:t xml:space="preserve">LEGAL MATTERS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9" w:type="dxa"/>
            <w:tcBorders/>
            <w:shd w:fill="CCEEFF" w:val="clear"/>
            <w:tcMar>
              <w:bottom w:w="0" w:type="dxa"/>
            </w:tcMar>
            <w:vAlign w:val="center"/>
          </w:tcPr>
          <w:p>
            <w:pPr>
              <w:pStyle w:val="TableContents"/>
              <w:bidi w:val="0"/>
              <w:spacing w:before="0" w:after="283"/>
              <w:jc w:val="right"/>
              <w:rPr/>
            </w:pPr>
            <w:hyperlink w:anchor="tLEMA1">
              <w:r>
                <w:rPr>
                  <w:rStyle w:val="InternetLink"/>
                  <w:spacing w:val="4"/>
                </w:rPr>
                <w:t>13</w:t>
              </w:r>
            </w:hyperlink>
            <w:hyperlink w:anchor="tLEMA1">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03" w:type="dxa"/>
            <w:tcBorders/>
            <w:tcMar>
              <w:bottom w:w="0" w:type="dxa"/>
            </w:tcMar>
            <w:vAlign w:val="center"/>
          </w:tcPr>
          <w:p>
            <w:pPr>
              <w:pStyle w:val="TableContents"/>
              <w:bidi w:val="0"/>
              <w:spacing w:before="0" w:after="0"/>
              <w:jc w:val="left"/>
              <w:rPr/>
            </w:pPr>
            <w:hyperlink w:anchor="tEXP1">
              <w:r>
                <w:rPr>
                  <w:rStyle w:val="InternetLink"/>
                  <w:spacing w:val="4"/>
                </w:rPr>
                <w:t xml:space="preserve">EXPERTS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9" w:type="dxa"/>
            <w:tcBorders/>
            <w:tcMar>
              <w:bottom w:w="0" w:type="dxa"/>
            </w:tcMar>
            <w:vAlign w:val="center"/>
          </w:tcPr>
          <w:p>
            <w:pPr>
              <w:pStyle w:val="TableContents"/>
              <w:bidi w:val="0"/>
              <w:spacing w:before="0" w:after="283"/>
              <w:jc w:val="right"/>
              <w:rPr/>
            </w:pPr>
            <w:hyperlink w:anchor="tEXP1">
              <w:r>
                <w:rPr>
                  <w:rStyle w:val="InternetLink"/>
                  <w:spacing w:val="4"/>
                </w:rPr>
                <w:t>14</w:t>
              </w:r>
            </w:hyperlink>
            <w:hyperlink w:anchor="tEXP1">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03" w:type="dxa"/>
            <w:tcBorders/>
            <w:shd w:fill="CCEEFF" w:val="clear"/>
            <w:tcMar>
              <w:bottom w:w="0" w:type="dxa"/>
            </w:tcMar>
            <w:vAlign w:val="center"/>
          </w:tcPr>
          <w:p>
            <w:pPr>
              <w:pStyle w:val="TableContents"/>
              <w:bidi w:val="0"/>
              <w:spacing w:before="0" w:after="0"/>
              <w:jc w:val="left"/>
              <w:rPr/>
            </w:pPr>
            <w:hyperlink w:anchor="tSOPA">
              <w:r>
                <w:rPr>
                  <w:rStyle w:val="InternetLink"/>
                  <w:spacing w:val="4"/>
                </w:rPr>
                <w:t xml:space="preserve">SERVICE OF PROCESS AND ENFORCEMENT OF LIABILITIES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9" w:type="dxa"/>
            <w:tcBorders/>
            <w:shd w:fill="CCEEFF" w:val="clear"/>
            <w:tcMar>
              <w:bottom w:w="0" w:type="dxa"/>
            </w:tcMar>
            <w:vAlign w:val="center"/>
          </w:tcPr>
          <w:p>
            <w:pPr>
              <w:pStyle w:val="TableContents"/>
              <w:bidi w:val="0"/>
              <w:spacing w:before="0" w:after="283"/>
              <w:jc w:val="right"/>
              <w:rPr/>
            </w:pPr>
            <w:hyperlink w:anchor="tSOPA">
              <w:r>
                <w:rPr>
                  <w:rStyle w:val="InternetLink"/>
                  <w:spacing w:val="4"/>
                </w:rPr>
                <w:t>15</w:t>
              </w:r>
            </w:hyperlink>
            <w:hyperlink w:anchor="tSOP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03" w:type="dxa"/>
            <w:tcBorders/>
            <w:tcMar>
              <w:bottom w:w="0" w:type="dxa"/>
            </w:tcMar>
            <w:vAlign w:val="center"/>
          </w:tcPr>
          <w:p>
            <w:pPr>
              <w:pStyle w:val="TableContents"/>
              <w:bidi w:val="0"/>
              <w:spacing w:before="0" w:after="0"/>
              <w:jc w:val="left"/>
              <w:rPr/>
            </w:pPr>
            <w:hyperlink w:anchor="tWYCF1">
              <w:r>
                <w:rPr>
                  <w:rStyle w:val="InternetLink"/>
                  <w:spacing w:val="4"/>
                </w:rPr>
                <w:t xml:space="preserve">WHERE YOU CAN FIND MORE INFORMATION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9" w:type="dxa"/>
            <w:tcBorders/>
            <w:tcMar>
              <w:bottom w:w="0" w:type="dxa"/>
            </w:tcMar>
            <w:vAlign w:val="center"/>
          </w:tcPr>
          <w:p>
            <w:pPr>
              <w:pStyle w:val="TableContents"/>
              <w:bidi w:val="0"/>
              <w:spacing w:before="0" w:after="283"/>
              <w:jc w:val="right"/>
              <w:rPr/>
            </w:pPr>
            <w:hyperlink w:anchor="tWYCF1">
              <w:r>
                <w:rPr>
                  <w:rStyle w:val="InternetLink"/>
                  <w:spacing w:val="4"/>
                </w:rPr>
                <w:t>16</w:t>
              </w:r>
            </w:hyperlink>
            <w:hyperlink w:anchor="tWYCF1">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03" w:type="dxa"/>
            <w:tcBorders/>
            <w:shd w:fill="CCEEFF" w:val="clear"/>
            <w:tcMar>
              <w:bottom w:w="0" w:type="dxa"/>
            </w:tcMar>
            <w:vAlign w:val="center"/>
          </w:tcPr>
          <w:p>
            <w:pPr>
              <w:pStyle w:val="TableContents"/>
              <w:bidi w:val="0"/>
              <w:spacing w:before="0" w:after="0"/>
              <w:jc w:val="left"/>
              <w:rPr/>
            </w:pPr>
            <w:hyperlink w:anchor="tIOCI1">
              <w:r>
                <w:rPr>
                  <w:rStyle w:val="InternetLink"/>
                  <w:spacing w:val="4"/>
                </w:rPr>
                <w:t xml:space="preserve">INCORPORATION OF CERTAIN INFORMATION BY REFERENCE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9" w:type="dxa"/>
            <w:tcBorders/>
            <w:shd w:fill="CCEEFF" w:val="clear"/>
            <w:tcMar>
              <w:bottom w:w="0" w:type="dxa"/>
            </w:tcMar>
            <w:vAlign w:val="center"/>
          </w:tcPr>
          <w:p>
            <w:pPr>
              <w:pStyle w:val="TableContents"/>
              <w:bidi w:val="0"/>
              <w:spacing w:before="0" w:after="283"/>
              <w:jc w:val="right"/>
              <w:rPr/>
            </w:pPr>
            <w:hyperlink w:anchor="tIOCI1">
              <w:r>
                <w:rPr>
                  <w:rStyle w:val="InternetLink"/>
                  <w:spacing w:val="4"/>
                </w:rPr>
                <w:t>17</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9" w:name="tATP1"/>
      <w:bookmarkEnd w:id="1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ABOUT THIS PROSPECTUS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document is part of a “shelf” registration statement on Form S-3 that we filed with the Securities and Exchange Commission, or the SEC, and is in two parts. Under the shelf registration statement we may offer shares of our common shares, preferred shares, debt securities and warrants, including common shares or preferred shares upon conversion of debt securities, common shares upon conversion of preferred shares, or common shares, preferred shares or debt securities upon the exercise of warrants, having an aggregate offering price of up to a total dollar amount of $300,000,000. Under this prospectus, we may offer common shares having an aggregate offering price of up to $100,000,000 from time to time under this prospectus at prices and on terms to be determined by market conditions at the time of offering.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describes the terms of this offering of our common shares and also adds to and updates information contained in the documents incorporated by reference into this prospectus. To the extent there is a conflict between the information contained in this prospectus, on the one hand, and the information contained in any document incorporated by reference into this prospectus that was filed with the SEC before the date of this prospectus, on the other hand, you should rely on the information in this prospectus. If any statement in one of these documents is inconsistent with a statement in another document having a later date (for example, a document incorporated by reference into this prospectus), the statement in the document having the later date modifies or supersedes the earlier statement.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further note that the representations, warranties and covenants made by us in any agreement that is filed as an exhibit to any document that is incorporated by reference herein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Neither we nor Cantor have authorized any person to provide any information or to make any representation other than those contained or incorporated by reference in this prospectus. We and Cantor take no responsibility for, and can provide no assurance as to the reliability of, any other information that others may give you.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information contained in this prospectus or incorporated by reference herein is accurate only as of the respective dates thereof, regardless of the time of delivery of this prospectus or of any sale of our securities. It is important for you to read and consider all information contained in this prospectus including the documents incorporated by reference herein in making your investment decision. You should also read and consider the information in the documents to which we have referred you in the sections entitled “Where You Can Find More Information” and “Incorporation of Certain Information by Reference” in this prospectus.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not, and Cantor is not, making an offer to sell our shares in any jurisdiction where the offer and sale is not permitted. The distribution of this prospectus and this offering in certain jurisdictions may be restricted by law. Persons outside the United States who come into possession of this prospectus must inform themselves about, and observe any restrictions relating to, this offering and the distribution of this prospectus outside the United States. This prospectus does not constitute, and may not be used in connection with, an offer to sell, or a solicitation of an offer to buy, any securities offered by this prospectus by any person in any jurisdiction in which it is unlawful for such person to make such an offer or solicitation.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Unless otherwise mentioned or unless the context requires otherwise, all references in this prospectus to “Milestone,” “company,” “we,” “us” and “our” or similar references refer to Milestone Pharmaceuticals Inc. and its consolidated subsidiary.</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0" w:name="tPROSP"/>
      <w:bookmarkEnd w:id="2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PROSPECTUS SUMMARY</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This summary highlights certain information about us, this offering and selected information contained elsewhere in or incorporated by reference into this prospectus. This summary is not complete and does not contain all of the information that you should consider before deciding whether to invest in our common shares. For a more complete understanding of our company and this offering, we encourage you to read and consider carefully the more detailed information in this prospectus, including the information incorporated by reference in this prospectus and the information included in any free writing prospectus that we have authorized for use in connection with this offering, including the information under the heading “Risk Factors” in this prospectus and under similar headings in our most recently filed Annual Report on Form 10-K and in subsequently filed Quarterly Reports on Form 10-Q, which are incorporated by reference into this prospectus along with our consolidated financial statements and notes to those consolidated financial statements, before making an investment decision. </w:t>
      </w:r>
    </w:p>
    <w:p>
      <w:pPr>
        <w:pStyle w:val="TextBody"/>
        <w:bidi w:val="0"/>
        <w:spacing w:lineRule="atLeast" w:line="230" w:before="160" w:after="283"/>
        <w:ind w:left="1393" w:right="0" w:firstLine="400"/>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Unless the context indicates otherwise, references in this prospectus to “Milestone,” “company,” “we,” “us” and “our” refer to Milestone Pharmaceuticals Inc. and its wholly owned subsidiary Milestone Pharmaceuticals USA Inc.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Company Overview</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We are a biopharmaceutical company focused on the development and commercialization of innovative cardiovascular medicines. Our approved product CARDAMYST</w:t>
      </w:r>
      <w:r>
        <w:rPr>
          <w:rFonts w:ascii="Times New Roman;Times;serif" w:hAnsi="Times New Roman;Times;serif"/>
          <w:b w:val="false"/>
          <w:i w:val="false"/>
          <w:caps w:val="false"/>
          <w:smallCaps w:val="false"/>
          <w:color w:val="000000"/>
          <w:spacing w:val="3"/>
          <w:sz w:val="15"/>
          <w:bdr w:val="single" w:sz="8" w:space="1" w:color="000000"/>
        </w:rPr>
        <w:t>TM</w:t>
      </w:r>
      <w:r>
        <w:rPr>
          <w:rFonts w:ascii="Times New Roman;Times;serif" w:hAnsi="Times New Roman;Times;serif"/>
          <w:b w:val="false"/>
          <w:i w:val="false"/>
          <w:caps w:val="false"/>
          <w:smallCaps w:val="false"/>
          <w:color w:val="000000"/>
          <w:spacing w:val="4"/>
          <w:sz w:val="20"/>
          <w:bdr w:val="single" w:sz="8" w:space="1" w:color="000000"/>
        </w:rPr>
        <w:t xml:space="preserve"> (etripamil) nasal spray is available in the United States and is the first and only U.S. Food and Drug Administration, or “FDA,” approved self-administered treatment for use by patients anywhere, anytime an attack of paroxysmal supraventricular tachycardia, or “PSVT,” occurs. We continue to seek, either directly or through collaboration with our partners, marketing approval from regulatory agencies responsible for regions outside the United States. We are also developing etripamil for the indication of atrial fibrillation with rapid ventricular rate, or “AFib-RVR.”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We are currently focusing our efforts and financial resources on (i) the commercialization of CARDAMYST</w:t>
      </w:r>
      <w:r>
        <w:rPr>
          <w:rFonts w:ascii="Times New Roman;Times;serif" w:hAnsi="Times New Roman;Times;serif"/>
          <w:b/>
          <w:i w:val="false"/>
          <w:caps w:val="false"/>
          <w:smallCaps w:val="false"/>
          <w:color w:val="000000"/>
          <w:spacing w:val="-3"/>
          <w:sz w:val="15"/>
          <w:bdr w:val="single" w:sz="8" w:space="1" w:color="000000"/>
        </w:rPr>
        <w:t>TM</w:t>
      </w:r>
      <w:r>
        <w:rPr>
          <w:rFonts w:ascii="Times New Roman;Times;serif" w:hAnsi="Times New Roman;Times;serif"/>
          <w:b w:val="false"/>
          <w:i w:val="false"/>
          <w:caps w:val="false"/>
          <w:smallCaps w:val="false"/>
          <w:color w:val="000000"/>
          <w:spacing w:val="4"/>
          <w:sz w:val="20"/>
          <w:bdr w:val="single" w:sz="8" w:space="1" w:color="000000"/>
        </w:rPr>
        <w:t xml:space="preserve"> (etripamil) nasal spray for the treatment of PSVT, (ii) the development of etripamil for the treatment of AFib-RVR and (iii) corporate development activities that have the potential to increase company value through strategic collaborations.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Corporate Information</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were incorporated under the Canada Business Corporations Act in 2003 and continued under the Business Corporations Act (Québec) in 2017. Our principal executive offices are located at 1111 Dr. Frederik-Philips Blvd., Suite 420, Montréal, Québec, Canada H4M 2X6, and our telephone number is (514) 336-0444. In January 2017, we incorporated our wholly owned subsidiary, Milestone Pharmaceuticals USA, Inc., a Delaware corporation. Our U.S. offices are located at 6210 Ardrey Kell Rd, Suite 650, Charlotte, NC 28277 and our telephone number is (704) 848-5316. Our corporate website address is www.milestonepharma.com. Information contained on, or accessible through, our website is not a part of this prospectus. We have included our website in this prospectus solely as an inactive textual reference.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Implications of Being a Smaller Reporting Company and a Non-Accelerated Filer</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are a “smaller reporting company,” as defined in Rule 12b-2 of the Securities Exchange Act of 1934, or the Exchange Act, meaning that the market value of our shares held by non-affiliates is less than $700 million and our annual revenue was less than $100 million during the most recently completed fiscal year. We may continue to be a smaller reporting company if either (i) the market value of our shares held by non-affiliates is less than $250 million or (ii) our annual revenue was less than $100 million during the most recently completed fiscal year for which audited financial statements are available as of the determination date and the market value of our shares held by non-affiliates is less than $700 million. As a smaller reporting company, we may continue to rely on exemptions from certain disclosure requirements that are available to smaller reporting companies. Specifically, as a smaller reporting company, we may present only the two most recent fiscal years of audited financial statements in our Annual Report on Form 10-K and, similar to emerging growth companies, smaller reporting companies have reduced disclosure obligations regarding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executive compensation. If investors consider our common shares less attractive as a result of our election to use the scaled-back disclosure permitted for smaller reporting companies, there may be a less active trading market for our common shares and our share price may be more volatile.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Additionally, as a non-accelerated filer, we may continue to rely on the exception from compliance with the auditor attestation requirements of Section 404 of the Sarbanes-Oxley Act of 2002, as amended.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1" w:name="tOFFG"/>
      <w:bookmarkEnd w:id="2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20"/>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THE OFFERING</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20" w:after="283"/>
        <w:ind w:left="1593" w:right="0" w:hanging="20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Common Shares Offered by Us</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523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Common shares having an aggregate offering price of up to $100,000,000. </w:t>
      </w:r>
    </w:p>
    <w:p>
      <w:pPr>
        <w:pStyle w:val="TextBody"/>
        <w:bidi w:val="0"/>
        <w:spacing w:lineRule="atLeast" w:line="240" w:before="120" w:after="283"/>
        <w:ind w:left="1593" w:right="0" w:hanging="20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Common Shares to be Outstanding After This Offering</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523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Up to 170,425,995 common shares, assuming sales of 52,631,578 common shares in this offering at an assumed offering price of $1.90 per share, which was the last reported sale price of our common shares on Nasdaq on May 12, 2026. The actual number of shares issued will vary depending on the sales prices at which our common shares are sold under this offering. </w:t>
      </w:r>
    </w:p>
    <w:p>
      <w:pPr>
        <w:pStyle w:val="TextBody"/>
        <w:bidi w:val="0"/>
        <w:spacing w:lineRule="atLeast" w:line="240" w:before="120" w:after="283"/>
        <w:ind w:left="1593" w:right="0" w:hanging="20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Plan of Distribution</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5233" w:right="0" w:hanging="0"/>
        <w:jc w:val="left"/>
        <w:rPr/>
      </w:pPr>
      <w:r>
        <w:rPr>
          <w:caps w:val="false"/>
          <w:smallCaps w:val="false"/>
          <w:color w:val="000000"/>
          <w:spacing w:val="4"/>
          <w:bdr w:val="single" w:sz="8" w:space="1" w:color="000000"/>
        </w:rPr>
        <w:t>“</w:t>
      </w:r>
      <w:r>
        <w:rPr>
          <w:rFonts w:ascii="Times New Roman;Times;serif" w:hAnsi="Times New Roman;Times;serif"/>
          <w:b w:val="false"/>
          <w:i w:val="false"/>
          <w:caps w:val="false"/>
          <w:smallCaps w:val="false"/>
          <w:color w:val="000000"/>
          <w:spacing w:val="4"/>
          <w:sz w:val="20"/>
          <w:bdr w:val="single" w:sz="8" w:space="1" w:color="000000"/>
        </w:rPr>
        <w:t>At the market offering” that may be made from time to time through our sales agent, Cantor. See “Plan of Distribution” on page </w:t>
      </w:r>
      <w:hyperlink w:anchor="tPOD1">
        <w:r>
          <w:rPr>
            <w:rStyle w:val="InternetLink"/>
          </w:rPr>
          <w:t>12</w:t>
        </w:r>
      </w:hyperlink>
      <w:r>
        <w:rPr>
          <w:rFonts w:ascii="Times New Roman;Times;serif" w:hAnsi="Times New Roman;Times;serif"/>
          <w:b w:val="false"/>
          <w:i w:val="false"/>
          <w:caps w:val="false"/>
          <w:smallCaps w:val="false"/>
          <w:color w:val="000000"/>
          <w:spacing w:val="4"/>
          <w:sz w:val="20"/>
          <w:bdr w:val="single" w:sz="8" w:space="1" w:color="000000"/>
        </w:rPr>
        <w:t xml:space="preserve"> of this prospectus. </w:t>
      </w:r>
    </w:p>
    <w:p>
      <w:pPr>
        <w:pStyle w:val="TextBody"/>
        <w:bidi w:val="0"/>
        <w:spacing w:lineRule="atLeast" w:line="240" w:before="120" w:after="283"/>
        <w:ind w:left="1593" w:right="0" w:hanging="20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Use of Proceeds</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5233" w:right="0" w:hanging="0"/>
        <w:jc w:val="left"/>
        <w:rPr/>
      </w:pPr>
      <w:r>
        <w:rPr>
          <w:rFonts w:ascii="Times New Roman;Times;serif" w:hAnsi="Times New Roman;Times;serif"/>
          <w:b w:val="false"/>
          <w:i w:val="false"/>
          <w:caps w:val="false"/>
          <w:smallCaps w:val="false"/>
          <w:color w:val="000000"/>
          <w:spacing w:val="4"/>
          <w:sz w:val="20"/>
          <w:bdr w:val="single" w:sz="8" w:space="1" w:color="000000"/>
        </w:rPr>
        <w:t xml:space="preserve">We currently intend to use the net proceeds from this offering primarily for working capital and general corporate purposes. See “Use of Proceeds” on page </w:t>
      </w:r>
      <w:hyperlink w:anchor="tUOP1">
        <w:r>
          <w:rPr>
            <w:rStyle w:val="InternetLink"/>
          </w:rPr>
          <w:t>11</w:t>
        </w:r>
      </w:hyperlink>
      <w:r>
        <w:rPr>
          <w:rFonts w:ascii="Times New Roman;Times;serif" w:hAnsi="Times New Roman;Times;serif"/>
          <w:b w:val="false"/>
          <w:i w:val="false"/>
          <w:caps w:val="false"/>
          <w:smallCaps w:val="false"/>
          <w:color w:val="000000"/>
          <w:spacing w:val="4"/>
          <w:sz w:val="20"/>
          <w:bdr w:val="single" w:sz="8" w:space="1" w:color="000000"/>
        </w:rPr>
        <w:t xml:space="preserve"> of this prospectus. </w:t>
      </w:r>
    </w:p>
    <w:p>
      <w:pPr>
        <w:pStyle w:val="TextBody"/>
        <w:bidi w:val="0"/>
        <w:spacing w:lineRule="atLeast" w:line="240" w:before="120" w:after="283"/>
        <w:ind w:left="1593" w:right="0" w:hanging="20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Risk Factors</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5233" w:right="0" w:hanging="0"/>
        <w:jc w:val="left"/>
        <w:rPr/>
      </w:pPr>
      <w:r>
        <w:rPr>
          <w:rFonts w:ascii="Times New Roman;Times;serif" w:hAnsi="Times New Roman;Times;serif"/>
          <w:b w:val="false"/>
          <w:i w:val="false"/>
          <w:caps w:val="false"/>
          <w:smallCaps w:val="false"/>
          <w:color w:val="000000"/>
          <w:spacing w:val="4"/>
          <w:sz w:val="20"/>
          <w:bdr w:val="single" w:sz="8" w:space="1" w:color="000000"/>
        </w:rPr>
        <w:t xml:space="preserve">Investing in our common shares involves significant risks. See “Risk Factors” on page </w:t>
      </w:r>
      <w:hyperlink w:anchor="tRIFA1">
        <w:r>
          <w:rPr>
            <w:rStyle w:val="InternetLink"/>
          </w:rPr>
          <w:t>5</w:t>
        </w:r>
      </w:hyperlink>
      <w:r>
        <w:rPr>
          <w:rFonts w:ascii="Times New Roman;Times;serif" w:hAnsi="Times New Roman;Times;serif"/>
          <w:b w:val="false"/>
          <w:i w:val="false"/>
          <w:caps w:val="false"/>
          <w:smallCaps w:val="false"/>
          <w:color w:val="000000"/>
          <w:spacing w:val="4"/>
          <w:sz w:val="20"/>
          <w:bdr w:val="single" w:sz="8" w:space="1" w:color="000000"/>
        </w:rPr>
        <w:t xml:space="preserve"> of this prospectus, and under similar headings in other documents that we have filed or that are filed after the date hereof and incorporated by reference into this prospectus. </w:t>
      </w:r>
    </w:p>
    <w:p>
      <w:pPr>
        <w:pStyle w:val="TextBody"/>
        <w:bidi w:val="0"/>
        <w:spacing w:lineRule="atLeast" w:line="240" w:before="120" w:after="283"/>
        <w:ind w:left="1593" w:right="0" w:hanging="20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Nasdaq Stock Market LLC Symbol</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5233" w:right="0" w:hanging="0"/>
        <w:jc w:val="left"/>
        <w:rPr>
          <w:caps w:val="false"/>
          <w:smallCaps w:val="false"/>
          <w:color w:val="000000"/>
          <w:spacing w:val="4"/>
          <w:bdr w:val="single" w:sz="8" w:space="1" w:color="000000"/>
        </w:rPr>
      </w:pPr>
      <w:r>
        <w:rPr>
          <w:caps w:val="false"/>
          <w:smallCaps w:val="false"/>
          <w:color w:val="000000"/>
          <w:spacing w:val="4"/>
          <w:bdr w:val="single" w:sz="8" w:space="1" w:color="000000"/>
        </w:rPr>
        <w:t>“</w:t>
      </w:r>
      <w:r>
        <w:rPr>
          <w:rFonts w:ascii="Times New Roman;Times;serif" w:hAnsi="Times New Roman;Times;serif"/>
          <w:b w:val="false"/>
          <w:i w:val="false"/>
          <w:caps w:val="false"/>
          <w:smallCaps w:val="false"/>
          <w:color w:val="000000"/>
          <w:spacing w:val="4"/>
          <w:sz w:val="20"/>
          <w:bdr w:val="single" w:sz="8" w:space="1" w:color="000000"/>
        </w:rPr>
        <w:t xml:space="preserve">MIST” </w:t>
      </w:r>
    </w:p>
    <w:p>
      <w:pPr>
        <w:pStyle w:val="TextBody"/>
        <w:bidi w:val="0"/>
        <w:spacing w:lineRule="atLeast" w:line="240" w:before="10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number of our common shares to be outstanding after this offering is based on an aggregate of 117,794,417 common shares outstanding as of March 31, 2026, and excludes the following: </w:t>
      </w:r>
    </w:p>
    <w:p>
      <w:pPr>
        <w:pStyle w:val="TextBody"/>
        <w:bidi w:val="0"/>
        <w:spacing w:lineRule="atLeast" w:line="240" w:before="4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13,146,497 common shares issuable upon the exercise of outstanding options, at a weighted-average exercise price of $3.60 per share; </w:t>
      </w:r>
      <w:r>
        <mc:AlternateContent>
          <mc:Choice Requires="wps">
            <w:drawing>
              <wp:anchor behindDoc="0" distT="25400" distB="0" distL="254000" distR="0" simplePos="0" locked="0" layoutInCell="1" allowOverlap="1" relativeHeight="204">
                <wp:simplePos x="0" y="0"/>
                <wp:positionH relativeFrom="column">
                  <wp:align>left</wp:align>
                </wp:positionH>
                <wp:positionV relativeFrom="line">
                  <wp:align>top</wp:align>
                </wp:positionV>
                <wp:extent cx="127000" cy="350520"/>
                <wp:effectExtent l="0" t="0" r="0" b="0"/>
                <wp:wrapSquare wrapText="right"/>
                <wp:docPr id="197" name="Frame1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2pt;mso-wrap-distance-bottom:0pt;margin-top: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1,482,710 common shares reserved for future issuance under our 2019 Equity Incentive Plan, or the 2019 Plan, as well as any future increases in the number of common shares reserved for issuance under the 2019 Plan; </w:t>
      </w:r>
      <w:r>
        <mc:AlternateContent>
          <mc:Choice Requires="wps">
            <w:drawing>
              <wp:anchor behindDoc="0" distT="25400" distB="0" distL="254000" distR="0" simplePos="0" locked="0" layoutInCell="1" allowOverlap="1" relativeHeight="205">
                <wp:simplePos x="0" y="0"/>
                <wp:positionH relativeFrom="column">
                  <wp:align>left</wp:align>
                </wp:positionH>
                <wp:positionV relativeFrom="line">
                  <wp:align>top</wp:align>
                </wp:positionV>
                <wp:extent cx="127000" cy="350520"/>
                <wp:effectExtent l="0" t="0" r="0" b="0"/>
                <wp:wrapSquare wrapText="right"/>
                <wp:docPr id="198" name="Frame1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2pt;mso-wrap-distance-bottom:0pt;margin-top: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671,000 common shares reserved for future issuance under our 2021 Inducement Plan, or the 2021 Plan, as well as any future increases in the number of common shares reserved for issuance under the 2021 Plan; </w:t>
      </w:r>
      <w:r>
        <mc:AlternateContent>
          <mc:Choice Requires="wps">
            <w:drawing>
              <wp:anchor behindDoc="0" distT="25400" distB="0" distL="254000" distR="0" simplePos="0" locked="0" layoutInCell="1" allowOverlap="1" relativeHeight="206">
                <wp:simplePos x="0" y="0"/>
                <wp:positionH relativeFrom="column">
                  <wp:align>left</wp:align>
                </wp:positionH>
                <wp:positionV relativeFrom="line">
                  <wp:align>top</wp:align>
                </wp:positionV>
                <wp:extent cx="127000" cy="350520"/>
                <wp:effectExtent l="0" t="0" r="0" b="0"/>
                <wp:wrapSquare wrapText="right"/>
                <wp:docPr id="199" name="Frame1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2pt;mso-wrap-distance-bottom:0pt;margin-top: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2,145,794 common shares reserved for future issuance under our 2019 Employee Share Purchase Plan, or the ESPP, as well as any future increases in the number of common shares reserved for issuance under the ESPP; </w:t>
      </w:r>
      <w:r>
        <mc:AlternateContent>
          <mc:Choice Requires="wps">
            <w:drawing>
              <wp:anchor behindDoc="0" distT="25400" distB="0" distL="254000" distR="0" simplePos="0" locked="0" layoutInCell="1" allowOverlap="1" relativeHeight="207">
                <wp:simplePos x="0" y="0"/>
                <wp:positionH relativeFrom="column">
                  <wp:align>left</wp:align>
                </wp:positionH>
                <wp:positionV relativeFrom="line">
                  <wp:align>top</wp:align>
                </wp:positionV>
                <wp:extent cx="127000" cy="350520"/>
                <wp:effectExtent l="0" t="0" r="0" b="0"/>
                <wp:wrapSquare wrapText="right"/>
                <wp:docPr id="200" name="Frame1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2pt;mso-wrap-distance-bottom:0pt;margin-top: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16,412,925 common shares issuable upon the exercise of outstanding pre-funded warrants, at an exercise price of $0.001 per share; </w:t>
      </w:r>
      <w:r>
        <mc:AlternateContent>
          <mc:Choice Requires="wps">
            <w:drawing>
              <wp:anchor behindDoc="0" distT="25400" distB="0" distL="254000" distR="0" simplePos="0" locked="0" layoutInCell="1" allowOverlap="1" relativeHeight="208">
                <wp:simplePos x="0" y="0"/>
                <wp:positionH relativeFrom="column">
                  <wp:align>left</wp:align>
                </wp:positionH>
                <wp:positionV relativeFrom="line">
                  <wp:align>top</wp:align>
                </wp:positionV>
                <wp:extent cx="127000" cy="350520"/>
                <wp:effectExtent l="0" t="0" r="0" b="0"/>
                <wp:wrapSquare wrapText="right"/>
                <wp:docPr id="201" name="Frame1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2pt;mso-wrap-distance-bottom:0pt;margin-top: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up to 16,613,940 common shares, of which (a) 11,427,055 common shares are issuable upon the conversion of Milestone’s senior secured convertible promissory notes, or the Notes, and (b) 5,186,885 additional common shares, which represents the maximum number of additional common shares issuable in connection with an adjustment to the conversion rate of the Notes if a holder of Notes exercises its conversion right upon the occurrence of certain transactions; </w:t>
      </w:r>
      <w:r>
        <mc:AlternateContent>
          <mc:Choice Requires="wps">
            <w:drawing>
              <wp:anchor behindDoc="0" distT="25400" distB="0" distL="254000" distR="0" simplePos="0" locked="0" layoutInCell="1" allowOverlap="1" relativeHeight="209">
                <wp:simplePos x="0" y="0"/>
                <wp:positionH relativeFrom="column">
                  <wp:align>left</wp:align>
                </wp:positionH>
                <wp:positionV relativeFrom="line">
                  <wp:align>top</wp:align>
                </wp:positionV>
                <wp:extent cx="127000" cy="350520"/>
                <wp:effectExtent l="0" t="0" r="0" b="0"/>
                <wp:wrapSquare wrapText="right"/>
                <wp:docPr id="202" name="Frame2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2pt;mso-wrap-distance-bottom:0pt;margin-top: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4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up to 15,705,662 common shares issuable upon the exercise of outstanding Series A common warrants, at an exercise price of $1.50 per share; and </w:t>
      </w:r>
      <w:r>
        <mc:AlternateContent>
          <mc:Choice Requires="wps">
            <w:drawing>
              <wp:anchor behindDoc="0" distT="25400" distB="0" distL="254000" distR="0" simplePos="0" locked="0" layoutInCell="1" allowOverlap="1" relativeHeight="210">
                <wp:simplePos x="0" y="0"/>
                <wp:positionH relativeFrom="column">
                  <wp:align>left</wp:align>
                </wp:positionH>
                <wp:positionV relativeFrom="line">
                  <wp:align>top</wp:align>
                </wp:positionV>
                <wp:extent cx="127000" cy="350520"/>
                <wp:effectExtent l="0" t="0" r="0" b="0"/>
                <wp:wrapSquare wrapText="right"/>
                <wp:docPr id="203" name="Frame2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2pt;mso-wrap-distance-bottom:0pt;margin-top: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up to 34,335,669 common shares issuable upon the exercise of outstanding Series B common warrants, at an exercise price of $1.875 per share. </w:t>
      </w:r>
      <w:r>
        <mc:AlternateContent>
          <mc:Choice Requires="wps">
            <w:drawing>
              <wp:anchor behindDoc="0" distT="63500" distB="0" distL="254000" distR="0" simplePos="0" locked="0" layoutInCell="1" allowOverlap="1" relativeHeight="211">
                <wp:simplePos x="0" y="0"/>
                <wp:positionH relativeFrom="column">
                  <wp:align>left</wp:align>
                </wp:positionH>
                <wp:positionV relativeFrom="line">
                  <wp:align>top</wp:align>
                </wp:positionV>
                <wp:extent cx="127000" cy="350520"/>
                <wp:effectExtent l="0" t="0" r="0" b="0"/>
                <wp:wrapSquare wrapText="right"/>
                <wp:docPr id="204" name="Frame2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pt;mso-wrap-distance-bottom:0pt;margin-top: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Except as otherwise indicated, all information in this prospectus assumes no exercise of outstanding options, pre-funded warrants or Notes after March 31, 2026.</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2" w:name="tRIFA1"/>
      <w:bookmarkEnd w:id="2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 FACTORS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Investing in our common shares involves a high degree of risk. Before deciding whether to invest in our common shares, you should carefully review the risks and uncertainties described below and under the section titled “Risk Factors” in </w:t>
      </w:r>
      <w:hyperlink r:id="rId13">
        <w:r>
          <w:rPr>
            <w:rStyle w:val="InternetLink"/>
          </w:rPr>
          <w:t>our Annual Report on Form 10-K for the year ended December 31, 2025</w:t>
        </w:r>
      </w:hyperlink>
      <w:r>
        <w:rPr>
          <w:rFonts w:ascii="Times New Roman;Times;serif" w:hAnsi="Times New Roman;Times;serif"/>
          <w:b w:val="false"/>
          <w:i w:val="false"/>
          <w:caps w:val="false"/>
          <w:smallCaps w:val="false"/>
          <w:color w:val="000000"/>
          <w:spacing w:val="4"/>
          <w:sz w:val="20"/>
        </w:rPr>
        <w:t xml:space="preserve">, which are incorporated by reference into this prospectus in their entirety, as updated or superseded by the risks and uncertainties described under similar headings in the other documents that are filed after the date hereof and incorporated by reference into this prospectus, together with other information in this prospectus, the information and documents incorporated by reference herein, and in any free writing prospectus that we have authorized for use in connection with this offering. Each of the risk factors could adversely affect our business, operating results and financial condition, as well as adversely affect the value of an investment in our shares, and the occurrence of any of these risks might cause you to lose all or part of your investment. Additional risks not presently known to us or that we currently believe are immaterial may also significantly impair our business operations. Please also read carefully the section below titled “Special Note Regarding Forward-Looking Statements.”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Additional Risks Related to This Offering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You may experience immediate and substantial dilution.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offering price per share in this offering may exceed the net tangible book value per share of our common shares outstanding prior to this offering. Assuming that an aggregate of 52,631,578 of our common shares are sold at a price of $1.90 per share, the last reported sale price of our common shares on Nasdaq on May 12, 2026, for aggregate gross proceeds of $100,000,000, and after deducting commissions and estimated offering expenses payable by us, you would experience immediate dilution of $1.13 per share, representing the difference between our as adjusted net tangible book value per share as of March 31, 2026 after giving effect to this offering at the assumed offering price. The exercise of outstanding share options would result in further dilution of your investment. See the section entitled “Dilution” below for a more detailed illustration of the dilution you would incur if you participate in this offering.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Because the sales of the shares offered hereby will be made directly into the market or in negotiated transactions, the prices at which we sell these shares will vary and these variations may be significant. Purchasers of the shares we sell, as well as our existing shareholders, will experience significant dilution if we sell shares at prices significantly below the price at which they invested.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You may experience future dilution as a result of future equity offerings.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raise additional capital, we may in the future offer additional common shares or other securities convertible into or exchangeable for our common shares at prices that may not be the same as the price per share in this offering. We may sell shares or other securities in any other offering at a price per share that is less than the price per share paid by investors in this offering, and investors purchasing shares or other securities in the future could have rights superior to existing shareholders. The price per share at which we sell additional common shares, or securities convertible or exchangeable into common shares, in future transactions may be higher or lower than the price per share paid by investors in this offering.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actual number of shares we will issue and gross proceeds resulting from those sales in this offering, at any one time or in total, is uncertain.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certain limitations in the sales agreement and compliance with applicable law, we have the discretion to deliver an issuance notice to Cantor at any time throughout the term of the offering under this prospectus. The number of shares that are sold by Cantor after delivering an issuance notice will fluctuate based on the market price of the common shares during the sales period and limits we set with Cantor in any instruction to sell shares, and the demand for our common shares during the sales period. Because the price per share of each share sold will fluctuate based on the market price of our common shares during the sales period, it is not possible at this stage to predict the number of shares or the gross proceeds to be raised in connection with those sales, if any, that will be ultimately issued.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440"/>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common shares offered hereby will be sold in “at the market offerings,” and investors who buy shares at different times will likely pay different prices.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Investors who purchase shares in this offering at different times will likely pay different prices, and so may experience different outcomes in their investment results. We will have discretion, subject to market demand, to vary the timing, prices, and numbers of shares sold, and there is no minimum or maximum sales price. Investors may experience a decline in the value of their shares as a result of share sales made at prices lower than the prices they paid.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Our management will have broad discretion as to the use of the net proceeds from this offering and might apply the net proceeds from this offering in ways with which you do not agree and in ways that may impair the value of your investment.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currently intend to use the net proceeds from this offering primarily for working capital and general corporate purposes. Pending these uses, we expect to invest the net proceeds in short-term, interest-bearing obligations, certificates of deposit or direct or guaranteed obligations of the United States. Our management has broad discretion as to the use of these proceeds and you will be relying on the judgment of our management regarding the application of these proceeds. We might apply these proceeds in ways with which you do not agree, or in ways that do not yield a favorable return. If our management applies these proceeds in a manner that does not yield a significant return, if any, on our investment of these net proceeds, it could compromise our ability to pursue our growth strategy and adversely affect the market price of our common shares.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3" w:name="tSNRF1"/>
      <w:bookmarkEnd w:id="2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SPECIAL NOTE REGARDING FORWARD-LOOKING STATEMENTS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the documents incorporated by reference herein and any free writing prospectus that we have authorized for use in connection with this offering may contain forward-looking statements within the meaning of the federal securities laws about us and our industry that involve substantial risks and uncertainties. All statements other than statements of historical facts contained in this prospectus, including statements regarding our strategy, future financial condition, future operations, projected costs, prospects, plans, objectives of management and expected market growth, are forward-looking statements pursuant to the safe harbor provisions of the Private Securities Litigation Reform Act of 1995 and other federal securities laws. In some cases, you can identify forward-looking statements by terminology such as “aim,” “anticipate,” “assume,” “believe,” “contemplate,” “continue,” “could,” “design,” “due,” “estimate,” “expect,” “goal,” “intend,” “may,” “objective,” “plan,” “predict,” “positioned,” “potential,” “seek,” “should,” “target,” “will,” “would” and other similar expressions that are predictions of or indicate future events and future trends, or the negative of these terms or other comparable terminology.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based these forward-looking statements largely on our current expectations and projections about future events and financial trends that we believe may affect our financial condition, results of operations, business strategy and financial needs. These forward-looking statements are subject to a number of known and unknown risks, uncertainties and assumptions, including risks described in the section titled “Risk Factors” and elsewhere in this prospectus, the documents incorporated by reference herein, or in any free writing prospectus that we have authorized for use in connection with this offering. Within the meaning of Section 27A of the Securities Act and Section 21E of the Exchange Act, these forward-looking statements include statements regarding: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expectations regarding the commercialization of CARDAMYST™ (etripamil) nasal spray for the conversion of acute symptomatic episodes of PSVT to sinus rhythm in adults as well as our plans to develop and commercialize our product candidates; </w:t>
      </w:r>
      <w:r>
        <mc:AlternateContent>
          <mc:Choice Requires="wps">
            <w:drawing>
              <wp:anchor behindDoc="0" distT="74930" distB="0" distL="254000" distR="0" simplePos="0" locked="0" layoutInCell="1" allowOverlap="1" relativeHeight="212">
                <wp:simplePos x="0" y="0"/>
                <wp:positionH relativeFrom="column">
                  <wp:align>left</wp:align>
                </wp:positionH>
                <wp:positionV relativeFrom="line">
                  <wp:align>top</wp:align>
                </wp:positionV>
                <wp:extent cx="127000" cy="350520"/>
                <wp:effectExtent l="0" t="0" r="0" b="0"/>
                <wp:wrapSquare wrapText="right"/>
                <wp:docPr id="205" name="Frame2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initiation, timing, progress, and results of our current and future clinical trials of etripamil, including our Phase 3 clinical trial of etripamil for the treatment of atrial fibrillation and rapid ventricular rate, and of our research and development programs; </w:t>
      </w:r>
      <w:r>
        <mc:AlternateContent>
          <mc:Choice Requires="wps">
            <w:drawing>
              <wp:anchor behindDoc="0" distT="74930" distB="0" distL="254000" distR="0" simplePos="0" locked="0" layoutInCell="1" allowOverlap="1" relativeHeight="213">
                <wp:simplePos x="0" y="0"/>
                <wp:positionH relativeFrom="column">
                  <wp:align>left</wp:align>
                </wp:positionH>
                <wp:positionV relativeFrom="line">
                  <wp:align>top</wp:align>
                </wp:positionV>
                <wp:extent cx="127000" cy="350520"/>
                <wp:effectExtent l="0" t="0" r="0" b="0"/>
                <wp:wrapSquare wrapText="right"/>
                <wp:docPr id="206" name="Frame2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develop and, if approved by regulatory authorities, commercialize etripamil in China, Hong Kong, Macau, and Taiwan through our license agreement with Everest Medicines, formerly partnered with Corxel Pharmaceuticals; </w:t>
      </w:r>
      <w:r>
        <mc:AlternateContent>
          <mc:Choice Requires="wps">
            <w:drawing>
              <wp:anchor behindDoc="0" distT="74930" distB="0" distL="254000" distR="0" simplePos="0" locked="0" layoutInCell="1" allowOverlap="1" relativeHeight="214">
                <wp:simplePos x="0" y="0"/>
                <wp:positionH relativeFrom="column">
                  <wp:align>left</wp:align>
                </wp:positionH>
                <wp:positionV relativeFrom="line">
                  <wp:align>top</wp:align>
                </wp:positionV>
                <wp:extent cx="127000" cy="350520"/>
                <wp:effectExtent l="0" t="0" r="0" b="0"/>
                <wp:wrapSquare wrapText="right"/>
                <wp:docPr id="207" name="Frame2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estimates regarding expenses, future revenue, capital requirements, and needs for additional financing; </w:t>
      </w:r>
      <w:r>
        <mc:AlternateContent>
          <mc:Choice Requires="wps">
            <w:drawing>
              <wp:anchor behindDoc="0" distT="74930" distB="0" distL="254000" distR="0" simplePos="0" locked="0" layoutInCell="1" allowOverlap="1" relativeHeight="215">
                <wp:simplePos x="0" y="0"/>
                <wp:positionH relativeFrom="column">
                  <wp:align>left</wp:align>
                </wp:positionH>
                <wp:positionV relativeFrom="line">
                  <wp:align>top</wp:align>
                </wp:positionV>
                <wp:extent cx="127000" cy="350520"/>
                <wp:effectExtent l="0" t="0" r="0" b="0"/>
                <wp:wrapSquare wrapText="right"/>
                <wp:docPr id="208" name="Frame2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establish collaborations or obtain additional funding; </w:t>
      </w:r>
      <w:r>
        <mc:AlternateContent>
          <mc:Choice Requires="wps">
            <w:drawing>
              <wp:anchor behindDoc="0" distT="74930" distB="0" distL="254000" distR="0" simplePos="0" locked="0" layoutInCell="1" allowOverlap="1" relativeHeight="216">
                <wp:simplePos x="0" y="0"/>
                <wp:positionH relativeFrom="column">
                  <wp:align>left</wp:align>
                </wp:positionH>
                <wp:positionV relativeFrom="line">
                  <wp:align>top</wp:align>
                </wp:positionV>
                <wp:extent cx="127000" cy="350520"/>
                <wp:effectExtent l="0" t="0" r="0" b="0"/>
                <wp:wrapSquare wrapText="right"/>
                <wp:docPr id="209" name="Frame2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obtain regulatory approval of our current products for new indications and/or of our future product candidates; </w:t>
      </w:r>
      <w:r>
        <mc:AlternateContent>
          <mc:Choice Requires="wps">
            <w:drawing>
              <wp:anchor behindDoc="0" distT="74930" distB="0" distL="254000" distR="0" simplePos="0" locked="0" layoutInCell="1" allowOverlap="1" relativeHeight="217">
                <wp:simplePos x="0" y="0"/>
                <wp:positionH relativeFrom="column">
                  <wp:align>left</wp:align>
                </wp:positionH>
                <wp:positionV relativeFrom="line">
                  <wp:align>top</wp:align>
                </wp:positionV>
                <wp:extent cx="127000" cy="350520"/>
                <wp:effectExtent l="0" t="0" r="0" b="0"/>
                <wp:wrapSquare wrapText="right"/>
                <wp:docPr id="210" name="Frame2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expectations regarding the potential market size and the rate and degree of market acceptance of etripamil and any future product candidates; </w:t>
      </w:r>
      <w:r>
        <mc:AlternateContent>
          <mc:Choice Requires="wps">
            <w:drawing>
              <wp:anchor behindDoc="0" distT="74930" distB="0" distL="254000" distR="0" simplePos="0" locked="0" layoutInCell="1" allowOverlap="1" relativeHeight="218">
                <wp:simplePos x="0" y="0"/>
                <wp:positionH relativeFrom="column">
                  <wp:align>left</wp:align>
                </wp:positionH>
                <wp:positionV relativeFrom="line">
                  <wp:align>top</wp:align>
                </wp:positionV>
                <wp:extent cx="127000" cy="350520"/>
                <wp:effectExtent l="0" t="0" r="0" b="0"/>
                <wp:wrapSquare wrapText="right"/>
                <wp:docPr id="211" name="Frame2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fund our working capital requirements and expectations regarding the sufficiency of our capital resources; </w:t>
      </w:r>
      <w:r>
        <mc:AlternateContent>
          <mc:Choice Requires="wps">
            <w:drawing>
              <wp:anchor behindDoc="0" distT="74930" distB="0" distL="254000" distR="0" simplePos="0" locked="0" layoutInCell="1" allowOverlap="1" relativeHeight="219">
                <wp:simplePos x="0" y="0"/>
                <wp:positionH relativeFrom="column">
                  <wp:align>left</wp:align>
                </wp:positionH>
                <wp:positionV relativeFrom="line">
                  <wp:align>top</wp:align>
                </wp:positionV>
                <wp:extent cx="127000" cy="350520"/>
                <wp:effectExtent l="0" t="0" r="0" b="0"/>
                <wp:wrapSquare wrapText="right"/>
                <wp:docPr id="212" name="Frame2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implementation of our business model and strategic plans for our business, etripamil, and any future product candidates; </w:t>
      </w:r>
      <w:r>
        <mc:AlternateContent>
          <mc:Choice Requires="wps">
            <w:drawing>
              <wp:anchor behindDoc="0" distT="74930" distB="0" distL="254000" distR="0" simplePos="0" locked="0" layoutInCell="1" allowOverlap="1" relativeHeight="220">
                <wp:simplePos x="0" y="0"/>
                <wp:positionH relativeFrom="column">
                  <wp:align>left</wp:align>
                </wp:positionH>
                <wp:positionV relativeFrom="line">
                  <wp:align>top</wp:align>
                </wp:positionV>
                <wp:extent cx="127000" cy="350520"/>
                <wp:effectExtent l="0" t="0" r="0" b="0"/>
                <wp:wrapSquare wrapText="right"/>
                <wp:docPr id="213" name="Frame2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intellectual property position and the duration of our patent rights; </w:t>
      </w:r>
      <w:r>
        <mc:AlternateContent>
          <mc:Choice Requires="wps">
            <w:drawing>
              <wp:anchor behindDoc="0" distT="74930" distB="0" distL="254000" distR="0" simplePos="0" locked="0" layoutInCell="1" allowOverlap="1" relativeHeight="221">
                <wp:simplePos x="0" y="0"/>
                <wp:positionH relativeFrom="column">
                  <wp:align>left</wp:align>
                </wp:positionH>
                <wp:positionV relativeFrom="line">
                  <wp:align>top</wp:align>
                </wp:positionV>
                <wp:extent cx="127000" cy="350520"/>
                <wp:effectExtent l="0" t="0" r="0" b="0"/>
                <wp:wrapSquare wrapText="right"/>
                <wp:docPr id="214" name="Frame2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developments or disputes concerning our intellectual property or other proprietary rights; </w:t>
      </w:r>
      <w:r>
        <mc:AlternateContent>
          <mc:Choice Requires="wps">
            <w:drawing>
              <wp:anchor behindDoc="0" distT="74930" distB="0" distL="254000" distR="0" simplePos="0" locked="0" layoutInCell="1" allowOverlap="1" relativeHeight="222">
                <wp:simplePos x="0" y="0"/>
                <wp:positionH relativeFrom="column">
                  <wp:align>left</wp:align>
                </wp:positionH>
                <wp:positionV relativeFrom="line">
                  <wp:align>top</wp:align>
                </wp:positionV>
                <wp:extent cx="127000" cy="350520"/>
                <wp:effectExtent l="0" t="0" r="0" b="0"/>
                <wp:wrapSquare wrapText="right"/>
                <wp:docPr id="215" name="Frame2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expectations regarding government and third-party payor coverage and reimbursement; </w:t>
      </w:r>
      <w:r>
        <mc:AlternateContent>
          <mc:Choice Requires="wps">
            <w:drawing>
              <wp:anchor behindDoc="0" distT="74930" distB="0" distL="254000" distR="0" simplePos="0" locked="0" layoutInCell="1" allowOverlap="1" relativeHeight="223">
                <wp:simplePos x="0" y="0"/>
                <wp:positionH relativeFrom="column">
                  <wp:align>left</wp:align>
                </wp:positionH>
                <wp:positionV relativeFrom="line">
                  <wp:align>top</wp:align>
                </wp:positionV>
                <wp:extent cx="127000" cy="350520"/>
                <wp:effectExtent l="0" t="0" r="0" b="0"/>
                <wp:wrapSquare wrapText="right"/>
                <wp:docPr id="216" name="Frame2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compete in the markets we serve; </w:t>
      </w:r>
      <w:r>
        <mc:AlternateContent>
          <mc:Choice Requires="wps">
            <w:drawing>
              <wp:anchor behindDoc="0" distT="74930" distB="0" distL="254000" distR="0" simplePos="0" locked="0" layoutInCell="1" allowOverlap="1" relativeHeight="224">
                <wp:simplePos x="0" y="0"/>
                <wp:positionH relativeFrom="column">
                  <wp:align>left</wp:align>
                </wp:positionH>
                <wp:positionV relativeFrom="line">
                  <wp:align>top</wp:align>
                </wp:positionV>
                <wp:extent cx="127000" cy="350520"/>
                <wp:effectExtent l="0" t="0" r="0" b="0"/>
                <wp:wrapSquare wrapText="right"/>
                <wp:docPr id="217" name="Frame2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impact of government laws and regulations; </w:t>
      </w:r>
      <w:r>
        <mc:AlternateContent>
          <mc:Choice Requires="wps">
            <w:drawing>
              <wp:anchor behindDoc="0" distT="74930" distB="0" distL="254000" distR="0" simplePos="0" locked="0" layoutInCell="1" allowOverlap="1" relativeHeight="225">
                <wp:simplePos x="0" y="0"/>
                <wp:positionH relativeFrom="column">
                  <wp:align>left</wp:align>
                </wp:positionH>
                <wp:positionV relativeFrom="line">
                  <wp:align>top</wp:align>
                </wp:positionV>
                <wp:extent cx="127000" cy="350520"/>
                <wp:effectExtent l="0" t="0" r="0" b="0"/>
                <wp:wrapSquare wrapText="right"/>
                <wp:docPr id="218" name="Frame2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developments relating to our competitors and our industry; </w:t>
      </w:r>
      <w:r>
        <mc:AlternateContent>
          <mc:Choice Requires="wps">
            <w:drawing>
              <wp:anchor behindDoc="0" distT="74930" distB="0" distL="254000" distR="0" simplePos="0" locked="0" layoutInCell="1" allowOverlap="1" relativeHeight="226">
                <wp:simplePos x="0" y="0"/>
                <wp:positionH relativeFrom="column">
                  <wp:align>left</wp:align>
                </wp:positionH>
                <wp:positionV relativeFrom="line">
                  <wp:align>top</wp:align>
                </wp:positionV>
                <wp:extent cx="127000" cy="350520"/>
                <wp:effectExtent l="0" t="0" r="0" b="0"/>
                <wp:wrapSquare wrapText="right"/>
                <wp:docPr id="219" name="Frame2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44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effects of international trade policies, including tariffs, sanctions, and trade barriers; </w:t>
      </w:r>
      <w:r>
        <mc:AlternateContent>
          <mc:Choice Requires="wps">
            <w:drawing>
              <wp:anchor behindDoc="0" distT="0" distB="0" distL="254000" distR="0" simplePos="0" locked="0" layoutInCell="1" allowOverlap="1" relativeHeight="227">
                <wp:simplePos x="0" y="0"/>
                <wp:positionH relativeFrom="column">
                  <wp:align>left</wp:align>
                </wp:positionH>
                <wp:positionV relativeFrom="line">
                  <wp:posOffset>635</wp:posOffset>
                </wp:positionV>
                <wp:extent cx="127000" cy="350520"/>
                <wp:effectExtent l="0" t="0" r="0" b="0"/>
                <wp:wrapSquare wrapText="right"/>
                <wp:docPr id="220" name="Frame2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factors that may impact our financial results; and </w:t>
      </w:r>
      <w:r>
        <mc:AlternateContent>
          <mc:Choice Requires="wps">
            <w:drawing>
              <wp:anchor behindDoc="0" distT="76200" distB="0" distL="254000" distR="0" simplePos="0" locked="0" layoutInCell="1" allowOverlap="1" relativeHeight="228">
                <wp:simplePos x="0" y="0"/>
                <wp:positionH relativeFrom="column">
                  <wp:align>left</wp:align>
                </wp:positionH>
                <wp:positionV relativeFrom="line">
                  <wp:align>top</wp:align>
                </wp:positionV>
                <wp:extent cx="127000" cy="350520"/>
                <wp:effectExtent l="0" t="0" r="0" b="0"/>
                <wp:wrapSquare wrapText="right"/>
                <wp:docPr id="221" name="Frame2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anticipated use of proceeds from this offering. </w:t>
      </w:r>
      <w:r>
        <mc:AlternateContent>
          <mc:Choice Requires="wps">
            <w:drawing>
              <wp:anchor behindDoc="0" distT="76200" distB="0" distL="254000" distR="0" simplePos="0" locked="0" layoutInCell="1" allowOverlap="1" relativeHeight="229">
                <wp:simplePos x="0" y="0"/>
                <wp:positionH relativeFrom="column">
                  <wp:align>left</wp:align>
                </wp:positionH>
                <wp:positionV relativeFrom="line">
                  <wp:align>top</wp:align>
                </wp:positionV>
                <wp:extent cx="127000" cy="350520"/>
                <wp:effectExtent l="0" t="0" r="0" b="0"/>
                <wp:wrapSquare wrapText="right"/>
                <wp:docPr id="222" name="Frame2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foregoing list of risks is not exhaustive. Other sections of this prospectus, the documents incorporated by reference herein, or in any free writing prospectus that we have authorized for use in connection with this offering may include additional factors that could harm our business and financial performance. Moreover, we operate in a very competitive and rapidly changing environment. New risk factors emerge from time to time, and it is not possible for our management to predict all risk factors, nor can we assess the impact of all factors on our business or the extent to which any factor, or combination of factors, may cause actual results to differ materially from those contained in, or implied by, any forward-looking statements.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light of the significant uncertainties in these forward-looking statements, you should not rely upon forward-looking statements as predictions of future events. Although we believe that we have a reasonable basis for each forward-looking statement contained in this prospectus, the documents incorporated by reference herein, or in any free writing prospectus that we have authorized for use in connection with this offering, we cannot guarantee that the future results, levels of activity, performance or events and circumstances reflected in the forward-looking statements will be achieved or occur at all. Factors that may cause actual results to differ materially from current expectations include, among other things, those listed under the section entitled “Risk Factors” in this prospectus, as may be updated from time to time by our future filings under the Securities Exchange Act of 1934, as amended, or the Exchange Act, and discussed elsewhere in this prospectus, the documents incorporated by reference herein or in any free writing prospectus that we have authorized for us in connection with this offering. You should carefully review all of these factors. Furthermore, if our forward-looking statements prove to be inaccurate, the inaccuracy may be material. Except as required by law, we undertake no obligation to publicly update any forward-looking statements, whether as a result of new information, future events or otherwise. The Private Securities Litigation Reform Act of 1995 and Section 27A of the Securities Act of 1933, as amended, or the Securities Act, do not protect any forward-looking statements that we make in connection with this prospectus, the documents incorporated by reference herein, or in any free writing prospectus that we have authorized for us in connection with this offering.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the documents incorporated by reference herein, or in any free writing prospectus that we have authorized for us in connection with this offering may also contain estimates, projections and other information concerning our industry, our business, and the markets for certain diseases, including data regarding the estimated size of those markets. Information that is based on estimates, forecasts, projections, market research or similar methodologies is inherently subject to uncertainties and actual events or circumstances may differ materially from events and circumstances reflected in this information.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4" w:name="tDIL"/>
      <w:bookmarkEnd w:id="2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DILUTION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Investors purchasing our common shares in this offering may experience substantial dilution in the net tangible book value of their common shares. Our historical net tangible book value as of March 31, 2026 was $34.8 million, or $0.30 per common share. Net tangible book value per share is determined by dividing our total tangible assets, less total liabilities, by the number of common shares outstanding as of March 31, 2026. Dilution with respect to net tangible book value per share represents the difference between the amount per share paid by purchasers of common shares in this offering and the net tangible book value per share of our common shares immediately after this offering.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After giving effect to the sale of 52,631,578 common shares in this offering at an assumed public offering price of $1.90 per share, the last reported sale price of our common shares on Nasdaq on May 12, 2026, and after deducting estimated commissions and offering expenses payable by us, our as adjusted net tangible book value as of March 31, 2026 would have been $131.5 million, or $0.77 per share. This represents an immediate increase in net tangible book value of $0.47 per share to existing shareholders and immediate dilution of $1.13 per share to investors purchasing our common shares in this offering at the public offering price. The following table illustrates this dilution on a per share basis: </w:t>
      </w:r>
    </w:p>
    <w:tbl>
      <w:tblPr>
        <w:tblW w:w="8812" w:type="dxa"/>
        <w:jc w:val="left"/>
        <w:tblInd w:w="1393" w:type="dxa"/>
        <w:tblLayout w:type="fixed"/>
        <w:tblCellMar>
          <w:top w:w="0" w:type="dxa"/>
          <w:left w:w="0" w:type="dxa"/>
          <w:bottom w:w="0" w:type="dxa"/>
          <w:right w:w="0" w:type="dxa"/>
        </w:tblCellMar>
      </w:tblPr>
      <w:tblGrid>
        <w:gridCol w:w="124"/>
        <w:gridCol w:w="6124"/>
        <w:gridCol w:w="109"/>
        <w:gridCol w:w="109"/>
        <w:gridCol w:w="109"/>
        <w:gridCol w:w="226"/>
        <w:gridCol w:w="526"/>
        <w:gridCol w:w="109"/>
        <w:gridCol w:w="109"/>
        <w:gridCol w:w="109"/>
        <w:gridCol w:w="109"/>
        <w:gridCol w:w="226"/>
        <w:gridCol w:w="559"/>
        <w:gridCol w:w="109"/>
        <w:gridCol w:w="155"/>
      </w:tblGrid>
      <w:tr>
        <w:trPr/>
        <w:tc>
          <w:tcPr>
            <w:tcW w:w="124" w:type="dxa"/>
            <w:tcBorders/>
            <w:shd w:fill="CCEEFF" w:val="clear"/>
            <w:vAlign w:val="center"/>
          </w:tcPr>
          <w:p>
            <w:pPr>
              <w:pStyle w:val="TableContents"/>
              <w:bidi w:val="0"/>
              <w:spacing w:before="0" w:after="283"/>
              <w:jc w:val="left"/>
              <w:rPr/>
            </w:pPr>
            <w:r>
              <w:rPr/>
              <w:t>​</w:t>
            </w:r>
          </w:p>
        </w:tc>
        <w:tc>
          <w:tcPr>
            <w:tcW w:w="6124" w:type="dxa"/>
            <w:tcBorders/>
            <w:shd w:fill="CCEEFF" w:val="clear"/>
            <w:vAlign w:val="center"/>
          </w:tcPr>
          <w:p>
            <w:pPr>
              <w:pStyle w:val="TableContents"/>
              <w:bidi w:val="0"/>
              <w:spacing w:before="0" w:after="0"/>
              <w:jc w:val="left"/>
              <w:rPr>
                <w:spacing w:val="4"/>
              </w:rPr>
            </w:pPr>
            <w:r>
              <w:rPr>
                <w:spacing w:val="4"/>
              </w:rPr>
              <w:t xml:space="preserve">Assumed public offering price per share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526" w:type="dxa"/>
            <w:tcBorders/>
            <w:shd w:fill="CCEEFF" w:val="clear"/>
            <w:vAlign w:val="center"/>
          </w:tcPr>
          <w:p>
            <w:pPr>
              <w:pStyle w:val="TableContents"/>
              <w:bidi w:val="0"/>
              <w:spacing w:before="0" w:after="283"/>
              <w:jc w:val="righ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559" w:type="dxa"/>
            <w:tcBorders/>
            <w:shd w:fill="CCEEFF" w:val="clear"/>
            <w:vAlign w:val="center"/>
          </w:tcPr>
          <w:p>
            <w:pPr>
              <w:pStyle w:val="TableContents"/>
              <w:bidi w:val="0"/>
              <w:spacing w:before="0" w:after="283"/>
              <w:jc w:val="right"/>
              <w:rPr/>
            </w:pPr>
            <w:r>
              <w:rPr/>
              <w:t xml:space="preserve">1.90 </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124" w:type="dxa"/>
            <w:tcBorders/>
            <w:vAlign w:val="center"/>
          </w:tcPr>
          <w:p>
            <w:pPr>
              <w:pStyle w:val="TableContents"/>
              <w:bidi w:val="0"/>
              <w:spacing w:before="0" w:after="0"/>
              <w:jc w:val="left"/>
              <w:rPr/>
            </w:pPr>
            <w:r>
              <w:rPr>
                <w:spacing w:val="4"/>
              </w:rPr>
              <w:t>Net tangible book value per share as of March 31, 2026</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526" w:type="dxa"/>
            <w:tcBorders/>
            <w:vAlign w:val="center"/>
          </w:tcPr>
          <w:p>
            <w:pPr>
              <w:pStyle w:val="TableContents"/>
              <w:bidi w:val="0"/>
              <w:spacing w:before="0" w:after="283"/>
              <w:jc w:val="right"/>
              <w:rPr/>
            </w:pPr>
            <w:r>
              <w:rPr/>
              <w:t>0.30</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559"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6124" w:type="dxa"/>
            <w:tcBorders/>
            <w:shd w:fill="CCEEFF" w:val="clear"/>
            <w:vAlign w:val="center"/>
          </w:tcPr>
          <w:p>
            <w:pPr>
              <w:pStyle w:val="TableContents"/>
              <w:bidi w:val="0"/>
              <w:spacing w:before="0" w:after="0"/>
              <w:jc w:val="left"/>
              <w:rPr>
                <w:spacing w:val="4"/>
              </w:rPr>
            </w:pPr>
            <w:r>
              <w:rPr>
                <w:spacing w:val="4"/>
              </w:rPr>
              <w:t xml:space="preserve">Increase in adjusted net tangible book value per share attributable to this offering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526" w:type="dxa"/>
            <w:tcBorders/>
            <w:shd w:fill="CCEEFF" w:val="clear"/>
            <w:vAlign w:val="center"/>
          </w:tcPr>
          <w:p>
            <w:pPr>
              <w:pStyle w:val="TableContents"/>
              <w:bidi w:val="0"/>
              <w:spacing w:before="0" w:after="283"/>
              <w:jc w:val="right"/>
              <w:rPr/>
            </w:pPr>
            <w:r>
              <w:rPr/>
              <w:t>0.47</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559" w:type="dxa"/>
            <w:tcBorders/>
            <w:shd w:fill="CCEEFF" w:val="clear"/>
            <w:vAlign w:val="center"/>
          </w:tcPr>
          <w:p>
            <w:pPr>
              <w:pStyle w:val="TableContents"/>
              <w:bidi w:val="0"/>
              <w:spacing w:before="0" w:after="283"/>
              <w:jc w:val="right"/>
              <w:rPr/>
            </w:pPr>
            <w:r>
              <w:rPr/>
              <w:t>​</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6124" w:type="dxa"/>
            <w:tcBorders/>
            <w:vAlign w:val="center"/>
          </w:tcPr>
          <w:p>
            <w:pPr>
              <w:pStyle w:val="TableContents"/>
              <w:bidi w:val="0"/>
              <w:spacing w:before="0" w:after="0"/>
              <w:ind w:left="200" w:right="0" w:hanging="200"/>
              <w:jc w:val="left"/>
              <w:rPr>
                <w:spacing w:val="4"/>
              </w:rPr>
            </w:pPr>
            <w:r>
              <w:rPr>
                <w:spacing w:val="4"/>
              </w:rPr>
              <w:t xml:space="preserve">As adjusted net tangible book value per share as of March 31, 2026, after giving effect to this offering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526" w:type="dxa"/>
            <w:tcBorders/>
            <w:vAlign w:val="center"/>
          </w:tcPr>
          <w:p>
            <w:pPr>
              <w:pStyle w:val="TableContents"/>
              <w:bidi w:val="0"/>
              <w:spacing w:before="0" w:after="283"/>
              <w:jc w:val="righ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559" w:type="dxa"/>
            <w:tcBorders/>
            <w:vAlign w:val="center"/>
          </w:tcPr>
          <w:p>
            <w:pPr>
              <w:pStyle w:val="TableContents"/>
              <w:bidi w:val="0"/>
              <w:spacing w:before="0" w:after="283"/>
              <w:jc w:val="right"/>
              <w:rPr/>
            </w:pPr>
            <w:r>
              <w:rPr/>
              <w:t xml:space="preserve">0.77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6124" w:type="dxa"/>
            <w:tcBorders/>
            <w:shd w:fill="CCEEFF" w:val="clear"/>
            <w:vAlign w:val="center"/>
          </w:tcPr>
          <w:p>
            <w:pPr>
              <w:pStyle w:val="TableContents"/>
              <w:bidi w:val="0"/>
              <w:spacing w:before="0" w:after="0"/>
              <w:jc w:val="left"/>
              <w:rPr>
                <w:spacing w:val="4"/>
              </w:rPr>
            </w:pPr>
            <w:r>
              <w:rPr>
                <w:spacing w:val="4"/>
              </w:rPr>
              <w:t xml:space="preserve">Dilution per share to investors purchasing our common shares in this offering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526" w:type="dxa"/>
            <w:tcBorders/>
            <w:shd w:fill="CCEEFF" w:val="clear"/>
            <w:vAlign w:val="center"/>
          </w:tcPr>
          <w:p>
            <w:pPr>
              <w:pStyle w:val="TableContents"/>
              <w:bidi w:val="0"/>
              <w:spacing w:before="0" w:after="283"/>
              <w:jc w:val="righ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559" w:type="dxa"/>
            <w:tcBorders/>
            <w:shd w:fill="CCEEFF" w:val="clear"/>
            <w:vAlign w:val="center"/>
          </w:tcPr>
          <w:p>
            <w:pPr>
              <w:pStyle w:val="TableContents"/>
              <w:bidi w:val="0"/>
              <w:spacing w:before="0" w:after="283"/>
              <w:jc w:val="right"/>
              <w:rPr/>
            </w:pPr>
            <w:r>
              <w:rPr/>
              <w:t>1.13</w:t>
            </w:r>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bl>
    <w:p>
      <w:pPr>
        <w:pStyle w:val="TextBody"/>
        <w:bidi w:val="0"/>
        <w:spacing w:lineRule="atLeast" w:line="240" w:before="168"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table above assumes for illustrative purposes that an aggregate of 52,631,578 common shares are sold during the term of the sales agreement with Cantor at a price of $1.90 per share, the last reported sale price of our common shares on Nasdaq on May 12, 2026, for aggregate gross proceeds of $100.0 million. The shares subject to the sales agreement with Cantor are being sold from time to time at various prices. An increase of  $1.00 per share in the price at which the shares are sold from the assumed offering price of $1.90 per share shown in the table above, assuming all of our common shares in the aggregate amount of $100.0 million during the term of the sales agreement with Cantor is sold at that price, would increase our as adjusted net tangible book value per share after the offering to $0.86 per share and would increase the dilution in net tangible book value per share to new investors in this offering to $2.04 per share, after deducting commissions and estimated aggregate offering expenses payable by us. A decrease of  $1.00 per share in the price at which the shares are sold from the assumed offering price of $1.90 per share shown in the table above, assuming all of our common shares in the aggregate amount of $100.0 million during the term of the sales agreement with Cantor is sold at that price, would decrease our as adjusted net tangible book value per share after the offering to $0.57 per share and would decrease the dilution in net tangible book value per share to new investors in this offering to $0.33 per share, after deducting commissions and estimated aggregate offering expenses payable by us. This information is supplied for illustrative purposes only.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above discussion and table are based on 117,794,417 common shares outstanding as of March 31, 2026, and exclude: </w:t>
      </w:r>
    </w:p>
    <w:p>
      <w:pPr>
        <w:pStyle w:val="TextBody"/>
        <w:bidi w:val="0"/>
        <w:spacing w:lineRule="atLeast" w:line="240" w:before="12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13,146,497 common shares issuable upon the exercise of outstanding options, at a weighted-average exercise price of $3.60 per share; </w:t>
      </w:r>
      <w:r>
        <mc:AlternateContent>
          <mc:Choice Requires="wps">
            <w:drawing>
              <wp:anchor behindDoc="0" distT="81280" distB="0" distL="254000" distR="0" simplePos="0" locked="0" layoutInCell="1" allowOverlap="1" relativeHeight="230">
                <wp:simplePos x="0" y="0"/>
                <wp:positionH relativeFrom="column">
                  <wp:align>left</wp:align>
                </wp:positionH>
                <wp:positionV relativeFrom="line">
                  <wp:align>top</wp:align>
                </wp:positionV>
                <wp:extent cx="127000" cy="350520"/>
                <wp:effectExtent l="0" t="0" r="0" b="0"/>
                <wp:wrapSquare wrapText="right"/>
                <wp:docPr id="223" name="Frame2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4pt;mso-wrap-distance-bottom:0pt;margin-top:6.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1,482,710 common shares reserved for future issuance under our 2019 Equity Incentive Plan, or the 2019 Plan, as well as any future increases in the number of common shares reserved for issuance under the 2019 Plan; </w:t>
      </w:r>
      <w:r>
        <mc:AlternateContent>
          <mc:Choice Requires="wps">
            <w:drawing>
              <wp:anchor behindDoc="0" distT="81280" distB="0" distL="254000" distR="0" simplePos="0" locked="0" layoutInCell="1" allowOverlap="1" relativeHeight="231">
                <wp:simplePos x="0" y="0"/>
                <wp:positionH relativeFrom="column">
                  <wp:align>left</wp:align>
                </wp:positionH>
                <wp:positionV relativeFrom="line">
                  <wp:align>top</wp:align>
                </wp:positionV>
                <wp:extent cx="127000" cy="350520"/>
                <wp:effectExtent l="0" t="0" r="0" b="0"/>
                <wp:wrapSquare wrapText="right"/>
                <wp:docPr id="224" name="Frame2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4pt;mso-wrap-distance-bottom:0pt;margin-top:6.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671,000 common shares reserved for future issuance under our 2021 Inducement Plan, or the 2021 Plan, as well as any future increases in the number of common shares reserved for issuance under the 2021 Plan; </w:t>
      </w:r>
      <w:r>
        <mc:AlternateContent>
          <mc:Choice Requires="wps">
            <w:drawing>
              <wp:anchor behindDoc="0" distT="81280" distB="0" distL="254000" distR="0" simplePos="0" locked="0" layoutInCell="1" allowOverlap="1" relativeHeight="232">
                <wp:simplePos x="0" y="0"/>
                <wp:positionH relativeFrom="column">
                  <wp:align>left</wp:align>
                </wp:positionH>
                <wp:positionV relativeFrom="line">
                  <wp:align>top</wp:align>
                </wp:positionV>
                <wp:extent cx="127000" cy="350520"/>
                <wp:effectExtent l="0" t="0" r="0" b="0"/>
                <wp:wrapSquare wrapText="right"/>
                <wp:docPr id="225" name="Frame2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4pt;mso-wrap-distance-bottom:0pt;margin-top:6.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40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2,145,794 common shares reserved for future issuance under our 2019 Employee Share Purchase Plan, or the ESPP, as well as any future increases in the number of common shares reserved for issuance under the ESPP; </w:t>
      </w:r>
      <w:r>
        <mc:AlternateContent>
          <mc:Choice Requires="wps">
            <w:drawing>
              <wp:anchor behindDoc="0" distT="0" distB="0" distL="254000" distR="0" simplePos="0" locked="0" layoutInCell="1" allowOverlap="1" relativeHeight="233">
                <wp:simplePos x="0" y="0"/>
                <wp:positionH relativeFrom="column">
                  <wp:align>left</wp:align>
                </wp:positionH>
                <wp:positionV relativeFrom="line">
                  <wp:posOffset>635</wp:posOffset>
                </wp:positionV>
                <wp:extent cx="127000" cy="350520"/>
                <wp:effectExtent l="0" t="0" r="0" b="0"/>
                <wp:wrapSquare wrapText="right"/>
                <wp:docPr id="226" name="Frame2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16,412,925 common shares issuable upon the exercise of outstanding pre-funded warrants, at an exercise price of $0.001 per share; </w:t>
      </w:r>
      <w:r>
        <mc:AlternateContent>
          <mc:Choice Requires="wps">
            <w:drawing>
              <wp:anchor behindDoc="0" distT="76200" distB="0" distL="254000" distR="0" simplePos="0" locked="0" layoutInCell="1" allowOverlap="1" relativeHeight="234">
                <wp:simplePos x="0" y="0"/>
                <wp:positionH relativeFrom="column">
                  <wp:align>left</wp:align>
                </wp:positionH>
                <wp:positionV relativeFrom="line">
                  <wp:align>top</wp:align>
                </wp:positionV>
                <wp:extent cx="127000" cy="350520"/>
                <wp:effectExtent l="0" t="0" r="0" b="0"/>
                <wp:wrapSquare wrapText="right"/>
                <wp:docPr id="227" name="Frame2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 to 16,613,940 common shares, of which (a) 11,427,055 common shares are issuable upon the conversion of Milestone’s senior secured convertible promissory notes, or the Notes, and (b) 5,186,885 additional common shares, which represents the maximum number of additional common shares issuable in connection with an adjustment to the conversion rate of the Notes if a holder of Notes exercises its conversion right upon the occurrence of certain transactions; </w:t>
      </w:r>
      <w:r>
        <mc:AlternateContent>
          <mc:Choice Requires="wps">
            <w:drawing>
              <wp:anchor behindDoc="0" distT="76200" distB="0" distL="254000" distR="0" simplePos="0" locked="0" layoutInCell="1" allowOverlap="1" relativeHeight="235">
                <wp:simplePos x="0" y="0"/>
                <wp:positionH relativeFrom="column">
                  <wp:align>left</wp:align>
                </wp:positionH>
                <wp:positionV relativeFrom="line">
                  <wp:align>top</wp:align>
                </wp:positionV>
                <wp:extent cx="127000" cy="350520"/>
                <wp:effectExtent l="0" t="0" r="0" b="0"/>
                <wp:wrapSquare wrapText="right"/>
                <wp:docPr id="228" name="Frame2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 to 15,705,662 common shares issuable upon the exercise of outstanding Series A common warrants, at an exercise price of $1.50 per share; and </w:t>
      </w:r>
      <w:r>
        <mc:AlternateContent>
          <mc:Choice Requires="wps">
            <w:drawing>
              <wp:anchor behindDoc="0" distT="76200" distB="0" distL="254000" distR="0" simplePos="0" locked="0" layoutInCell="1" allowOverlap="1" relativeHeight="236">
                <wp:simplePos x="0" y="0"/>
                <wp:positionH relativeFrom="column">
                  <wp:align>left</wp:align>
                </wp:positionH>
                <wp:positionV relativeFrom="line">
                  <wp:align>top</wp:align>
                </wp:positionV>
                <wp:extent cx="127000" cy="350520"/>
                <wp:effectExtent l="0" t="0" r="0" b="0"/>
                <wp:wrapSquare wrapText="right"/>
                <wp:docPr id="229" name="Frame2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 to 34,335,669 common shares issuable upon the exercise of outstanding Series B common warrants, at an exercise price of $1.875 per share. </w:t>
      </w:r>
      <w:r>
        <mc:AlternateContent>
          <mc:Choice Requires="wps">
            <w:drawing>
              <wp:anchor behindDoc="0" distT="76200" distB="0" distL="254000" distR="0" simplePos="0" locked="0" layoutInCell="1" allowOverlap="1" relativeHeight="237">
                <wp:simplePos x="0" y="0"/>
                <wp:positionH relativeFrom="column">
                  <wp:align>left</wp:align>
                </wp:positionH>
                <wp:positionV relativeFrom="line">
                  <wp:align>top</wp:align>
                </wp:positionV>
                <wp:extent cx="127000" cy="350520"/>
                <wp:effectExtent l="0" t="0" r="0" b="0"/>
                <wp:wrapSquare wrapText="right"/>
                <wp:docPr id="230" name="Frame2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the extent that outstanding options, pre-funded warrants or Notes outstanding as of March 31, 2026 have been or may be exercised, new options or other securities are issued under our equity incentive plans or other additional common shares issued, investors purchasing our common shares in this offering may experience further dilution. We will require more capital to pursue our preclinical and clinical activities, regulatory approval and the commercialization of our current or future drug candidates. In addition, we may choose to raise additional capital due to market conditions or strategic considerations even if we believe we have sufficient funds for our current or future operating plans. To the extent that additional capital is raised through the sale of equity or convertible debt securities, the issuance of these securities could result in further dilution to our shareholders.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5" w:name="tUOP1"/>
      <w:bookmarkEnd w:id="2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3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USE OF PROCEEDS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issue and sell common shares having an aggregate offering price of up to $100,000,000 from time to time. Because there is no minimum offering amount required as a condition to close this offering, the actual total public offering amount, commissions and proceeds to us, if any, are not determinable at this time. There can be no assurance that we will sell any shares under or fully utilize the sales agreement with Cantor as a source of financing.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currently intend to use the net proceeds from this offering primarily for working capital and general corporate purposes. We may also use a portion of the net proceeds to invest in or acquire businesses or technologies that we believe are complementary to our own, although we have no current plans, commitments or agreements with respect to any acquisitions as of the date of this prospectus. Pending these uses, we expect to invest the net proceeds in short-term, interest-bearing obligations, certificates of deposit or direct or guaranteed obligations of the United States.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6" w:name="tPOD1"/>
      <w:bookmarkEnd w:id="2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PLAN OF DISTRIBUTION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entered into the sales agreement, with Cantor, under which we may offer and sell up to $100.0 million of our common shares from time to time through Cantor acting as our sales agent. Sales of our common shares, if any, under this prospectus will be made by any method that is deemed to be an “at the market offering” as defined in Rule 415(a)(4) under the Securities Act.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time we wish to issue and sell our common shares under the sales agreement, we will notify Cantor of the number of shares to be issued, the dates on which such sales are anticipated to be made, any limitation on the number of shares to be sold in any one day and any minimum price below which sales may not be made. Once we have so instructed Cantor, unless Cantor declines to accept the terms of such notice, Cantor has agreed to use its commercially reasonable efforts consistent with its normal trading and sales practices to solicit offers to purchase the common shares under the terms and subject to the conditions set forth in the sales agreement. The obligations of Cantor under the sales agreement to sell our common shares are subject to a number of conditions that we must meet.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settlement of sales of shares between us and Cantor is generally anticipated to occur on the first trading day following the date on which the sale was made. Sales of our common shares as contemplated in this prospectus will be settled through the facilities of The Depository Trust Company or by such other means as we and Cantor may agree upon. There is no arrangement for funds to be received in an escrow, trust or similar arrangement.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pay Cantor a commission of up to 3.0% of the aggregate gross proceeds we receive from each sale of our common shares under the sales agreement. Because there is no minimum offering amount required as a condition to close this offering, the actual total public offering amount, commissions and proceeds to us, if any, are not determinable at this time. In addition, we have agreed to reimburse Cantor for the fees and expenses of its counsel, payable upon execution of the sales agreement, in an amount not to exceed $100,000 and certain ongoing fees and expenses. We estimate that the total expenses for the offering, excluding any commissions or expense reimbursement payable to Cantor under the terms of the sales agreement, will be approximately $250,000. The remaining sale proceeds, after deducting any other transaction fees, will equal our net proceeds from the sale of such shares.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Cantor will provide written confirmation to us before the open on Nasdaq on the day following each day on which our common shares are sold under the sales agreement. Each confirmation will include the number of shares sold on that day, the aggregate gross proceeds of such sales and the proceeds to 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sale of our common shares on our behalf, Cantor will be deemed to be an “underwriter” within the meaning of the Securities Act, and the compensation of Cantor will be deemed to be underwriting commissions or discounts. We have agreed to indemnify Cantor against certain civil liabilities, including liabilities under the Securities Act. We have also agreed to contribute to payments Cantor may be required to make in respect of such liabilities.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offering of our common shares pursuant to the sales agreement will terminate upon the termination of the sales agreement as permitted therein. We and Cantor may each terminate the sales agreement at any time upon ten (10) trading days’ prior notice.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summary of the material provisions of the sales agreement does not purport to be a complete statement of its terms and conditions. A copy of the sales agreement is filed as Exhibit 10.3 to our Quarterly Report on Form 10-Q for the three months ended March 31, 2026 filed with the SEC on May 13, 2026 and incorporated by reference in this prospectus.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Cantor and its affiliates may in the future provide various investment banking, commercial banking, financial advisory and other financial services for us and our affiliates, for which services they may in the future receive customary fees. In the course of its business, Cantor may actively trade our securities for its own account or for the accounts of customers, and, accordingly, Cantor may at any time hold long or short positions in such securities.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may be made available in electronic format on a website maintained by Cantor, and Cantor may distribute this prospectus electronically.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7" w:name="tLEMA1"/>
      <w:bookmarkEnd w:id="2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7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LEGAL MATTERS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legal matters in connection with this offering relating to U.S. law will be passed upon for us by Cooley LLP. The validity of the issuance of our common shares offered in this prospectus will be passed upon for us by Osler, Hoskin &amp; Harcourt LLP, Montréal, Canada. Certain legal matters in connection with this offering will be passed upon for the sales agent by Wilmer Cutler Pickering Hale and Dorr LLP, New York, New York, with respect to U.S. law, and by McCarthy Tétrault LLP, Toronto, Canada, with respect to Canadian law.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8" w:name="tEXP1"/>
      <w:bookmarkEnd w:id="2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2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EXPERTS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consolidated financial statements incorporated in this prospectus by reference to the Annual Report on Form 10-K for the year ended December 31, 2025 have been so incorporated in reliance on the report of PricewaterhouseCoopers LLP, an independent registered public accounting firm, given on the authority of said firm as experts in auditing and accounting.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9" w:name="tSOPA"/>
      <w:bookmarkEnd w:id="2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4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SERVICE OF PROCESS AND ENFORCEMENT OF LIABILITIES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incorporated under the laws of Canada and continued under the laws of the Province of Québec. Substantially all of our assets are located outside the United States. In addition, several of our directors and officers are nationals and/or residents of countries other than the United States, and all or a substantial portion of such persons’ assets may be located outside the United States. As a result, it may be difficult for investors to effect service of process within the United States upon us or such persons or to enforce against them or against us, judgments obtained in United States courts, including judgments predicated upon the civil liability provisions of the securities laws of the United States or any state thereof. In addition, investors should not assume that the courts of Canada (i) would enforce judgments of U.S. courts obtained in actions against us, our officers or directors, or other said persons, predicated upon the civil liability provisions of the U.S. federal securities laws or other laws of the United States or (ii) would enforce, in original actions, liabilities against us or such directors, officers or experts predicated upon the United States federal securities laws or any securities or other laws of any state or jurisdiction of the United States.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there is doubt as to the applicability of the civil liability provisions of U.S. federal securities law to original actions instituted in Canada. It may be difficult for an investor, or any other person or entity, to assert U.S. securities laws claims in original actions instituted in Canada.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0" w:name="tWYCF1"/>
      <w:bookmarkEnd w:id="3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9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WHERE YOU CAN FIND MORE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is part of a registration statement we filed with the SEC. This prospectus does not contain all of the information set forth in the registration statement and the exhibits to the registration statement. For further information with respect to us and the securities we are offering under this prospectus, we refer you to the registration statement and the exhibits and schedules filed as a part of the registration statement. You should rely only on the information contained in this prospectus or incorporated by reference. We have not authorized anyone else to provide you with different information. We are not making an offer of these securities in any state where the offer is not permitted. You should not assume that the information in this prospectus is accurate as of any date other than the date on the front page of this prospectus, regardless of the time of delivery of this prospectus or any sale of the securities offered by this prospectus.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may read our SEC filings, including this registration statement, over the Internet at the SEC’s website at www.sec.gov. We are subject to the information reporting requirements of the Exchange Act and we must file reports, proxy statements and other information with the SEC. These reports, proxy statements and other information are available on the website of the SEC referred to above. We also maintain a website at www.milestonepharma.com, at which you may access these materials free of charge as soon as reasonably practicable after they are electronically filed with, or furnished to, the SEC. Information contained on or accessible through our website is not a part of this prospectus, and the inclusion of our website address in this prospectus is an inactive textual reference only.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1" w:name="tIOCI1"/>
      <w:bookmarkEnd w:id="3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INCORPORATION OF CERTAIN INFORMATION BY REFERENCE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 allows the Company to “incorporate by reference” the information that is filed by the Company with the SEC, which means that the Company can disclose important information to you by referring you to those documents. The documents incorporated by reference are: </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our </w:t>
      </w:r>
      <w:hyperlink r:id="rId14">
        <w:r>
          <w:rPr>
            <w:rStyle w:val="InternetLink"/>
          </w:rPr>
          <w:t>Annual Report on Form 10-K for the year ended December 31, 2025, filed with the SEC on March 20, 2026</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238">
                <wp:simplePos x="0" y="0"/>
                <wp:positionH relativeFrom="column">
                  <wp:align>left</wp:align>
                </wp:positionH>
                <wp:positionV relativeFrom="line">
                  <wp:align>top</wp:align>
                </wp:positionV>
                <wp:extent cx="127000" cy="350520"/>
                <wp:effectExtent l="0" t="0" r="0" b="0"/>
                <wp:wrapSquare wrapText="right"/>
                <wp:docPr id="231" name="Frame2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the information specifically incorporated by reference in our </w:t>
      </w:r>
      <w:hyperlink r:id="rId15">
        <w:r>
          <w:rPr>
            <w:rStyle w:val="InternetLink"/>
          </w:rPr>
          <w:t>Annual Report on Form 10-K for the year ended December 31, 2025, which was filed with the SEC on March 20, 2026</w:t>
        </w:r>
      </w:hyperlink>
      <w:r>
        <w:rPr>
          <w:rFonts w:ascii="Times New Roman;Times;serif" w:hAnsi="Times New Roman;Times;serif"/>
          <w:b w:val="false"/>
          <w:i w:val="false"/>
          <w:caps w:val="false"/>
          <w:smallCaps w:val="false"/>
          <w:color w:val="000000"/>
          <w:spacing w:val="4"/>
          <w:sz w:val="20"/>
        </w:rPr>
        <w:t xml:space="preserve">, from our </w:t>
      </w:r>
      <w:hyperlink r:id="rId16">
        <w:r>
          <w:rPr>
            <w:rStyle w:val="InternetLink"/>
          </w:rPr>
          <w:t>Definitive Proxy Statement on Schedule 14A relating to our 2026 Annual Meeting of Shareholders, which was filed with the SEC on April 30, 2026</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239">
                <wp:simplePos x="0" y="0"/>
                <wp:positionH relativeFrom="column">
                  <wp:align>left</wp:align>
                </wp:positionH>
                <wp:positionV relativeFrom="line">
                  <wp:align>top</wp:align>
                </wp:positionV>
                <wp:extent cx="127000" cy="350520"/>
                <wp:effectExtent l="0" t="0" r="0" b="0"/>
                <wp:wrapSquare wrapText="right"/>
                <wp:docPr id="232" name="Frame2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our Quarterly Report on Form 10-Q for the three months ended March 31, 2026, which was filed with the SEC on </w:t>
      </w:r>
      <w:hyperlink r:id="rId17">
        <w:r>
          <w:rPr>
            <w:rStyle w:val="InternetLink"/>
          </w:rPr>
          <w:t>May 13, 2026</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240">
                <wp:simplePos x="0" y="0"/>
                <wp:positionH relativeFrom="column">
                  <wp:align>left</wp:align>
                </wp:positionH>
                <wp:positionV relativeFrom="line">
                  <wp:align>top</wp:align>
                </wp:positionV>
                <wp:extent cx="127000" cy="350520"/>
                <wp:effectExtent l="0" t="0" r="0" b="0"/>
                <wp:wrapSquare wrapText="right"/>
                <wp:docPr id="233" name="Frame2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our Current Reports on Form 8-K filed with the SEC on </w:t>
      </w:r>
      <w:hyperlink r:id="rId18">
        <w:r>
          <w:rPr>
            <w:rStyle w:val="InternetLink"/>
          </w:rPr>
          <w:t>January 6, 2026</w:t>
        </w:r>
      </w:hyperlink>
      <w:r>
        <w:rPr>
          <w:rFonts w:ascii="Times New Roman;Times;serif" w:hAnsi="Times New Roman;Times;serif"/>
          <w:b w:val="false"/>
          <w:i w:val="false"/>
          <w:caps w:val="false"/>
          <w:smallCaps w:val="false"/>
          <w:color w:val="000000"/>
          <w:spacing w:val="4"/>
          <w:sz w:val="20"/>
        </w:rPr>
        <w:t xml:space="preserve">, </w:t>
      </w:r>
      <w:hyperlink r:id="rId19">
        <w:r>
          <w:rPr>
            <w:rStyle w:val="InternetLink"/>
          </w:rPr>
          <w:t>January 13, 2026</w:t>
        </w:r>
      </w:hyperlink>
      <w:r>
        <w:rPr>
          <w:rFonts w:ascii="Times New Roman;Times;serif" w:hAnsi="Times New Roman;Times;serif"/>
          <w:b w:val="false"/>
          <w:i w:val="false"/>
          <w:caps w:val="false"/>
          <w:smallCaps w:val="false"/>
          <w:color w:val="000000"/>
          <w:spacing w:val="4"/>
          <w:sz w:val="20"/>
        </w:rPr>
        <w:t xml:space="preserve"> and </w:t>
      </w:r>
      <w:hyperlink r:id="rId20">
        <w:r>
          <w:rPr>
            <w:rStyle w:val="InternetLink"/>
          </w:rPr>
          <w:t>January 26, 2026</w:t>
        </w:r>
      </w:hyperlink>
      <w:r>
        <w:rPr>
          <w:rFonts w:ascii="Times New Roman;Times;serif" w:hAnsi="Times New Roman;Times;serif"/>
          <w:b w:val="false"/>
          <w:i w:val="false"/>
          <w:caps w:val="false"/>
          <w:smallCaps w:val="false"/>
          <w:color w:val="000000"/>
          <w:spacing w:val="4"/>
          <w:sz w:val="20"/>
        </w:rPr>
        <w:t xml:space="preserve">, to the extent the information in such reports is filed and not furnished; and </w:t>
      </w:r>
      <w:r>
        <mc:AlternateContent>
          <mc:Choice Requires="wps">
            <w:drawing>
              <wp:anchor behindDoc="0" distT="76200" distB="0" distL="254000" distR="0" simplePos="0" locked="0" layoutInCell="1" allowOverlap="1" relativeHeight="241">
                <wp:simplePos x="0" y="0"/>
                <wp:positionH relativeFrom="column">
                  <wp:align>left</wp:align>
                </wp:positionH>
                <wp:positionV relativeFrom="line">
                  <wp:align>top</wp:align>
                </wp:positionV>
                <wp:extent cx="127000" cy="350520"/>
                <wp:effectExtent l="0" t="0" r="0" b="0"/>
                <wp:wrapSquare wrapText="right"/>
                <wp:docPr id="234" name="Frame2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the description of our common shares contained in our Registration Statement on </w:t>
      </w:r>
      <w:hyperlink r:id="rId21">
        <w:r>
          <w:rPr>
            <w:rStyle w:val="InternetLink"/>
          </w:rPr>
          <w:t>Form 8-A, filed with the SEC on May 6, 2019</w:t>
        </w:r>
      </w:hyperlink>
      <w:r>
        <w:rPr>
          <w:rFonts w:ascii="Times New Roman;Times;serif" w:hAnsi="Times New Roman;Times;serif"/>
          <w:b w:val="false"/>
          <w:i w:val="false"/>
          <w:caps w:val="false"/>
          <w:smallCaps w:val="false"/>
          <w:color w:val="000000"/>
          <w:spacing w:val="4"/>
          <w:sz w:val="20"/>
        </w:rPr>
        <w:t xml:space="preserve">, including any amendments or reports filed for the purposes of updating this description. </w:t>
      </w:r>
      <w:r>
        <mc:AlternateContent>
          <mc:Choice Requires="wps">
            <w:drawing>
              <wp:anchor behindDoc="0" distT="76200" distB="0" distL="254000" distR="0" simplePos="0" locked="0" layoutInCell="1" allowOverlap="1" relativeHeight="242">
                <wp:simplePos x="0" y="0"/>
                <wp:positionH relativeFrom="column">
                  <wp:align>left</wp:align>
                </wp:positionH>
                <wp:positionV relativeFrom="line">
                  <wp:align>top</wp:align>
                </wp:positionV>
                <wp:extent cx="127000" cy="350520"/>
                <wp:effectExtent l="0" t="0" r="0" b="0"/>
                <wp:wrapSquare wrapText="right"/>
                <wp:docPr id="235" name="Frame2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Notwithstanding the statements in the preceding paragraphs, no document, report or exhibit (or portion of any of the foregoing) or any other information that we have “furnished” to the SEC pursuant to the Exchange Act shall be incorporated by reference into this prospectus.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documents we file with the SEC pursuant to Sections 13(a), 13(c), 14 or 15(d) of the Exchange Act, other than any information furnished pursuant to Item 2.02, Item 7.01 or Item 9.01 of any Current Report on Form 8-K (unless we specifically state in such Current Report that such information is to be considered “filed” under the Exchange Act, or otherwise specifically incorporate the information by reference into this prospectus or any other filing under the Securities Act or the Exchange Act), on or after the date of this prospectus until the earlier of the date on which all of the securities registered hereunder have been sold or the registration statement of which this prospectus is a part has been withdrawn, shall be deemed incorporated by reference in this prospectus and to be a part of this prospectus from the date of filing of those documents.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statement contained in a document incorporated or deemed to be incorporated by reference herein shall be deemed to be modified or superseded, for purposes of this prospectus, to the extent that a statement contained in or omitted from this prospectus, or in any other subsequently filed document that also is or is deemed to be incorporated by reference herein, modifies or supersedes such statement. Any such statement so modified or superseded shall not be deemed, except as so modified or superseded, to constitute a part of this prospectus. Except as set forth in the parenthetical in the immediately preceding paragraph, nothing in this prospectus shall be deemed to incorporate information furnished, but not filed, with the SEC pursuant to Item 2.02 or Item 7.01 of Form 8-K.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Upon written or oral request, we will provide, without charge, to each person, including any beneficial owner, to whom a copy of a prospectus is delivered, upon such person’s written or oral request, a copy of any and all of the information incorporated by reference in this prospectus, other than exhibits to such documents, unless such exhibits are specifically incorporated by reference into the information that this prospectus incorporates. Requests should be directed to Milestone Investor Relations at Milestone Pharmaceuticals Inc., 1111 Dr. Frederik-Philips Boulevard, Suite 420, Montréal, Québec, Canada H4M 2X6, or send an email to Milestone Investor Relations at ir@milestonepharma.com. You may also find these documents in the “Investors &amp; Media” section of our website, </w:t>
      </w:r>
      <w:r>
        <w:rPr>
          <w:rFonts w:ascii="Times New Roman;Times;serif" w:hAnsi="Times New Roman;Times;serif"/>
          <w:b w:val="false"/>
          <w:i/>
          <w:caps w:val="false"/>
          <w:smallCaps w:val="false"/>
          <w:color w:val="000000"/>
          <w:spacing w:val="4"/>
          <w:sz w:val="20"/>
        </w:rPr>
        <w:t>www.milestonepharma.com</w:t>
      </w:r>
      <w:r>
        <w:rPr>
          <w:rFonts w:ascii="Times New Roman;Times;serif" w:hAnsi="Times New Roman;Times;serif"/>
          <w:b w:val="false"/>
          <w:i w:val="false"/>
          <w:caps w:val="false"/>
          <w:smallCaps w:val="false"/>
          <w:color w:val="000000"/>
          <w:spacing w:val="4"/>
          <w:sz w:val="20"/>
        </w:rPr>
        <w:t>. The information on our website is not incorporated into this prospectus.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0" w:after="283"/>
        <w:ind w:left="1393"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TextBody"/>
        <w:bidi w:val="0"/>
        <w:spacing w:before="56"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before="1519" w:after="283"/>
        <w:jc w:val="center"/>
        <w:rPr>
          <w:caps w:val="false"/>
          <w:smallCaps w:val="false"/>
          <w:color w:val="000000"/>
        </w:rPr>
      </w:pPr>
      <w:r>
        <w:rPr>
          <w:caps w:val="false"/>
          <w:smallCaps w:val="false"/>
          <w:color w:val="000000"/>
        </w:rPr>
        <w:drawing>
          <wp:inline distT="0" distB="0" distL="0" distR="0">
            <wp:extent cx="2409825" cy="466725"/>
            <wp:effectExtent l="0" t="0" r="0" b="0"/>
            <wp:docPr id="23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 name="Image3" descr=""/>
                    <pic:cNvPicPr>
                      <a:picLocks noChangeAspect="1" noChangeArrowheads="1"/>
                    </pic:cNvPicPr>
                  </pic:nvPicPr>
                  <pic:blipFill>
                    <a:blip r:embed="rId22"/>
                    <a:stretch>
                      <a:fillRect/>
                    </a:stretch>
                  </pic:blipFill>
                  <pic:spPr bwMode="auto">
                    <a:xfrm>
                      <a:off x="0" y="0"/>
                      <a:ext cx="2409825" cy="466725"/>
                    </a:xfrm>
                    <a:prstGeom prst="rect">
                      <a:avLst/>
                    </a:prstGeom>
                  </pic:spPr>
                </pic:pic>
              </a:graphicData>
            </a:graphic>
          </wp:inline>
        </w:drawing>
      </w:r>
      <w:r>
        <w:rPr>
          <w:caps w:val="false"/>
          <w:smallCaps w:val="false"/>
          <w:color w:val="000000"/>
        </w:rPr>
        <w:t xml:space="preserve"> </w:t>
      </w:r>
    </w:p>
    <w:p>
      <w:pPr>
        <w:pStyle w:val="TextBody"/>
        <w:bidi w:val="0"/>
        <w:spacing w:lineRule="atLeast" w:line="320" w:before="1565"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Up to $100,000,000</w:t>
      </w:r>
      <w:r>
        <w:rPr>
          <w:rFonts w:ascii="Times New Roman;Times;serif" w:hAnsi="Times New Roman;Times;serif"/>
          <w:b/>
          <w:i w:val="false"/>
          <w:caps w:val="false"/>
          <w:smallCaps w:val="false"/>
          <w:color w:val="000000"/>
          <w:spacing w:val="6"/>
          <w:sz w:val="28"/>
        </w:rPr>
        <w:t xml:space="preserve"> </w:t>
      </w:r>
    </w:p>
    <w:p>
      <w:pPr>
        <w:pStyle w:val="TextBody"/>
        <w:bidi w:val="0"/>
        <w:spacing w:lineRule="atLeast" w:line="320" w:before="168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Common Shares</w:t>
      </w:r>
      <w:r>
        <w:rPr>
          <w:rFonts w:ascii="Times New Roman;Times;serif" w:hAnsi="Times New Roman;Times;serif"/>
          <w:b/>
          <w:i w:val="false"/>
          <w:caps w:val="false"/>
          <w:smallCaps w:val="false"/>
          <w:color w:val="000000"/>
          <w:spacing w:val="6"/>
          <w:sz w:val="28"/>
        </w:rPr>
        <w:t xml:space="preserve"> </w:t>
      </w:r>
    </w:p>
    <w:p>
      <w:pPr>
        <w:pStyle w:val="TextBody"/>
        <w:bidi w:val="0"/>
        <w:spacing w:lineRule="atLeast" w:line="280" w:before="1680" w:after="283"/>
        <w:jc w:val="center"/>
        <w:rPr>
          <w:rFonts w:ascii="Times New Roman;Times;serif" w:hAnsi="Times New Roman;Times;serif"/>
          <w:b/>
          <w:i w:val="false"/>
          <w:caps w:val="false"/>
          <w:smallCaps w:val="false"/>
          <w:color w:val="000000"/>
          <w:sz w:val="24"/>
        </w:rPr>
      </w:pPr>
      <w:r>
        <w:rPr>
          <w:rFonts w:ascii="Times New Roman;Times;serif" w:hAnsi="Times New Roman;Times;serif"/>
          <w:b/>
          <w:i w:val="false"/>
          <w:caps w:val="false"/>
          <w:smallCaps w:val="false"/>
          <w:color w:val="000000"/>
          <w:spacing w:val="-5"/>
          <w:sz w:val="24"/>
        </w:rPr>
        <w:t>PROSPECTUS</w:t>
      </w:r>
      <w:r>
        <w:rPr>
          <w:rFonts w:ascii="Times New Roman;Times;serif" w:hAnsi="Times New Roman;Times;serif"/>
          <w:b/>
          <w:i w:val="false"/>
          <w:caps w:val="false"/>
          <w:smallCaps w:val="false"/>
          <w:color w:val="000000"/>
          <w:spacing w:val="5"/>
          <w:sz w:val="24"/>
        </w:rPr>
        <w:t xml:space="preserve"> </w:t>
      </w:r>
    </w:p>
    <w:p>
      <w:pPr>
        <w:pStyle w:val="TextBody"/>
        <w:bidi w:val="0"/>
        <w:spacing w:lineRule="atLeast" w:line="400" w:before="1680" w:after="283"/>
        <w:jc w:val="center"/>
        <w:rPr>
          <w:rFonts w:ascii="Times New Roman;Times;serif" w:hAnsi="Times New Roman;Times;serif"/>
          <w:b/>
          <w:i w:val="false"/>
          <w:caps w:val="false"/>
          <w:smallCaps w:val="false"/>
          <w:color w:val="000000"/>
          <w:sz w:val="36"/>
        </w:rPr>
      </w:pPr>
      <w:r>
        <w:rPr>
          <w:rFonts w:ascii="Times New Roman;Times;serif" w:hAnsi="Times New Roman;Times;serif"/>
          <w:b/>
          <w:i w:val="false"/>
          <w:caps w:val="false"/>
          <w:smallCaps w:val="false"/>
          <w:color w:val="000000"/>
          <w:spacing w:val="-7"/>
          <w:sz w:val="36"/>
        </w:rPr>
        <w:t>Cantor</w:t>
      </w:r>
      <w:r>
        <w:rPr>
          <w:rFonts w:ascii="Times New Roman;Times;serif" w:hAnsi="Times New Roman;Times;serif"/>
          <w:b/>
          <w:i w:val="false"/>
          <w:caps w:val="false"/>
          <w:smallCaps w:val="false"/>
          <w:color w:val="000000"/>
          <w:spacing w:val="7"/>
          <w:sz w:val="36"/>
        </w:rPr>
        <w:t xml:space="preserve"> </w:t>
      </w:r>
    </w:p>
    <w:p>
      <w:pPr>
        <w:pStyle w:val="TextBody"/>
        <w:bidi w:val="0"/>
        <w:spacing w:lineRule="atLeast" w:line="240" w:before="1680" w:after="283"/>
        <w:jc w:val="center"/>
        <w:rPr>
          <w:caps w:val="false"/>
          <w:smallCaps w:val="false"/>
          <w:color w:val="000000"/>
          <w:spacing w:val="4"/>
        </w:rPr>
      </w:pPr>
      <w:r>
        <w:rPr>
          <w:caps w:val="false"/>
          <w:smallCaps w:val="false"/>
          <w:color w:val="000000"/>
          <w:spacing w:val="4"/>
        </w:rPr>
        <w:t>           </w:t>
      </w:r>
      <w:r>
        <w:rPr>
          <w:rFonts w:ascii="Times New Roman;Times;serif" w:hAnsi="Times New Roman;Times;serif"/>
          <w:b w:val="false"/>
          <w:i w:val="false"/>
          <w:caps w:val="false"/>
          <w:smallCaps w:val="false"/>
          <w:color w:val="000000"/>
          <w:spacing w:val="4"/>
          <w:sz w:val="20"/>
        </w:rPr>
        <w:t xml:space="preserve">, 2026 </w:t>
      </w:r>
    </w:p>
    <w:p>
      <w:pPr>
        <w:pStyle w:val="TextBody"/>
        <w:bidi w:val="0"/>
        <w:spacing w:before="1729"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before="56" w:after="283"/>
        <w:ind w:left="1393"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PART II</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val="false"/>
          <w:smallCaps w:val="false"/>
          <w:color w:val="000000"/>
          <w:spacing w:val="-4"/>
          <w:sz w:val="20"/>
        </w:rPr>
        <w:t>INFORMATION NOT REQUIRED IN PROSPECTUS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Item 14.    Other Expenses of Issuance and Distribution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the estimated costs and expenses, other than underwriting discounts and commissions, payable by us in connection with the offering of the securities being registered. All the amounts shown are estimates, except for the SEC registration fee and FINRA filing fee. </w:t>
      </w:r>
    </w:p>
    <w:tbl>
      <w:tblPr>
        <w:tblW w:w="5494" w:type="dxa"/>
        <w:jc w:val="left"/>
        <w:tblInd w:w="1393" w:type="dxa"/>
        <w:tblLayout w:type="fixed"/>
        <w:tblCellMar>
          <w:top w:w="0" w:type="dxa"/>
          <w:left w:w="0" w:type="dxa"/>
          <w:bottom w:w="0" w:type="dxa"/>
          <w:right w:w="0" w:type="dxa"/>
        </w:tblCellMar>
      </w:tblPr>
      <w:tblGrid>
        <w:gridCol w:w="124"/>
        <w:gridCol w:w="3728"/>
        <w:gridCol w:w="109"/>
        <w:gridCol w:w="109"/>
        <w:gridCol w:w="109"/>
        <w:gridCol w:w="226"/>
        <w:gridCol w:w="826"/>
        <w:gridCol w:w="109"/>
        <w:gridCol w:w="154"/>
      </w:tblGrid>
      <w:tr>
        <w:trPr/>
        <w:tc>
          <w:tcPr>
            <w:tcW w:w="124" w:type="dxa"/>
            <w:tcBorders/>
            <w:shd w:fill="CCEEFF" w:val="clear"/>
            <w:vAlign w:val="center"/>
          </w:tcPr>
          <w:p>
            <w:pPr>
              <w:pStyle w:val="TableContents"/>
              <w:bidi w:val="0"/>
              <w:spacing w:before="0" w:after="283"/>
              <w:jc w:val="left"/>
              <w:rPr/>
            </w:pPr>
            <w:r>
              <w:rPr/>
              <w:t>​</w:t>
            </w:r>
          </w:p>
        </w:tc>
        <w:tc>
          <w:tcPr>
            <w:tcW w:w="3728" w:type="dxa"/>
            <w:tcBorders/>
            <w:shd w:fill="CCEEFF" w:val="clear"/>
            <w:vAlign w:val="center"/>
          </w:tcPr>
          <w:p>
            <w:pPr>
              <w:pStyle w:val="TableContents"/>
              <w:bidi w:val="0"/>
              <w:spacing w:before="0" w:after="0"/>
              <w:jc w:val="left"/>
              <w:rPr>
                <w:spacing w:val="4"/>
              </w:rPr>
            </w:pPr>
            <w:r>
              <w:rPr>
                <w:spacing w:val="4"/>
              </w:rPr>
              <w:t xml:space="preserve">SEC registration fee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826" w:type="dxa"/>
            <w:tcBorders/>
            <w:shd w:fill="CCEEFF" w:val="clear"/>
            <w:vAlign w:val="center"/>
          </w:tcPr>
          <w:p>
            <w:pPr>
              <w:pStyle w:val="TableContents"/>
              <w:bidi w:val="0"/>
              <w:spacing w:before="0" w:after="283"/>
              <w:jc w:val="right"/>
              <w:rPr/>
            </w:pPr>
            <w:r>
              <w:rPr/>
              <w:t xml:space="preserve">41,430 </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728" w:type="dxa"/>
            <w:tcBorders/>
            <w:vAlign w:val="center"/>
          </w:tcPr>
          <w:p>
            <w:pPr>
              <w:pStyle w:val="TableContents"/>
              <w:bidi w:val="0"/>
              <w:spacing w:before="0" w:after="0"/>
              <w:jc w:val="left"/>
              <w:rPr>
                <w:spacing w:val="4"/>
              </w:rPr>
            </w:pPr>
            <w:r>
              <w:rPr>
                <w:spacing w:val="4"/>
              </w:rPr>
              <w:t xml:space="preserve">FINRA filing fee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0"/>
              <w:jc w:val="right"/>
              <w:rPr/>
            </w:pPr>
            <w:r>
              <w:rPr/>
              <w:t>​</w:t>
            </w:r>
          </w:p>
        </w:tc>
        <w:tc>
          <w:tcPr>
            <w:tcW w:w="826" w:type="dxa"/>
            <w:tcBorders/>
            <w:vAlign w:val="center"/>
          </w:tcPr>
          <w:p>
            <w:pPr>
              <w:pStyle w:val="TableContents"/>
              <w:bidi w:val="0"/>
              <w:spacing w:before="0" w:after="0"/>
              <w:jc w:val="right"/>
              <w:rPr/>
            </w:pPr>
            <w:r>
              <w:rPr/>
              <w:t>​</w:t>
            </w:r>
            <w:r>
              <w:rPr>
                <w:sz w:val="13"/>
              </w:rPr>
              <w:t>(1)</w:t>
            </w:r>
            <w:r>
              <w:rPr>
                <w:sz w:val="15"/>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3728" w:type="dxa"/>
            <w:tcBorders/>
            <w:shd w:fill="CCEEFF" w:val="clear"/>
            <w:vAlign w:val="center"/>
          </w:tcPr>
          <w:p>
            <w:pPr>
              <w:pStyle w:val="TableContents"/>
              <w:bidi w:val="0"/>
              <w:spacing w:before="0" w:after="0"/>
              <w:jc w:val="left"/>
              <w:rPr>
                <w:spacing w:val="4"/>
              </w:rPr>
            </w:pPr>
            <w:r>
              <w:rPr>
                <w:spacing w:val="4"/>
              </w:rPr>
              <w:t xml:space="preserve">Accounting fees and expenses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0"/>
              <w:jc w:val="right"/>
              <w:rPr/>
            </w:pPr>
            <w:r>
              <w:rPr/>
              <w:t>​</w:t>
            </w:r>
          </w:p>
        </w:tc>
        <w:tc>
          <w:tcPr>
            <w:tcW w:w="826" w:type="dxa"/>
            <w:tcBorders/>
            <w:shd w:fill="CCEEFF" w:val="clear"/>
            <w:vAlign w:val="center"/>
          </w:tcPr>
          <w:p>
            <w:pPr>
              <w:pStyle w:val="TableContents"/>
              <w:bidi w:val="0"/>
              <w:spacing w:before="0" w:after="0"/>
              <w:jc w:val="right"/>
              <w:rPr/>
            </w:pPr>
            <w:r>
              <w:rPr/>
              <w:t>​</w:t>
            </w:r>
            <w:r>
              <w:rPr>
                <w:sz w:val="13"/>
              </w:rPr>
              <w:t>(1)</w:t>
            </w:r>
            <w:r>
              <w:rPr>
                <w:sz w:val="15"/>
              </w:rPr>
              <w:t xml:space="preserve"> </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728" w:type="dxa"/>
            <w:tcBorders/>
            <w:vAlign w:val="center"/>
          </w:tcPr>
          <w:p>
            <w:pPr>
              <w:pStyle w:val="TableContents"/>
              <w:bidi w:val="0"/>
              <w:spacing w:before="0" w:after="0"/>
              <w:jc w:val="left"/>
              <w:rPr>
                <w:spacing w:val="4"/>
              </w:rPr>
            </w:pPr>
            <w:r>
              <w:rPr>
                <w:spacing w:val="4"/>
              </w:rPr>
              <w:t xml:space="preserve">Legal fees and expenses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0"/>
              <w:jc w:val="right"/>
              <w:rPr/>
            </w:pPr>
            <w:r>
              <w:rPr/>
              <w:t>​</w:t>
            </w:r>
          </w:p>
        </w:tc>
        <w:tc>
          <w:tcPr>
            <w:tcW w:w="826" w:type="dxa"/>
            <w:tcBorders/>
            <w:vAlign w:val="center"/>
          </w:tcPr>
          <w:p>
            <w:pPr>
              <w:pStyle w:val="TableContents"/>
              <w:bidi w:val="0"/>
              <w:spacing w:before="0" w:after="0"/>
              <w:jc w:val="right"/>
              <w:rPr/>
            </w:pPr>
            <w:r>
              <w:rPr/>
              <w:t>​</w:t>
            </w:r>
            <w:r>
              <w:rPr>
                <w:sz w:val="13"/>
              </w:rPr>
              <w:t>(1)</w:t>
            </w:r>
            <w:r>
              <w:rPr>
                <w:sz w:val="15"/>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3728" w:type="dxa"/>
            <w:tcBorders/>
            <w:shd w:fill="CCEEFF" w:val="clear"/>
            <w:vAlign w:val="center"/>
          </w:tcPr>
          <w:p>
            <w:pPr>
              <w:pStyle w:val="TableContents"/>
              <w:bidi w:val="0"/>
              <w:spacing w:before="0" w:after="0"/>
              <w:jc w:val="left"/>
              <w:rPr>
                <w:spacing w:val="4"/>
              </w:rPr>
            </w:pPr>
            <w:r>
              <w:rPr>
                <w:spacing w:val="4"/>
              </w:rPr>
              <w:t xml:space="preserve">Transfer agent fees and expenses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0"/>
              <w:jc w:val="right"/>
              <w:rPr/>
            </w:pPr>
            <w:r>
              <w:rPr/>
              <w:t>​</w:t>
            </w:r>
          </w:p>
        </w:tc>
        <w:tc>
          <w:tcPr>
            <w:tcW w:w="826" w:type="dxa"/>
            <w:tcBorders/>
            <w:shd w:fill="CCEEFF" w:val="clear"/>
            <w:vAlign w:val="center"/>
          </w:tcPr>
          <w:p>
            <w:pPr>
              <w:pStyle w:val="TableContents"/>
              <w:bidi w:val="0"/>
              <w:spacing w:before="0" w:after="0"/>
              <w:jc w:val="right"/>
              <w:rPr/>
            </w:pPr>
            <w:r>
              <w:rPr/>
              <w:t>​</w:t>
            </w:r>
            <w:r>
              <w:rPr>
                <w:sz w:val="13"/>
              </w:rPr>
              <w:t>(1)</w:t>
            </w:r>
            <w:r>
              <w:rPr>
                <w:sz w:val="15"/>
              </w:rPr>
              <w:t xml:space="preserve"> </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728" w:type="dxa"/>
            <w:tcBorders/>
            <w:vAlign w:val="center"/>
          </w:tcPr>
          <w:p>
            <w:pPr>
              <w:pStyle w:val="TableContents"/>
              <w:bidi w:val="0"/>
              <w:spacing w:before="0" w:after="0"/>
              <w:jc w:val="left"/>
              <w:rPr>
                <w:spacing w:val="4"/>
              </w:rPr>
            </w:pPr>
            <w:r>
              <w:rPr>
                <w:spacing w:val="4"/>
              </w:rPr>
              <w:t xml:space="preserve">Trustee fees and expenses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0"/>
              <w:jc w:val="right"/>
              <w:rPr/>
            </w:pPr>
            <w:r>
              <w:rPr/>
              <w:t>​</w:t>
            </w:r>
          </w:p>
        </w:tc>
        <w:tc>
          <w:tcPr>
            <w:tcW w:w="826" w:type="dxa"/>
            <w:tcBorders/>
            <w:vAlign w:val="center"/>
          </w:tcPr>
          <w:p>
            <w:pPr>
              <w:pStyle w:val="TableContents"/>
              <w:bidi w:val="0"/>
              <w:spacing w:before="0" w:after="0"/>
              <w:jc w:val="right"/>
              <w:rPr/>
            </w:pPr>
            <w:r>
              <w:rPr/>
              <w:t>​</w:t>
            </w:r>
            <w:r>
              <w:rPr>
                <w:sz w:val="13"/>
              </w:rPr>
              <w:t>(1)</w:t>
            </w:r>
            <w:r>
              <w:rPr>
                <w:sz w:val="15"/>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3728"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Printing and miscellaneous expenses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0"/>
              <w:jc w:val="right"/>
              <w:rPr/>
            </w:pPr>
            <w:r>
              <w:rPr/>
              <w:t>​</w:t>
            </w:r>
          </w:p>
        </w:tc>
        <w:tc>
          <w:tcPr>
            <w:tcW w:w="826" w:type="dxa"/>
            <w:tcBorders>
              <w:bottom w:val="single" w:sz="2" w:space="0" w:color="000000"/>
            </w:tcBorders>
            <w:shd w:fill="CCEEFF" w:val="clear"/>
            <w:tcMar>
              <w:bottom w:w="50" w:type="dxa"/>
            </w:tcMar>
            <w:vAlign w:val="center"/>
          </w:tcPr>
          <w:p>
            <w:pPr>
              <w:pStyle w:val="TableContents"/>
              <w:bidi w:val="0"/>
              <w:spacing w:before="0" w:after="0"/>
              <w:jc w:val="right"/>
              <w:rPr/>
            </w:pPr>
            <w:r>
              <w:rPr/>
              <w:t>​</w:t>
            </w:r>
            <w:r>
              <w:rPr>
                <w:sz w:val="13"/>
              </w:rPr>
              <w:t>(1)</w:t>
            </w:r>
            <w:r>
              <w:rPr>
                <w:sz w:val="15"/>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728" w:type="dxa"/>
            <w:tcBorders/>
            <w:vAlign w:val="center"/>
          </w:tcPr>
          <w:p>
            <w:pPr>
              <w:pStyle w:val="TableContents"/>
              <w:bidi w:val="0"/>
              <w:spacing w:before="0" w:after="0"/>
              <w:jc w:val="left"/>
              <w:rPr>
                <w:spacing w:val="4"/>
              </w:rPr>
            </w:pPr>
            <w:r>
              <w:rPr>
                <w:spacing w:val="4"/>
              </w:rPr>
              <w:t xml:space="preserve">Total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826" w:type="dxa"/>
            <w:tcBorders>
              <w:bottom w:val="double" w:sz="8" w:space="0" w:color="000000"/>
            </w:tcBorders>
            <w:tcMar>
              <w:bottom w:w="50" w:type="dxa"/>
            </w:tcMar>
            <w:vAlign w:val="center"/>
          </w:tcPr>
          <w:p>
            <w:pPr>
              <w:pStyle w:val="TableContents"/>
              <w:bidi w:val="0"/>
              <w:spacing w:before="0" w:after="283"/>
              <w:jc w:val="right"/>
              <w:rPr/>
            </w:pPr>
            <w:r>
              <w:rPr/>
              <w:t>​</w:t>
            </w:r>
            <w:r>
              <w:rPr>
                <w:sz w:val="13"/>
              </w:rPr>
              <w:t>(1)</w:t>
            </w:r>
            <w:r>
              <w:rPr/>
              <w:t xml:space="preserve"> </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fees are calculated based on the securities offered and the number of issuances and, accordingly, cannot be estimated at this time. </w:t>
      </w:r>
      <w:r>
        <mc:AlternateContent>
          <mc:Choice Requires="wps">
            <w:drawing>
              <wp:anchor behindDoc="0" distT="105410" distB="0" distL="0" distR="0" simplePos="0" locked="0" layoutInCell="1" allowOverlap="1" relativeHeight="243">
                <wp:simplePos x="0" y="0"/>
                <wp:positionH relativeFrom="column">
                  <wp:align>left</wp:align>
                </wp:positionH>
                <wp:positionV relativeFrom="line">
                  <wp:align>top</wp:align>
                </wp:positionV>
                <wp:extent cx="254000" cy="350520"/>
                <wp:effectExtent l="0" t="0" r="0" b="0"/>
                <wp:wrapSquare wrapText="right"/>
                <wp:docPr id="237" name="Frame23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3pt;mso-wrap-distance-bottom:0pt;margin-top:8.3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Item 15.   Indemnification of Officers and Directors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QBCA and our bylaws, we must indemnify our current or former directors and officers, agents or any other individuals who act or has acted at our request as a director or officer of a related entity, against all costs, charges and expenses reasonably incurred by such individual in connection with any civil, criminal, administrative, investigative or other proceeding in which such individual is involved because of his or her association with us or such a related entity. The QBCA also provides that we must also make an advance payment to such individual for costs, charges and expenses reasonably incurred in connection with such a proceeding, provided, however, that such individual shall repay such advance payment if he or she does not fulfill the conditions described below.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QBCA provides for such indemnification if the following conditions are met: </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individual acted with honesty and loyalty in our interests, or, as the case may be, in the interests of the other entity for which the individual acted as director or officer or in a similar capacity at our request; </w:t>
      </w:r>
      <w:r>
        <mc:AlternateContent>
          <mc:Choice Requires="wps">
            <w:drawing>
              <wp:anchor behindDoc="0" distT="80010" distB="0" distL="254000" distR="0" simplePos="0" locked="0" layoutInCell="1" allowOverlap="1" relativeHeight="244">
                <wp:simplePos x="0" y="0"/>
                <wp:positionH relativeFrom="column">
                  <wp:align>left</wp:align>
                </wp:positionH>
                <wp:positionV relativeFrom="line">
                  <wp:align>top</wp:align>
                </wp:positionV>
                <wp:extent cx="127000" cy="350520"/>
                <wp:effectExtent l="0" t="0" r="0" b="0"/>
                <wp:wrapSquare wrapText="right"/>
                <wp:docPr id="238" name="Frame2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case of a proceeding that is enforced by a monetary penalty, the individual had reasonable grounds for believing that his or her conduct was lawful; and </w:t>
      </w:r>
      <w:r>
        <mc:AlternateContent>
          <mc:Choice Requires="wps">
            <w:drawing>
              <wp:anchor behindDoc="0" distT="80010" distB="0" distL="254000" distR="0" simplePos="0" locked="0" layoutInCell="1" allowOverlap="1" relativeHeight="245">
                <wp:simplePos x="0" y="0"/>
                <wp:positionH relativeFrom="column">
                  <wp:align>left</wp:align>
                </wp:positionH>
                <wp:positionV relativeFrom="line">
                  <wp:align>top</wp:align>
                </wp:positionV>
                <wp:extent cx="127000" cy="350520"/>
                <wp:effectExtent l="0" t="0" r="0" b="0"/>
                <wp:wrapSquare wrapText="right"/>
                <wp:docPr id="239" name="Frame2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individual was not judged by the court to have committed an intentional or gross fault. </w:t>
      </w:r>
      <w:r>
        <mc:AlternateContent>
          <mc:Choice Requires="wps">
            <w:drawing>
              <wp:anchor behindDoc="0" distT="80010" distB="0" distL="254000" distR="0" simplePos="0" locked="0" layoutInCell="1" allowOverlap="1" relativeHeight="246">
                <wp:simplePos x="0" y="0"/>
                <wp:positionH relativeFrom="column">
                  <wp:align>left</wp:align>
                </wp:positionH>
                <wp:positionV relativeFrom="line">
                  <wp:align>top</wp:align>
                </wp:positionV>
                <wp:extent cx="127000" cy="350520"/>
                <wp:effectExtent l="0" t="0" r="0" b="0"/>
                <wp:wrapSquare wrapText="right"/>
                <wp:docPr id="240" name="Frame2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case of actions by or on behalf of the Company, the Company may make such advance payments or indemnify such individuals against all costs, charges and expenses reasonably incurred by such individual in connection with such actions, only if (i) the person fulfills the conditions set forth above and (ii) a court approves such advance payments or indemnification.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QBCA and our bylaws authorize us to purchase and maintain insurance for the benefit of each of our current or former directors or officers and other agents and each person who acts or acted at our request as a director, officer or other agents or an individual acting in a similar capacity, of another entity.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we have entered, or intend to enter, into separate indemnity agreements with each of our directors and officers pursuant to which we agree to indemnify and hold harmless our directors and officers against any and all liability, loss, damage, cost or expense in accordance with the terms and conditions of the QBCA and our bylaws.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Registrant has purchased and currently intends to maintain insurance on behalf of each and every person who is or was a director or officer of the Registrant against any loss arising from any claim asserted against him or her and incurred by him or her in any such capacity, subject to certain exclusions.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underwriting agreement, if any, entered into with respect to an offering of securities registered hereunder will provide for indemnification by any underwriters of any offering, our directors and officers who sign the registration statement and our controlling persons for some liabilities, including liabilities arising under the Securities Act.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Item 16.   Exhibits and Financial Statement Schedules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EXHIBIT INDEX</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124"/>
        <w:gridCol w:w="883"/>
        <w:gridCol w:w="109"/>
        <w:gridCol w:w="109"/>
        <w:gridCol w:w="7432"/>
        <w:gridCol w:w="155"/>
      </w:tblGrid>
      <w:tr>
        <w:trPr/>
        <w:tc>
          <w:tcPr>
            <w:tcW w:w="124" w:type="dxa"/>
            <w:tcBorders>
              <w:bottom w:val="single" w:sz="2" w:space="0" w:color="FFFFFF"/>
            </w:tcBorders>
            <w:vAlign w:val="center"/>
          </w:tcPr>
          <w:p>
            <w:pPr>
              <w:pStyle w:val="TableContents"/>
              <w:bidi w:val="0"/>
              <w:spacing w:before="0" w:after="283"/>
              <w:jc w:val="left"/>
              <w:rPr/>
            </w:pPr>
            <w:r>
              <w:rPr/>
              <w:t>​</w:t>
            </w:r>
          </w:p>
        </w:tc>
        <w:tc>
          <w:tcPr>
            <w:tcW w:w="883" w:type="dxa"/>
            <w:tcBorders>
              <w:bottom w:val="single" w:sz="2" w:space="0" w:color="000000"/>
            </w:tcBorders>
            <w:tcMar>
              <w:bottom w:w="43" w:type="dxa"/>
            </w:tcMar>
            <w:vAlign w:val="center"/>
          </w:tcPr>
          <w:p>
            <w:pPr>
              <w:pStyle w:val="TableContents"/>
              <w:bidi w:val="0"/>
              <w:spacing w:before="0" w:after="0"/>
              <w:jc w:val="center"/>
              <w:rPr/>
            </w:pPr>
            <w:r>
              <w:rPr>
                <w:spacing w:val="-3"/>
              </w:rPr>
              <w:t>Exhibit</w:t>
            </w:r>
            <w:r>
              <w:rPr/>
              <w:t xml:space="preserve"> </w:t>
              <w:br/>
            </w:r>
            <w:r>
              <w:rPr>
                <w:spacing w:val="-3"/>
              </w:rPr>
              <w:t xml:space="preserve">Number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432" w:type="dxa"/>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Description of Document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83" w:type="dxa"/>
            <w:tcBorders/>
            <w:tcMar>
              <w:bottom w:w="0" w:type="dxa"/>
            </w:tcMar>
            <w:vAlign w:val="center"/>
          </w:tcPr>
          <w:p>
            <w:pPr>
              <w:pStyle w:val="TableContents"/>
              <w:bidi w:val="0"/>
              <w:spacing w:before="0" w:after="283"/>
              <w:ind w:left="100" w:right="0" w:hanging="0"/>
              <w:jc w:val="left"/>
              <w:rPr>
                <w:spacing w:val="4"/>
              </w:rPr>
            </w:pPr>
            <w:r>
              <w:rPr>
                <w:spacing w:val="4"/>
              </w:rPr>
              <w:t xml:space="preserve">1.1*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32" w:type="dxa"/>
            <w:tcBorders/>
            <w:tcMar>
              <w:bottom w:w="0" w:type="dxa"/>
            </w:tcMar>
            <w:vAlign w:val="center"/>
          </w:tcPr>
          <w:p>
            <w:pPr>
              <w:pStyle w:val="TableContents"/>
              <w:bidi w:val="0"/>
              <w:spacing w:before="0" w:after="283"/>
              <w:jc w:val="left"/>
              <w:rPr>
                <w:spacing w:val="4"/>
              </w:rPr>
            </w:pPr>
            <w:r>
              <w:rPr>
                <w:spacing w:val="4"/>
              </w:rPr>
              <w:t xml:space="preserve">Form of Underwriting Agreement.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83" w:type="dxa"/>
            <w:tcBorders/>
            <w:tcMar>
              <w:bottom w:w="0" w:type="dxa"/>
            </w:tcMar>
            <w:vAlign w:val="center"/>
          </w:tcPr>
          <w:p>
            <w:pPr>
              <w:pStyle w:val="TableContents"/>
              <w:bidi w:val="0"/>
              <w:spacing w:before="0" w:after="283"/>
              <w:ind w:left="100" w:right="0" w:hanging="0"/>
              <w:jc w:val="left"/>
              <w:rPr>
                <w:spacing w:val="4"/>
              </w:rPr>
            </w:pPr>
            <w:r>
              <w:rPr>
                <w:spacing w:val="4"/>
              </w:rPr>
              <w:t xml:space="preserve">1.2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32" w:type="dxa"/>
            <w:tcBorders/>
            <w:tcMar>
              <w:bottom w:w="0" w:type="dxa"/>
            </w:tcMar>
            <w:vAlign w:val="center"/>
          </w:tcPr>
          <w:p>
            <w:pPr>
              <w:pStyle w:val="TableContents"/>
              <w:bidi w:val="0"/>
              <w:spacing w:before="0" w:after="283"/>
              <w:jc w:val="left"/>
              <w:rPr/>
            </w:pPr>
            <w:hyperlink r:id="rId23">
              <w:r>
                <w:rPr>
                  <w:rStyle w:val="InternetLink"/>
                </w:rPr>
                <w:t>Controlled Equity Offering</w:t>
              </w:r>
            </w:hyperlink>
            <w:hyperlink r:id="rId24">
              <w:r>
                <w:rPr>
                  <w:rStyle w:val="InternetLink"/>
                  <w:spacing w:val="3"/>
                  <w:sz w:val="13"/>
                </w:rPr>
                <w:t>SM</w:t>
              </w:r>
            </w:hyperlink>
            <w:hyperlink r:id="rId25">
              <w:r>
                <w:rPr>
                  <w:rStyle w:val="InternetLink"/>
                </w:rPr>
                <w:t xml:space="preserve"> Sales Agreement, by and between Milestone Pharmaceuticals Inc. and Cantor Fitzgerald &amp; Co., dated May 13, 2026 (incorporated herein by reference to Exhibit 10.3 to the Registrant’s Quarterly Report on Form 10-Q (File No. 001-38899), filed with the SEC on May 13, 2026).</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83" w:type="dxa"/>
            <w:tcBorders/>
            <w:tcMar>
              <w:bottom w:w="0" w:type="dxa"/>
            </w:tcMar>
            <w:vAlign w:val="center"/>
          </w:tcPr>
          <w:p>
            <w:pPr>
              <w:pStyle w:val="TableContents"/>
              <w:bidi w:val="0"/>
              <w:spacing w:before="0" w:after="283"/>
              <w:ind w:left="100" w:right="0" w:hanging="0"/>
              <w:jc w:val="left"/>
              <w:rPr>
                <w:spacing w:val="4"/>
              </w:rPr>
            </w:pPr>
            <w:r>
              <w:rPr>
                <w:spacing w:val="4"/>
              </w:rPr>
              <w:t xml:space="preserve">3.1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32" w:type="dxa"/>
            <w:tcBorders/>
            <w:tcMar>
              <w:bottom w:w="0" w:type="dxa"/>
            </w:tcMar>
            <w:vAlign w:val="center"/>
          </w:tcPr>
          <w:p>
            <w:pPr>
              <w:pStyle w:val="TableContents"/>
              <w:bidi w:val="0"/>
              <w:spacing w:before="0" w:after="283"/>
              <w:jc w:val="left"/>
              <w:rPr/>
            </w:pPr>
            <w:hyperlink r:id="rId26">
              <w:r>
                <w:rPr>
                  <w:rStyle w:val="InternetLink"/>
                </w:rPr>
                <w:t>Amended Articles of Incorporation (incorporated herein by reference to Exhibit 3.1 to the Registrant’s Current Report on Form 8-K (File No. 001-38899), filed with the SEC on May 15, 2019).</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83" w:type="dxa"/>
            <w:tcBorders/>
            <w:tcMar>
              <w:bottom w:w="0" w:type="dxa"/>
            </w:tcMar>
            <w:vAlign w:val="center"/>
          </w:tcPr>
          <w:p>
            <w:pPr>
              <w:pStyle w:val="TableContents"/>
              <w:bidi w:val="0"/>
              <w:spacing w:before="0" w:after="283"/>
              <w:ind w:left="100" w:right="0" w:hanging="0"/>
              <w:jc w:val="left"/>
              <w:rPr>
                <w:spacing w:val="4"/>
              </w:rPr>
            </w:pPr>
            <w:r>
              <w:rPr>
                <w:spacing w:val="4"/>
              </w:rPr>
              <w:t xml:space="preserve">3.2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32" w:type="dxa"/>
            <w:tcBorders/>
            <w:tcMar>
              <w:bottom w:w="0" w:type="dxa"/>
            </w:tcMar>
            <w:vAlign w:val="center"/>
          </w:tcPr>
          <w:p>
            <w:pPr>
              <w:pStyle w:val="TableContents"/>
              <w:bidi w:val="0"/>
              <w:spacing w:before="0" w:after="0"/>
              <w:jc w:val="left"/>
              <w:rPr/>
            </w:pPr>
            <w:hyperlink r:id="rId27">
              <w:r>
                <w:rPr>
                  <w:rStyle w:val="InternetLink"/>
                  <w:spacing w:val="4"/>
                </w:rPr>
                <w:t>Amended and Restated Bylaws (incorporated herein by reference to Exhibit 3.2 to the Registrant’s Current Report on Form 8-K (File No. 001-38899), filed with the SEC on May 15, 2019).</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83" w:type="dxa"/>
            <w:tcBorders/>
            <w:tcMar>
              <w:bottom w:w="0" w:type="dxa"/>
            </w:tcMar>
            <w:vAlign w:val="center"/>
          </w:tcPr>
          <w:p>
            <w:pPr>
              <w:pStyle w:val="TableContents"/>
              <w:bidi w:val="0"/>
              <w:spacing w:before="0" w:after="283"/>
              <w:ind w:left="100" w:right="0" w:hanging="0"/>
              <w:jc w:val="left"/>
              <w:rPr>
                <w:spacing w:val="4"/>
              </w:rPr>
            </w:pPr>
            <w:r>
              <w:rPr>
                <w:spacing w:val="4"/>
              </w:rPr>
              <w:t xml:space="preserve">4.1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32" w:type="dxa"/>
            <w:tcBorders/>
            <w:tcMar>
              <w:bottom w:w="0" w:type="dxa"/>
            </w:tcMar>
            <w:vAlign w:val="center"/>
          </w:tcPr>
          <w:p>
            <w:pPr>
              <w:pStyle w:val="TableContents"/>
              <w:bidi w:val="0"/>
              <w:spacing w:before="0" w:after="283"/>
              <w:jc w:val="left"/>
              <w:rPr/>
            </w:pPr>
            <w:hyperlink r:id="rId28">
              <w:r>
                <w:rPr>
                  <w:rStyle w:val="InternetLink"/>
                </w:rPr>
                <w:t>Form of Common Share Certificate (incorporated herein by reference to Exhibit 4.1 to Amendment No. 1 to the Registrant’s Registration Statement on Form S-1 (File No. 333-230846), filed with the SEC on April 29, 2019).</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83" w:type="dxa"/>
            <w:tcBorders/>
            <w:tcMar>
              <w:bottom w:w="0" w:type="dxa"/>
            </w:tcMar>
            <w:vAlign w:val="center"/>
          </w:tcPr>
          <w:p>
            <w:pPr>
              <w:pStyle w:val="TableContents"/>
              <w:bidi w:val="0"/>
              <w:spacing w:before="0" w:after="283"/>
              <w:ind w:left="100" w:right="0" w:hanging="0"/>
              <w:jc w:val="left"/>
              <w:rPr>
                <w:spacing w:val="4"/>
              </w:rPr>
            </w:pPr>
            <w:r>
              <w:rPr>
                <w:spacing w:val="4"/>
              </w:rPr>
              <w:t xml:space="preserve">4.2*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32" w:type="dxa"/>
            <w:tcBorders/>
            <w:tcMar>
              <w:bottom w:w="0" w:type="dxa"/>
            </w:tcMar>
            <w:vAlign w:val="center"/>
          </w:tcPr>
          <w:p>
            <w:pPr>
              <w:pStyle w:val="TableContents"/>
              <w:bidi w:val="0"/>
              <w:spacing w:before="0" w:after="283"/>
              <w:jc w:val="left"/>
              <w:rPr>
                <w:spacing w:val="4"/>
              </w:rPr>
            </w:pPr>
            <w:r>
              <w:rPr>
                <w:spacing w:val="4"/>
              </w:rPr>
              <w:t xml:space="preserve">Form of Specimen Preferred Share Certificate and Certificate of Designation of Preferred Share.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83" w:type="dxa"/>
            <w:tcBorders/>
            <w:tcMar>
              <w:bottom w:w="0" w:type="dxa"/>
            </w:tcMar>
            <w:vAlign w:val="center"/>
          </w:tcPr>
          <w:p>
            <w:pPr>
              <w:pStyle w:val="TableContents"/>
              <w:bidi w:val="0"/>
              <w:spacing w:before="0" w:after="283"/>
              <w:ind w:left="100" w:right="0" w:hanging="0"/>
              <w:jc w:val="left"/>
              <w:rPr>
                <w:spacing w:val="4"/>
              </w:rPr>
            </w:pPr>
            <w:r>
              <w:rPr>
                <w:spacing w:val="4"/>
              </w:rPr>
              <w:t xml:space="preserve">4.3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32" w:type="dxa"/>
            <w:tcBorders/>
            <w:tcMar>
              <w:bottom w:w="0" w:type="dxa"/>
            </w:tcMar>
            <w:vAlign w:val="center"/>
          </w:tcPr>
          <w:p>
            <w:pPr>
              <w:pStyle w:val="TableContents"/>
              <w:bidi w:val="0"/>
              <w:spacing w:before="0" w:after="0"/>
              <w:jc w:val="left"/>
              <w:rPr/>
            </w:pPr>
            <w:hyperlink w:anchor="tm2614252d2_ex4-3.htm">
              <w:r>
                <w:rPr>
                  <w:rStyle w:val="InternetLink"/>
                  <w:spacing w:val="4"/>
                </w:rPr>
                <w:t>Form of Indenture, between the Registrant and one or more trustees to be named.</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83" w:type="dxa"/>
            <w:tcBorders/>
            <w:tcMar>
              <w:bottom w:w="0" w:type="dxa"/>
            </w:tcMar>
            <w:vAlign w:val="center"/>
          </w:tcPr>
          <w:p>
            <w:pPr>
              <w:pStyle w:val="TableContents"/>
              <w:bidi w:val="0"/>
              <w:spacing w:before="0" w:after="283"/>
              <w:ind w:left="100" w:right="0" w:hanging="0"/>
              <w:jc w:val="left"/>
              <w:rPr>
                <w:spacing w:val="4"/>
              </w:rPr>
            </w:pPr>
            <w:r>
              <w:rPr>
                <w:spacing w:val="4"/>
              </w:rPr>
              <w:t xml:space="preserve">4.4*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32" w:type="dxa"/>
            <w:tcBorders/>
            <w:tcMar>
              <w:bottom w:w="0" w:type="dxa"/>
            </w:tcMar>
            <w:vAlign w:val="center"/>
          </w:tcPr>
          <w:p>
            <w:pPr>
              <w:pStyle w:val="TableContents"/>
              <w:bidi w:val="0"/>
              <w:spacing w:before="0" w:after="283"/>
              <w:jc w:val="left"/>
              <w:rPr>
                <w:spacing w:val="4"/>
              </w:rPr>
            </w:pPr>
            <w:r>
              <w:rPr>
                <w:spacing w:val="4"/>
              </w:rPr>
              <w:t xml:space="preserve">Form of Debt Securities.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83" w:type="dxa"/>
            <w:tcBorders/>
            <w:tcMar>
              <w:bottom w:w="0" w:type="dxa"/>
            </w:tcMar>
            <w:vAlign w:val="center"/>
          </w:tcPr>
          <w:p>
            <w:pPr>
              <w:pStyle w:val="TableContents"/>
              <w:bidi w:val="0"/>
              <w:spacing w:before="0" w:after="283"/>
              <w:ind w:left="100" w:right="0" w:hanging="0"/>
              <w:jc w:val="left"/>
              <w:rPr>
                <w:spacing w:val="4"/>
              </w:rPr>
            </w:pPr>
            <w:r>
              <w:rPr>
                <w:spacing w:val="4"/>
              </w:rPr>
              <w:t xml:space="preserve">4.5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32" w:type="dxa"/>
            <w:tcBorders/>
            <w:tcMar>
              <w:bottom w:w="0" w:type="dxa"/>
            </w:tcMar>
            <w:vAlign w:val="center"/>
          </w:tcPr>
          <w:p>
            <w:pPr>
              <w:pStyle w:val="TableContents"/>
              <w:bidi w:val="0"/>
              <w:spacing w:before="0" w:after="0"/>
              <w:jc w:val="left"/>
              <w:rPr/>
            </w:pPr>
            <w:hyperlink w:anchor="tm2614252d2_ex4-5.htm">
              <w:r>
                <w:rPr>
                  <w:rStyle w:val="InternetLink"/>
                  <w:spacing w:val="4"/>
                </w:rPr>
                <w:t>Form of Common Share Warrant Agreement and Warrant Certificate.</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83" w:type="dxa"/>
            <w:tcBorders/>
            <w:tcMar>
              <w:bottom w:w="0" w:type="dxa"/>
            </w:tcMar>
            <w:vAlign w:val="center"/>
          </w:tcPr>
          <w:p>
            <w:pPr>
              <w:pStyle w:val="TableContents"/>
              <w:bidi w:val="0"/>
              <w:spacing w:before="0" w:after="283"/>
              <w:ind w:left="100" w:right="0" w:hanging="0"/>
              <w:jc w:val="left"/>
              <w:rPr>
                <w:spacing w:val="4"/>
              </w:rPr>
            </w:pPr>
            <w:r>
              <w:rPr>
                <w:spacing w:val="4"/>
              </w:rPr>
              <w:t xml:space="preserve">4.6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32" w:type="dxa"/>
            <w:tcBorders/>
            <w:tcMar>
              <w:bottom w:w="0" w:type="dxa"/>
            </w:tcMar>
            <w:vAlign w:val="center"/>
          </w:tcPr>
          <w:p>
            <w:pPr>
              <w:pStyle w:val="TableContents"/>
              <w:bidi w:val="0"/>
              <w:spacing w:before="0" w:after="0"/>
              <w:jc w:val="left"/>
              <w:rPr/>
            </w:pPr>
            <w:hyperlink w:anchor="tm2614252d2_ex4-6.htm">
              <w:r>
                <w:rPr>
                  <w:rStyle w:val="InternetLink"/>
                  <w:spacing w:val="4"/>
                </w:rPr>
                <w:t>Form of Preferred Share Warrant Agreement and Warrant Certificate.</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83" w:type="dxa"/>
            <w:tcBorders/>
            <w:tcMar>
              <w:bottom w:w="0" w:type="dxa"/>
            </w:tcMar>
            <w:vAlign w:val="center"/>
          </w:tcPr>
          <w:p>
            <w:pPr>
              <w:pStyle w:val="TableContents"/>
              <w:bidi w:val="0"/>
              <w:spacing w:before="0" w:after="283"/>
              <w:ind w:left="100" w:right="0" w:hanging="0"/>
              <w:jc w:val="left"/>
              <w:rPr>
                <w:spacing w:val="4"/>
              </w:rPr>
            </w:pPr>
            <w:r>
              <w:rPr>
                <w:spacing w:val="4"/>
              </w:rPr>
              <w:t xml:space="preserve">4.7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32" w:type="dxa"/>
            <w:tcBorders/>
            <w:tcMar>
              <w:bottom w:w="0" w:type="dxa"/>
            </w:tcMar>
            <w:vAlign w:val="center"/>
          </w:tcPr>
          <w:p>
            <w:pPr>
              <w:pStyle w:val="TableContents"/>
              <w:bidi w:val="0"/>
              <w:spacing w:before="0" w:after="0"/>
              <w:jc w:val="left"/>
              <w:rPr/>
            </w:pPr>
            <w:hyperlink w:anchor="tm2614252d2_ex4-7.htm">
              <w:r>
                <w:rPr>
                  <w:rStyle w:val="InternetLink"/>
                  <w:spacing w:val="4"/>
                </w:rPr>
                <w:t>Form of Debt Securities Warrant Agreement and Warrant Certificate.</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83" w:type="dxa"/>
            <w:tcBorders/>
            <w:tcMar>
              <w:bottom w:w="0" w:type="dxa"/>
            </w:tcMar>
            <w:vAlign w:val="center"/>
          </w:tcPr>
          <w:p>
            <w:pPr>
              <w:pStyle w:val="TableContents"/>
              <w:bidi w:val="0"/>
              <w:spacing w:before="0" w:after="283"/>
              <w:ind w:left="100" w:right="0" w:hanging="0"/>
              <w:jc w:val="left"/>
              <w:rPr/>
            </w:pPr>
            <w:r>
              <w:rPr>
                <w:spacing w:val="4"/>
              </w:rPr>
              <w:t>5.1</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32" w:type="dxa"/>
            <w:tcBorders/>
            <w:tcMar>
              <w:bottom w:w="0" w:type="dxa"/>
            </w:tcMar>
            <w:vAlign w:val="center"/>
          </w:tcPr>
          <w:p>
            <w:pPr>
              <w:pStyle w:val="TableContents"/>
              <w:bidi w:val="0"/>
              <w:spacing w:before="0" w:after="0"/>
              <w:jc w:val="left"/>
              <w:rPr/>
            </w:pPr>
            <w:hyperlink w:anchor="tm2614252d2_ex5-1.htm">
              <w:r>
                <w:rPr>
                  <w:rStyle w:val="InternetLink"/>
                  <w:spacing w:val="4"/>
                </w:rPr>
                <w:t>Opinion of Osler, Hoskin &amp; Harcourt LLP.</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83" w:type="dxa"/>
            <w:tcBorders/>
            <w:tcMar>
              <w:bottom w:w="0" w:type="dxa"/>
            </w:tcMar>
            <w:vAlign w:val="center"/>
          </w:tcPr>
          <w:p>
            <w:pPr>
              <w:pStyle w:val="TableContents"/>
              <w:bidi w:val="0"/>
              <w:spacing w:before="0" w:after="283"/>
              <w:jc w:val="left"/>
              <w:rPr>
                <w:spacing w:val="4"/>
              </w:rPr>
            </w:pPr>
            <w:r>
              <w:rPr>
                <w:spacing w:val="4"/>
              </w:rPr>
              <w:t xml:space="preserve">23.1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32" w:type="dxa"/>
            <w:tcBorders/>
            <w:tcMar>
              <w:bottom w:w="0" w:type="dxa"/>
            </w:tcMar>
            <w:vAlign w:val="center"/>
          </w:tcPr>
          <w:p>
            <w:pPr>
              <w:pStyle w:val="TableContents"/>
              <w:bidi w:val="0"/>
              <w:spacing w:before="0" w:after="0"/>
              <w:jc w:val="left"/>
              <w:rPr/>
            </w:pPr>
            <w:hyperlink w:anchor="tm2614252d2_ex23-1.htm">
              <w:r>
                <w:rPr>
                  <w:rStyle w:val="InternetLink"/>
                  <w:spacing w:val="4"/>
                </w:rPr>
                <w:t>Consent of Independent Registered Public Accounting Firm.</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83" w:type="dxa"/>
            <w:tcBorders/>
            <w:tcMar>
              <w:bottom w:w="0" w:type="dxa"/>
            </w:tcMar>
            <w:vAlign w:val="center"/>
          </w:tcPr>
          <w:p>
            <w:pPr>
              <w:pStyle w:val="TableContents"/>
              <w:bidi w:val="0"/>
              <w:spacing w:before="0" w:after="283"/>
              <w:jc w:val="left"/>
              <w:rPr>
                <w:spacing w:val="4"/>
              </w:rPr>
            </w:pPr>
            <w:r>
              <w:rPr>
                <w:spacing w:val="4"/>
              </w:rPr>
              <w:t xml:space="preserve">23.2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32" w:type="dxa"/>
            <w:tcBorders/>
            <w:tcMar>
              <w:bottom w:w="0" w:type="dxa"/>
            </w:tcMar>
            <w:vAlign w:val="center"/>
          </w:tcPr>
          <w:p>
            <w:pPr>
              <w:pStyle w:val="TableContents"/>
              <w:bidi w:val="0"/>
              <w:spacing w:before="0" w:after="0"/>
              <w:jc w:val="left"/>
              <w:rPr/>
            </w:pPr>
            <w:hyperlink w:anchor="tm2614252d2_ex5-1.htm">
              <w:r>
                <w:rPr>
                  <w:rStyle w:val="InternetLink"/>
                  <w:spacing w:val="4"/>
                </w:rPr>
                <w:t>Consent of Osler, Hoskin &amp; Harcourt LLP (included in Exhibit 5.1).</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83" w:type="dxa"/>
            <w:tcBorders/>
            <w:tcMar>
              <w:bottom w:w="0" w:type="dxa"/>
            </w:tcMar>
            <w:vAlign w:val="center"/>
          </w:tcPr>
          <w:p>
            <w:pPr>
              <w:pStyle w:val="TableContents"/>
              <w:bidi w:val="0"/>
              <w:spacing w:before="0" w:after="283"/>
              <w:jc w:val="left"/>
              <w:rPr>
                <w:spacing w:val="4"/>
              </w:rPr>
            </w:pPr>
            <w:r>
              <w:rPr>
                <w:spacing w:val="4"/>
              </w:rPr>
              <w:t xml:space="preserve">24.1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32" w:type="dxa"/>
            <w:tcBorders/>
            <w:tcMar>
              <w:bottom w:w="0" w:type="dxa"/>
            </w:tcMar>
            <w:vAlign w:val="center"/>
          </w:tcPr>
          <w:p>
            <w:pPr>
              <w:pStyle w:val="TableContents"/>
              <w:bidi w:val="0"/>
              <w:spacing w:before="0" w:after="0"/>
              <w:jc w:val="left"/>
              <w:rPr/>
            </w:pPr>
            <w:hyperlink w:anchor="tSIG">
              <w:r>
                <w:rPr>
                  <w:rStyle w:val="InternetLink"/>
                  <w:spacing w:val="4"/>
                </w:rPr>
                <w:t xml:space="preserve">Power of Attorney (included on signature page). </w:t>
              </w:r>
            </w:hyperlink>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83" w:type="dxa"/>
            <w:tcBorders/>
            <w:tcMar>
              <w:bottom w:w="0" w:type="dxa"/>
            </w:tcMar>
            <w:vAlign w:val="center"/>
          </w:tcPr>
          <w:p>
            <w:pPr>
              <w:pStyle w:val="TableContents"/>
              <w:bidi w:val="0"/>
              <w:spacing w:before="0" w:after="283"/>
              <w:jc w:val="left"/>
              <w:rPr>
                <w:spacing w:val="4"/>
              </w:rPr>
            </w:pPr>
            <w:r>
              <w:rPr>
                <w:spacing w:val="4"/>
              </w:rPr>
              <w:t xml:space="preserve">25.1**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32" w:type="dxa"/>
            <w:tcBorders/>
            <w:tcMar>
              <w:bottom w:w="0" w:type="dxa"/>
            </w:tcMar>
            <w:vAlign w:val="center"/>
          </w:tcPr>
          <w:p>
            <w:pPr>
              <w:pStyle w:val="TableContents"/>
              <w:bidi w:val="0"/>
              <w:spacing w:before="0" w:after="283"/>
              <w:jc w:val="left"/>
              <w:rPr>
                <w:spacing w:val="4"/>
              </w:rPr>
            </w:pPr>
            <w:r>
              <w:rPr>
                <w:spacing w:val="4"/>
              </w:rPr>
              <w:t xml:space="preserve">Statement of Eligibility of Trustee under the Indenture.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883" w:type="dxa"/>
            <w:tcBorders/>
            <w:tcMar>
              <w:bottom w:w="0" w:type="dxa"/>
            </w:tcMar>
            <w:vAlign w:val="center"/>
          </w:tcPr>
          <w:p>
            <w:pPr>
              <w:pStyle w:val="TableContents"/>
              <w:bidi w:val="0"/>
              <w:spacing w:before="0" w:after="283"/>
              <w:jc w:val="left"/>
              <w:rPr>
                <w:spacing w:val="4"/>
              </w:rPr>
            </w:pPr>
            <w:r>
              <w:rPr>
                <w:spacing w:val="4"/>
              </w:rPr>
              <w:t xml:space="preserve">107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432" w:type="dxa"/>
            <w:tcBorders/>
            <w:tcMar>
              <w:bottom w:w="0" w:type="dxa"/>
            </w:tcMar>
            <w:vAlign w:val="center"/>
          </w:tcPr>
          <w:p>
            <w:pPr>
              <w:pStyle w:val="TableContents"/>
              <w:bidi w:val="0"/>
              <w:spacing w:before="0" w:after="0"/>
              <w:jc w:val="left"/>
              <w:rPr/>
            </w:pPr>
            <w:hyperlink w:anchor="tm2614252d1_ex-filingfees.htm">
              <w:r>
                <w:rPr>
                  <w:rStyle w:val="InternetLink"/>
                  <w:spacing w:val="4"/>
                </w:rPr>
                <w:t>Filing Fee Table.</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be filed by amendment or by a report filed under the Exchange Act and incorporated herein by reference, if applicable. </w:t>
      </w:r>
      <w:r>
        <mc:AlternateContent>
          <mc:Choice Requires="wps">
            <w:drawing>
              <wp:anchor behindDoc="0" distT="101600" distB="0" distL="0" distR="0" simplePos="0" locked="0" layoutInCell="1" allowOverlap="1" relativeHeight="247">
                <wp:simplePos x="0" y="0"/>
                <wp:positionH relativeFrom="column">
                  <wp:align>left</wp:align>
                </wp:positionH>
                <wp:positionV relativeFrom="line">
                  <wp:align>top</wp:align>
                </wp:positionV>
                <wp:extent cx="254000" cy="350520"/>
                <wp:effectExtent l="0" t="0" r="0" b="0"/>
                <wp:wrapSquare wrapText="right"/>
                <wp:docPr id="241" name="Frame23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left"/>
                        <w:rPr/>
                      </w:pPr>
                      <w:r>
                        <w:rPr>
                          <w:spacing w:val="4"/>
                        </w:rPr>
                        <w:t>*</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be filed, if applicable, in accordance with the requirements of Section 305(b)(2) of the Trust Indenture Act of 1939 and Rule 5b-3 thereunder. </w:t>
      </w:r>
      <w:r>
        <mc:AlternateContent>
          <mc:Choice Requires="wps">
            <w:drawing>
              <wp:anchor behindDoc="0" distT="50800" distB="0" distL="0" distR="0" simplePos="0" locked="0" layoutInCell="1" allowOverlap="1" relativeHeight="248">
                <wp:simplePos x="0" y="0"/>
                <wp:positionH relativeFrom="column">
                  <wp:align>left</wp:align>
                </wp:positionH>
                <wp:positionV relativeFrom="line">
                  <wp:align>top</wp:align>
                </wp:positionV>
                <wp:extent cx="254000" cy="350520"/>
                <wp:effectExtent l="0" t="0" r="0" b="0"/>
                <wp:wrapSquare wrapText="right"/>
                <wp:docPr id="242" name="Frame23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Item 17.   Undertakings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undersigned registrant hereby undertakes: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   To file, during any period in which offers or sales are being made, a post-effective amendment to this registration statement: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To include any prospectus required by Section 10(a)(3) of the Securities Act;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percent change in the maximum aggregate offering price set forth in the “Calculation of Registration Fee” table in the effective registration statement; and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(iii)   To include any material information with respect to the plan of distribution not previously disclosed in the registration statement or any material change to such information in the registration statement; </w:t>
      </w:r>
    </w:p>
    <w:p>
      <w:pPr>
        <w:pStyle w:val="TextBody"/>
        <w:bidi w:val="0"/>
        <w:spacing w:lineRule="atLeast" w:line="23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provided, however</w:t>
      </w:r>
      <w:r>
        <w:rPr>
          <w:rFonts w:ascii="Times New Roman;Times;serif" w:hAnsi="Times New Roman;Times;serif"/>
          <w:b w:val="false"/>
          <w:i w:val="false"/>
          <w:caps w:val="false"/>
          <w:smallCaps w:val="false"/>
          <w:color w:val="000000"/>
          <w:spacing w:val="4"/>
          <w:sz w:val="20"/>
        </w:rPr>
        <w:t xml:space="preserve">, that the undertakings set forth in paragraphs (1)(i), (1)(ii) and (1)(iii) above do not apply if the information required to be included in a post-effective amendment by those paragraphs is contained in reports filed with or furnished to the SEC by the registrant pursuant to Section 13 or Section 15(d) of the Securities Exchange Act of 1934, as amended, or the Exchange Act, that are incorporated by reference in this registration statement or are contained in a form of prospectus filed pursuant to Rule 424(b) that is part of this registration statement.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(2)   That, for the purpose of determining any liability under the Securities Act, each such post- effective amendment shall be deemed to be a new registration statement relating to the securities offered therein, and the offering of such securities at that time shall be deemed to be the initial </w:t>
      </w:r>
      <w:r>
        <w:rPr>
          <w:rFonts w:ascii="Times New Roman;Times;serif" w:hAnsi="Times New Roman;Times;serif"/>
          <w:b w:val="false"/>
          <w:i/>
          <w:caps w:val="false"/>
          <w:smallCaps w:val="false"/>
          <w:color w:val="000000"/>
          <w:spacing w:val="4"/>
          <w:sz w:val="20"/>
        </w:rPr>
        <w:t>bona fide</w:t>
      </w:r>
      <w:r>
        <w:rPr>
          <w:rFonts w:ascii="Times New Roman;Times;serif" w:hAnsi="Times New Roman;Times;serif"/>
          <w:b w:val="false"/>
          <w:i w:val="false"/>
          <w:caps w:val="false"/>
          <w:smallCaps w:val="false"/>
          <w:color w:val="000000"/>
          <w:spacing w:val="4"/>
          <w:sz w:val="20"/>
        </w:rPr>
        <w:t xml:space="preserve"> offering thereof.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(3)   To remove from registration by means of a post-effective amendment any of the securities being registered which remain unsold at the termination of the offering.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(4) That, for the purpose of determining liability under the Securities Act to any purchaser: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Each prospectus filed by the registrant pursuant to Rule 424(b)(3) shall be deemed to be part of the registration statement as of the date the filed prospectus was deemed part of and included in the registration statement; and </w:t>
      </w:r>
    </w:p>
    <w:p>
      <w:pPr>
        <w:pStyle w:val="TextBody"/>
        <w:bidi w:val="0"/>
        <w:spacing w:lineRule="atLeast" w:line="23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(ii)   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Times New Roman;Times;serif" w:hAnsi="Times New Roman;Times;serif"/>
          <w:b w:val="false"/>
          <w:i/>
          <w:caps w:val="false"/>
          <w:smallCaps w:val="false"/>
          <w:color w:val="000000"/>
          <w:spacing w:val="4"/>
          <w:sz w:val="20"/>
        </w:rPr>
        <w:t>bona fide</w:t>
      </w:r>
      <w:r>
        <w:rPr>
          <w:rFonts w:ascii="Times New Roman;Times;serif" w:hAnsi="Times New Roman;Times;serif"/>
          <w:b w:val="false"/>
          <w:i w:val="false"/>
          <w:caps w:val="false"/>
          <w:smallCaps w:val="false"/>
          <w:color w:val="000000"/>
          <w:spacing w:val="4"/>
          <w:sz w:val="20"/>
        </w:rPr>
        <w:t xml:space="preserve"> offering thereof. </w:t>
      </w:r>
      <w:r>
        <w:rPr>
          <w:rFonts w:ascii="Times New Roman;Times;serif" w:hAnsi="Times New Roman;Times;serif"/>
          <w:b w:val="false"/>
          <w:i/>
          <w:caps w:val="false"/>
          <w:smallCaps w:val="false"/>
          <w:color w:val="000000"/>
          <w:spacing w:val="4"/>
          <w:sz w:val="20"/>
        </w:rPr>
        <w:t>Provided, however</w:t>
      </w:r>
      <w:r>
        <w:rPr>
          <w:rFonts w:ascii="Times New Roman;Times;serif" w:hAnsi="Times New Roman;Times;serif"/>
          <w:b w:val="false"/>
          <w:i w:val="false"/>
          <w:caps w:val="false"/>
          <w:smallCaps w:val="false"/>
          <w:color w:val="000000"/>
          <w:spacing w:val="4"/>
          <w:sz w:val="20"/>
        </w:rPr>
        <w:t xml:space="preserve">,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(5)   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 (i) any preliminary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08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prospectus or prospectus of the undersigned registrant relating to the offering required to be filed pursuant to Rule 424; (ii) any free writing prospectus relating to the offering prepared by or on behalf of the undersigned registrant or used or referred to by the undersigned registrant; (iii) the portion of any other free writing prospectus relating to the offering containing material information about the undersigned registrant or its securities provided by or on behalf of the undersigned registrant; and (iv) any other communication that is an offer in the offering made by the undersigned registrant to the purchaser.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(6)   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Times;serif" w:hAnsi="Times New Roman;Times;serif"/>
          <w:b w:val="false"/>
          <w:i/>
          <w:caps w:val="false"/>
          <w:smallCaps w:val="false"/>
          <w:color w:val="000000"/>
          <w:spacing w:val="4"/>
          <w:sz w:val="20"/>
        </w:rPr>
        <w:t>bona fide</w:t>
      </w:r>
      <w:r>
        <w:rPr>
          <w:rFonts w:ascii="Times New Roman;Times;serif" w:hAnsi="Times New Roman;Times;serif"/>
          <w:b w:val="false"/>
          <w:i w:val="false"/>
          <w:caps w:val="false"/>
          <w:smallCaps w:val="false"/>
          <w:color w:val="000000"/>
          <w:spacing w:val="4"/>
          <w:sz w:val="20"/>
        </w:rPr>
        <w:t xml:space="preserve"> offering thereof.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(7)   To file an application for the purpose of determining the eligibility of the trustee to act under subsection (a) of Section 310 of the Trust Indenture Act in accordance with the rules and regulations prescribed by the SEC under Section 305(b)(2) of the Trust Indenture Act.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2" w:name="tSIG"/>
      <w:bookmarkEnd w:id="3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SIGNATURES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requirements of the Securities Act, the Registrant certifies that it has reasonable grounds to believe that it meets all of the requirements for filing on Form S-3 and has duly caused this Registration Statement to be signed on its behalf by the undersigned, thereunto duly authorized, in the City of Montréal, Province of Québec, Canada, on May 13, 2026. </w:t>
      </w:r>
    </w:p>
    <w:tbl>
      <w:tblPr>
        <w:tblW w:w="5201" w:type="dxa"/>
        <w:jc w:val="left"/>
        <w:tblInd w:w="1393" w:type="dxa"/>
        <w:tblLayout w:type="fixed"/>
        <w:tblCellMar>
          <w:top w:w="0" w:type="dxa"/>
          <w:left w:w="0" w:type="dxa"/>
          <w:bottom w:w="0" w:type="dxa"/>
          <w:right w:w="0" w:type="dxa"/>
        </w:tblCellMar>
      </w:tblPr>
      <w:tblGrid>
        <w:gridCol w:w="124"/>
        <w:gridCol w:w="109"/>
        <w:gridCol w:w="109"/>
        <w:gridCol w:w="109"/>
        <w:gridCol w:w="515"/>
        <w:gridCol w:w="109"/>
        <w:gridCol w:w="109"/>
        <w:gridCol w:w="3863"/>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596" w:type="dxa"/>
            <w:gridSpan w:val="4"/>
            <w:tcBorders/>
            <w:vAlign w:val="center"/>
          </w:tcPr>
          <w:p>
            <w:pPr>
              <w:pStyle w:val="TableContents"/>
              <w:bidi w:val="0"/>
              <w:spacing w:before="0" w:after="283"/>
              <w:jc w:val="left"/>
              <w:rPr/>
            </w:pPr>
            <w:r>
              <w:rPr>
                <w:spacing w:val="-4"/>
              </w:rPr>
              <w:t>MILESTONE PHARMACEUTICALS INC.</w:t>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15" w:type="dxa"/>
            <w:tcBorders/>
            <w:vAlign w:val="center"/>
          </w:tcPr>
          <w:p>
            <w:pPr>
              <w:pStyle w:val="TableContents"/>
              <w:bidi w:val="0"/>
              <w:spacing w:before="0" w:after="283"/>
              <w:jc w:val="left"/>
              <w:rPr/>
            </w:pPr>
            <w:r>
              <w:rPr>
                <w:spacing w:val="4"/>
              </w:rPr>
              <w:t>By:</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863" w:type="dxa"/>
            <w:tcBorders/>
            <w:vAlign w:val="center"/>
          </w:tcPr>
          <w:p>
            <w:pPr>
              <w:pStyle w:val="TableContents"/>
              <w:bidi w:val="0"/>
              <w:spacing w:before="0" w:after="0"/>
              <w:jc w:val="left"/>
              <w:rPr>
                <w:spacing w:val="4"/>
              </w:rPr>
            </w:pPr>
            <w:r>
              <w:rPr>
                <w:spacing w:val="4"/>
              </w:rPr>
              <w:t xml:space="preserve">/s/ Joseph Oliveto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pPr>
            <w:r>
              <w:rPr>
                <w:spacing w:val="4"/>
              </w:rPr>
              <w:t xml:space="preserve">Joseph Oliveto </w:t>
            </w:r>
            <w:r>
              <w:rPr/>
              <w:br/>
            </w:r>
            <w:r>
              <w:rPr>
                <w:i/>
                <w:spacing w:val="4"/>
              </w:rPr>
              <w:t>President and Chief Executive Officer</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50" w:before="184"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KNOW ALL BY THESE PRESENTS, that each person whose signature appears below hereby constitutes and appoints Joseph Oliveto and Amit Hasija, and each of them, his or her true and lawful agent, proxy and attorney-in-fact, with full power of substitution and resubstitution, for him or her and in his or her name, place and stead, in any and all capacities, to (i) act on, sign and file with the Securities and Exchange Commission any and all amendments (including post-effective amendments) to this registration statement together with all schedules and exhibits thereto and any subsequent registration statement filed pursuant to Rule 462(b) under the Securities Act of 1933, as amended, together with all schedules and exhibits thereto, (ii) act on, sign and file such certificates, instruments, agreements and other documents as may be necessary or appropriate in connection therewith, (iii) act on and file any supplement to any prospectus included in this registration statement or any such amendment or any subsequent registration statement filed pursuant to Rule 462(b) under the Securities Act of 1933, as amended, and (iv) take any and all actions which may be necessary or appropriate to be done, as fully for all intents and purposes as he or she might or could do in person, hereby approving, ratifying and confirming all that such agent, proxy and attorney-in-fact or any of his or her substitutes may lawfully do or cause to be done by virtue thereof.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requirements of the Securities Act, this Registration Statement has been signed by the following persons in the capacities and on the dates indicated. </w:t>
      </w:r>
    </w:p>
    <w:tbl>
      <w:tblPr>
        <w:tblW w:w="8812" w:type="dxa"/>
        <w:jc w:val="left"/>
        <w:tblInd w:w="1393" w:type="dxa"/>
        <w:tblLayout w:type="fixed"/>
        <w:tblCellMar>
          <w:top w:w="0" w:type="dxa"/>
          <w:left w:w="0" w:type="dxa"/>
          <w:bottom w:w="28" w:type="dxa"/>
          <w:right w:w="0" w:type="dxa"/>
        </w:tblCellMar>
      </w:tblPr>
      <w:tblGrid>
        <w:gridCol w:w="124"/>
        <w:gridCol w:w="1519"/>
        <w:gridCol w:w="109"/>
        <w:gridCol w:w="109"/>
        <w:gridCol w:w="5303"/>
        <w:gridCol w:w="109"/>
        <w:gridCol w:w="109"/>
        <w:gridCol w:w="1274"/>
        <w:gridCol w:w="156"/>
      </w:tblGrid>
      <w:tr>
        <w:trPr/>
        <w:tc>
          <w:tcPr>
            <w:tcW w:w="124" w:type="dxa"/>
            <w:tcBorders>
              <w:bottom w:val="single" w:sz="2" w:space="0" w:color="FFFFFF"/>
            </w:tcBorders>
            <w:vAlign w:val="center"/>
          </w:tcPr>
          <w:p>
            <w:pPr>
              <w:pStyle w:val="TableContents"/>
              <w:bidi w:val="0"/>
              <w:spacing w:before="0" w:after="283"/>
              <w:jc w:val="left"/>
              <w:rPr/>
            </w:pPr>
            <w:r>
              <w:rPr/>
              <w:t>​</w:t>
            </w:r>
          </w:p>
        </w:tc>
        <w:tc>
          <w:tcPr>
            <w:tcW w:w="1519"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Signature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5303"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Title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74"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Date </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519" w:type="dxa"/>
            <w:tcBorders/>
            <w:tcMar>
              <w:bottom w:w="0" w:type="dxa"/>
            </w:tcMar>
            <w:vAlign w:val="center"/>
          </w:tcPr>
          <w:p>
            <w:pPr>
              <w:pStyle w:val="TableContents"/>
              <w:bidi w:val="0"/>
              <w:spacing w:before="0" w:after="0"/>
              <w:jc w:val="left"/>
              <w:rPr/>
            </w:pPr>
            <w:r>
              <w:rPr>
                <w:spacing w:val="4"/>
              </w:rPr>
              <w:t>/s/ Joseph Oliveto</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4"/>
              </w:rPr>
            </w:pPr>
            <w:r>
              <w:rPr>
                <w:spacing w:val="4"/>
              </w:rPr>
              <w:t xml:space="preserve">Joseph Oliveto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303" w:type="dxa"/>
            <w:tcBorders/>
            <w:tcMar>
              <w:bottom w:w="0" w:type="dxa"/>
            </w:tcMar>
            <w:vAlign w:val="center"/>
          </w:tcPr>
          <w:p>
            <w:pPr>
              <w:pStyle w:val="TableContents"/>
              <w:bidi w:val="0"/>
              <w:spacing w:before="0" w:after="283"/>
              <w:jc w:val="left"/>
              <w:rPr/>
            </w:pPr>
            <w:r>
              <w:rPr>
                <w:spacing w:val="4"/>
              </w:rPr>
              <w:t>President, Chief Executive Officer and Director</w:t>
            </w:r>
            <w:r>
              <w:rPr/>
              <w:t xml:space="preserve"> </w:t>
              <w:br/>
            </w:r>
            <w:r>
              <w:rPr>
                <w:i/>
                <w:spacing w:val="4"/>
              </w:rPr>
              <w:t>(Principal Executive Officer)</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4" w:type="dxa"/>
            <w:tcBorders/>
            <w:tcMar>
              <w:bottom w:w="0" w:type="dxa"/>
            </w:tcMar>
            <w:vAlign w:val="center"/>
          </w:tcPr>
          <w:p>
            <w:pPr>
              <w:pStyle w:val="TableContents"/>
              <w:bidi w:val="0"/>
              <w:spacing w:before="0" w:after="0"/>
              <w:jc w:val="left"/>
              <w:rPr>
                <w:spacing w:val="4"/>
              </w:rPr>
            </w:pPr>
            <w:r>
              <w:rPr>
                <w:spacing w:val="4"/>
              </w:rPr>
              <w:t xml:space="preserve">May 13, 2026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519" w:type="dxa"/>
            <w:tcBorders/>
            <w:tcMar>
              <w:bottom w:w="0" w:type="dxa"/>
            </w:tcMar>
            <w:vAlign w:val="center"/>
          </w:tcPr>
          <w:p>
            <w:pPr>
              <w:pStyle w:val="TableContents"/>
              <w:bidi w:val="0"/>
              <w:spacing w:before="0" w:after="0"/>
              <w:jc w:val="left"/>
              <w:rPr/>
            </w:pPr>
            <w:r>
              <w:rPr>
                <w:spacing w:val="4"/>
              </w:rPr>
              <w:t>/s/ Amit Hasija</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4"/>
              </w:rPr>
            </w:pPr>
            <w:r>
              <w:rPr>
                <w:spacing w:val="4"/>
              </w:rPr>
              <w:t xml:space="preserve">Amit Hasija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303" w:type="dxa"/>
            <w:tcBorders/>
            <w:tcMar>
              <w:bottom w:w="0" w:type="dxa"/>
            </w:tcMar>
            <w:vAlign w:val="center"/>
          </w:tcPr>
          <w:p>
            <w:pPr>
              <w:pStyle w:val="TableContents"/>
              <w:bidi w:val="0"/>
              <w:spacing w:before="0" w:after="283"/>
              <w:jc w:val="left"/>
              <w:rPr/>
            </w:pPr>
            <w:r>
              <w:rPr>
                <w:spacing w:val="4"/>
              </w:rPr>
              <w:t xml:space="preserve">Chief Financial Officer and Executive Vice President of Corporate Development </w:t>
            </w:r>
            <w:r>
              <w:rPr/>
              <w:br/>
            </w:r>
            <w:r>
              <w:rPr>
                <w:i/>
                <w:spacing w:val="4"/>
              </w:rPr>
              <w:t>(Principal Financial Officer and Principal Accounting Officer)</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4" w:type="dxa"/>
            <w:tcBorders/>
            <w:tcMar>
              <w:bottom w:w="0" w:type="dxa"/>
            </w:tcMar>
            <w:vAlign w:val="center"/>
          </w:tcPr>
          <w:p>
            <w:pPr>
              <w:pStyle w:val="TableContents"/>
              <w:bidi w:val="0"/>
              <w:spacing w:before="0" w:after="0"/>
              <w:jc w:val="left"/>
              <w:rPr>
                <w:spacing w:val="4"/>
              </w:rPr>
            </w:pPr>
            <w:r>
              <w:rPr>
                <w:spacing w:val="4"/>
              </w:rPr>
              <w:t xml:space="preserve">May 13, 2026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519" w:type="dxa"/>
            <w:tcBorders/>
            <w:tcMar>
              <w:bottom w:w="0" w:type="dxa"/>
            </w:tcMar>
            <w:vAlign w:val="center"/>
          </w:tcPr>
          <w:p>
            <w:pPr>
              <w:pStyle w:val="TableContents"/>
              <w:bidi w:val="0"/>
              <w:spacing w:before="0" w:after="0"/>
              <w:jc w:val="left"/>
              <w:rPr/>
            </w:pPr>
            <w:r>
              <w:rPr>
                <w:spacing w:val="4"/>
              </w:rPr>
              <w:t>/s/ Robert J. Wills</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4"/>
              </w:rPr>
            </w:pPr>
            <w:r>
              <w:rPr>
                <w:spacing w:val="4"/>
              </w:rPr>
              <w:t xml:space="preserve">Robert J. Wills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303" w:type="dxa"/>
            <w:tcBorders/>
            <w:tcMar>
              <w:bottom w:w="0" w:type="dxa"/>
            </w:tcMar>
            <w:vAlign w:val="center"/>
          </w:tcPr>
          <w:p>
            <w:pPr>
              <w:pStyle w:val="TableContents"/>
              <w:bidi w:val="0"/>
              <w:spacing w:before="0" w:after="283"/>
              <w:jc w:val="left"/>
              <w:rPr>
                <w:spacing w:val="4"/>
              </w:rPr>
            </w:pPr>
            <w:r>
              <w:rPr>
                <w:spacing w:val="4"/>
              </w:rPr>
              <w:t xml:space="preserve">Chairman of the Board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4" w:type="dxa"/>
            <w:tcBorders/>
            <w:tcMar>
              <w:bottom w:w="0" w:type="dxa"/>
            </w:tcMar>
            <w:vAlign w:val="center"/>
          </w:tcPr>
          <w:p>
            <w:pPr>
              <w:pStyle w:val="TableContents"/>
              <w:bidi w:val="0"/>
              <w:spacing w:before="0" w:after="0"/>
              <w:jc w:val="left"/>
              <w:rPr>
                <w:spacing w:val="4"/>
              </w:rPr>
            </w:pPr>
            <w:r>
              <w:rPr>
                <w:spacing w:val="4"/>
              </w:rPr>
              <w:t xml:space="preserve">May 13, 2026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519" w:type="dxa"/>
            <w:tcBorders/>
            <w:tcMar>
              <w:bottom w:w="0" w:type="dxa"/>
            </w:tcMar>
            <w:vAlign w:val="center"/>
          </w:tcPr>
          <w:p>
            <w:pPr>
              <w:pStyle w:val="TableContents"/>
              <w:bidi w:val="0"/>
              <w:spacing w:before="0" w:after="0"/>
              <w:jc w:val="left"/>
              <w:rPr/>
            </w:pPr>
            <w:r>
              <w:rPr>
                <w:spacing w:val="4"/>
              </w:rPr>
              <w:t>/s/ Stuart Duty</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4"/>
              </w:rPr>
            </w:pPr>
            <w:r>
              <w:rPr>
                <w:spacing w:val="4"/>
              </w:rPr>
              <w:t xml:space="preserve">Stuart Duty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303" w:type="dxa"/>
            <w:tcBorders/>
            <w:tcMar>
              <w:bottom w:w="0" w:type="dxa"/>
            </w:tcMar>
            <w:vAlign w:val="center"/>
          </w:tcPr>
          <w:p>
            <w:pPr>
              <w:pStyle w:val="TableContents"/>
              <w:bidi w:val="0"/>
              <w:spacing w:before="0" w:after="283"/>
              <w:jc w:val="left"/>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4" w:type="dxa"/>
            <w:tcBorders/>
            <w:tcMar>
              <w:bottom w:w="0" w:type="dxa"/>
            </w:tcMar>
            <w:vAlign w:val="center"/>
          </w:tcPr>
          <w:p>
            <w:pPr>
              <w:pStyle w:val="TableContents"/>
              <w:bidi w:val="0"/>
              <w:spacing w:before="0" w:after="0"/>
              <w:jc w:val="left"/>
              <w:rPr>
                <w:spacing w:val="4"/>
              </w:rPr>
            </w:pPr>
            <w:r>
              <w:rPr>
                <w:spacing w:val="4"/>
              </w:rPr>
              <w:t xml:space="preserve">May 13, 2026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519" w:type="dxa"/>
            <w:tcBorders/>
            <w:tcMar>
              <w:bottom w:w="0" w:type="dxa"/>
            </w:tcMar>
            <w:vAlign w:val="center"/>
          </w:tcPr>
          <w:p>
            <w:pPr>
              <w:pStyle w:val="TableContents"/>
              <w:bidi w:val="0"/>
              <w:spacing w:before="0" w:after="0"/>
              <w:jc w:val="left"/>
              <w:rPr/>
            </w:pPr>
            <w:r>
              <w:rPr>
                <w:spacing w:val="4"/>
              </w:rPr>
              <w:t>/s/ Seth Fischer</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4"/>
              </w:rPr>
            </w:pPr>
            <w:r>
              <w:rPr>
                <w:spacing w:val="4"/>
              </w:rPr>
              <w:t xml:space="preserve">Seth Fischer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303" w:type="dxa"/>
            <w:tcBorders/>
            <w:tcMar>
              <w:bottom w:w="0" w:type="dxa"/>
            </w:tcMar>
            <w:vAlign w:val="center"/>
          </w:tcPr>
          <w:p>
            <w:pPr>
              <w:pStyle w:val="TableContents"/>
              <w:bidi w:val="0"/>
              <w:spacing w:before="0" w:after="283"/>
              <w:jc w:val="left"/>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4" w:type="dxa"/>
            <w:tcBorders/>
            <w:tcMar>
              <w:bottom w:w="0" w:type="dxa"/>
            </w:tcMar>
            <w:vAlign w:val="center"/>
          </w:tcPr>
          <w:p>
            <w:pPr>
              <w:pStyle w:val="TableContents"/>
              <w:bidi w:val="0"/>
              <w:spacing w:before="0" w:after="0"/>
              <w:jc w:val="left"/>
              <w:rPr>
                <w:spacing w:val="4"/>
              </w:rPr>
            </w:pPr>
            <w:r>
              <w:rPr>
                <w:spacing w:val="4"/>
              </w:rPr>
              <w:t xml:space="preserve">May 13, 2026 </w:t>
            </w:r>
          </w:p>
        </w:tc>
        <w:tc>
          <w:tcPr>
            <w:tcW w:w="156"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1519" w:type="dxa"/>
            <w:tcBorders/>
            <w:tcMar>
              <w:bottom w:w="0" w:type="dxa"/>
            </w:tcMar>
            <w:vAlign w:val="center"/>
          </w:tcPr>
          <w:p>
            <w:pPr>
              <w:pStyle w:val="TableContents"/>
              <w:bidi w:val="0"/>
              <w:spacing w:before="0" w:after="0"/>
              <w:jc w:val="left"/>
              <w:rPr/>
            </w:pPr>
            <w:r>
              <w:rPr>
                <w:spacing w:val="4"/>
              </w:rPr>
              <w:t>/s/ Lisa M. Giles</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4"/>
              </w:rPr>
            </w:pPr>
            <w:r>
              <w:rPr>
                <w:spacing w:val="4"/>
              </w:rPr>
              <w:t xml:space="preserve">Lisa M. Giles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303" w:type="dxa"/>
            <w:tcBorders/>
            <w:tcMar>
              <w:bottom w:w="0" w:type="dxa"/>
            </w:tcMar>
            <w:vAlign w:val="center"/>
          </w:tcPr>
          <w:p>
            <w:pPr>
              <w:pStyle w:val="TableContents"/>
              <w:bidi w:val="0"/>
              <w:spacing w:before="0" w:after="283"/>
              <w:jc w:val="left"/>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4" w:type="dxa"/>
            <w:tcBorders/>
            <w:tcMar>
              <w:bottom w:w="0" w:type="dxa"/>
            </w:tcMar>
            <w:vAlign w:val="center"/>
          </w:tcPr>
          <w:p>
            <w:pPr>
              <w:pStyle w:val="TableContents"/>
              <w:bidi w:val="0"/>
              <w:spacing w:before="0" w:after="0"/>
              <w:jc w:val="left"/>
              <w:rPr>
                <w:spacing w:val="4"/>
              </w:rPr>
            </w:pPr>
            <w:r>
              <w:rPr>
                <w:spacing w:val="4"/>
              </w:rPr>
              <w:t xml:space="preserve">May 13, 2026 </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5468" w:type="dxa"/>
        <w:jc w:val="left"/>
        <w:tblInd w:w="1393" w:type="dxa"/>
        <w:tblLayout w:type="fixed"/>
        <w:tblCellMar>
          <w:top w:w="0" w:type="dxa"/>
          <w:left w:w="0" w:type="dxa"/>
          <w:bottom w:w="28" w:type="dxa"/>
          <w:right w:w="0" w:type="dxa"/>
        </w:tblCellMar>
      </w:tblPr>
      <w:tblGrid>
        <w:gridCol w:w="124"/>
        <w:gridCol w:w="2251"/>
        <w:gridCol w:w="109"/>
        <w:gridCol w:w="109"/>
        <w:gridCol w:w="974"/>
        <w:gridCol w:w="109"/>
        <w:gridCol w:w="109"/>
        <w:gridCol w:w="1529"/>
        <w:gridCol w:w="154"/>
      </w:tblGrid>
      <w:tr>
        <w:trPr/>
        <w:tc>
          <w:tcPr>
            <w:tcW w:w="124" w:type="dxa"/>
            <w:tcBorders>
              <w:bottom w:val="single" w:sz="2" w:space="0" w:color="FFFFFF"/>
            </w:tcBorders>
            <w:vAlign w:val="center"/>
          </w:tcPr>
          <w:p>
            <w:pPr>
              <w:pStyle w:val="TableContents"/>
              <w:bidi w:val="0"/>
              <w:spacing w:before="0" w:after="283"/>
              <w:jc w:val="left"/>
              <w:rPr/>
            </w:pPr>
            <w:r>
              <w:rPr/>
              <w:t>​</w:t>
            </w:r>
          </w:p>
        </w:tc>
        <w:tc>
          <w:tcPr>
            <w:tcW w:w="2251"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Signature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74"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Title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29"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Date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251" w:type="dxa"/>
            <w:tcBorders/>
            <w:tcMar>
              <w:bottom w:w="0" w:type="dxa"/>
            </w:tcMar>
            <w:vAlign w:val="center"/>
          </w:tcPr>
          <w:p>
            <w:pPr>
              <w:pStyle w:val="TableContents"/>
              <w:bidi w:val="0"/>
              <w:spacing w:before="0" w:after="0"/>
              <w:jc w:val="left"/>
              <w:rPr/>
            </w:pPr>
            <w:r>
              <w:rPr>
                <w:spacing w:val="4"/>
              </w:rPr>
              <w:t>/s/ Joseph Papa</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4"/>
              </w:rPr>
            </w:pPr>
            <w:r>
              <w:rPr>
                <w:spacing w:val="4"/>
              </w:rPr>
              <w:t xml:space="preserve">Joseph Papa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4" w:type="dxa"/>
            <w:tcBorders/>
            <w:tcMar>
              <w:bottom w:w="0" w:type="dxa"/>
            </w:tcMar>
            <w:vAlign w:val="center"/>
          </w:tcPr>
          <w:p>
            <w:pPr>
              <w:pStyle w:val="TableContents"/>
              <w:bidi w:val="0"/>
              <w:spacing w:before="0" w:after="283"/>
              <w:jc w:val="left"/>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29" w:type="dxa"/>
            <w:tcBorders/>
            <w:tcMar>
              <w:bottom w:w="0" w:type="dxa"/>
            </w:tcMar>
            <w:vAlign w:val="center"/>
          </w:tcPr>
          <w:p>
            <w:pPr>
              <w:pStyle w:val="TableContents"/>
              <w:bidi w:val="0"/>
              <w:spacing w:before="0" w:after="0"/>
              <w:jc w:val="both"/>
              <w:rPr>
                <w:spacing w:val="4"/>
              </w:rPr>
            </w:pPr>
            <w:r>
              <w:rPr>
                <w:spacing w:val="4"/>
              </w:rPr>
              <w:t xml:space="preserve">May 13, 2026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251" w:type="dxa"/>
            <w:tcBorders/>
            <w:tcMar>
              <w:top w:w="28" w:type="dxa"/>
              <w:left w:w="28" w:type="dxa"/>
              <w:right w:w="28" w:type="dxa"/>
            </w:tcMar>
            <w:vAlign w:val="center"/>
          </w:tcPr>
          <w:p>
            <w:pPr>
              <w:pStyle w:val="TableContents"/>
              <w:bidi w:val="0"/>
              <w:spacing w:before="0" w:after="0"/>
              <w:jc w:val="left"/>
              <w:rPr/>
            </w:pPr>
            <w:r>
              <w:rPr>
                <w:spacing w:val="4"/>
              </w:rPr>
              <w:t>/s/ Andrew Saik</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4"/>
              </w:rPr>
            </w:pPr>
            <w:r>
              <w:rPr>
                <w:spacing w:val="4"/>
              </w:rPr>
              <w:t xml:space="preserve">Andrew Saik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4" w:type="dxa"/>
            <w:tcBorders/>
            <w:tcMar>
              <w:top w:w="28" w:type="dxa"/>
              <w:left w:w="28" w:type="dxa"/>
              <w:right w:w="28" w:type="dxa"/>
            </w:tcMar>
            <w:vAlign w:val="center"/>
          </w:tcPr>
          <w:p>
            <w:pPr>
              <w:pStyle w:val="TableContents"/>
              <w:bidi w:val="0"/>
              <w:spacing w:before="0" w:after="283"/>
              <w:jc w:val="left"/>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29" w:type="dxa"/>
            <w:tcBorders/>
            <w:tcMar>
              <w:top w:w="28" w:type="dxa"/>
              <w:left w:w="28" w:type="dxa"/>
              <w:right w:w="28" w:type="dxa"/>
            </w:tcMar>
            <w:vAlign w:val="center"/>
          </w:tcPr>
          <w:p>
            <w:pPr>
              <w:pStyle w:val="TableContents"/>
              <w:bidi w:val="0"/>
              <w:spacing w:before="0" w:after="0"/>
              <w:jc w:val="both"/>
              <w:rPr>
                <w:spacing w:val="4"/>
              </w:rPr>
            </w:pPr>
            <w:r>
              <w:rPr>
                <w:spacing w:val="4"/>
              </w:rPr>
              <w:t xml:space="preserve">May 13, 2026 </w:t>
            </w:r>
          </w:p>
        </w:tc>
        <w:tc>
          <w:tcPr>
            <w:tcW w:w="154"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251" w:type="dxa"/>
            <w:tcBorders/>
            <w:tcMar>
              <w:top w:w="28" w:type="dxa"/>
              <w:left w:w="28" w:type="dxa"/>
              <w:right w:w="28" w:type="dxa"/>
            </w:tcMar>
            <w:vAlign w:val="center"/>
          </w:tcPr>
          <w:p>
            <w:pPr>
              <w:pStyle w:val="TableContents"/>
              <w:bidi w:val="0"/>
              <w:spacing w:before="0" w:after="0"/>
              <w:jc w:val="left"/>
              <w:rPr/>
            </w:pPr>
            <w:r>
              <w:rPr>
                <w:spacing w:val="4"/>
              </w:rPr>
              <w:t>/s/ Michael Tomsicek</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spacing w:val="4"/>
              </w:rPr>
            </w:pPr>
            <w:r>
              <w:rPr>
                <w:spacing w:val="4"/>
              </w:rPr>
              <w:t xml:space="preserve">Michael Tomsicek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74" w:type="dxa"/>
            <w:tcBorders/>
            <w:tcMar>
              <w:top w:w="28" w:type="dxa"/>
              <w:left w:w="28" w:type="dxa"/>
              <w:right w:w="28" w:type="dxa"/>
            </w:tcMar>
            <w:vAlign w:val="center"/>
          </w:tcPr>
          <w:p>
            <w:pPr>
              <w:pStyle w:val="TableContents"/>
              <w:bidi w:val="0"/>
              <w:spacing w:before="0" w:after="283"/>
              <w:jc w:val="left"/>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29" w:type="dxa"/>
            <w:tcBorders/>
            <w:tcMar>
              <w:top w:w="28" w:type="dxa"/>
              <w:left w:w="28" w:type="dxa"/>
              <w:right w:w="28" w:type="dxa"/>
            </w:tcMar>
            <w:vAlign w:val="center"/>
          </w:tcPr>
          <w:p>
            <w:pPr>
              <w:pStyle w:val="TableContents"/>
              <w:bidi w:val="0"/>
              <w:spacing w:before="0" w:after="0"/>
              <w:jc w:val="both"/>
              <w:rPr/>
            </w:pPr>
            <w:r>
              <w:rPr>
                <w:spacing w:val="4"/>
              </w:rPr>
              <w:t>May 13, 2026</w:t>
            </w:r>
            <w:r>
              <w:rPr/>
              <w:t xml:space="preserve"> </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6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SIGNATURE OF AUTHORIZED U.S. REPRESENTATIVE OF THE REGISTRANT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Securities Act, the undersigned, the duly authorized representative in the United States of Milestone Pharmaceuticals Inc. has signed this registration statement or amendment thereto on the 13th day of May, 2026. </w:t>
      </w:r>
    </w:p>
    <w:tbl>
      <w:tblPr>
        <w:tblW w:w="5201" w:type="dxa"/>
        <w:jc w:val="left"/>
        <w:tblInd w:w="1393" w:type="dxa"/>
        <w:tblLayout w:type="fixed"/>
        <w:tblCellMar>
          <w:top w:w="0" w:type="dxa"/>
          <w:left w:w="0" w:type="dxa"/>
          <w:bottom w:w="0" w:type="dxa"/>
          <w:right w:w="0" w:type="dxa"/>
        </w:tblCellMar>
      </w:tblPr>
      <w:tblGrid>
        <w:gridCol w:w="124"/>
        <w:gridCol w:w="109"/>
        <w:gridCol w:w="109"/>
        <w:gridCol w:w="109"/>
        <w:gridCol w:w="515"/>
        <w:gridCol w:w="109"/>
        <w:gridCol w:w="109"/>
        <w:gridCol w:w="3863"/>
        <w:gridCol w:w="154"/>
      </w:tblGrid>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4596" w:type="dxa"/>
            <w:gridSpan w:val="4"/>
            <w:tcBorders/>
            <w:vAlign w:val="center"/>
          </w:tcPr>
          <w:p>
            <w:pPr>
              <w:pStyle w:val="TableContents"/>
              <w:bidi w:val="0"/>
              <w:spacing w:before="0" w:after="283"/>
              <w:jc w:val="left"/>
              <w:rPr/>
            </w:pPr>
            <w:r>
              <w:rPr>
                <w:spacing w:val="-4"/>
              </w:rPr>
              <w:t>MILESTONE PHARMACEUTICALS INC.</w:t>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515" w:type="dxa"/>
            <w:tcBorders/>
            <w:vAlign w:val="center"/>
          </w:tcPr>
          <w:p>
            <w:pPr>
              <w:pStyle w:val="TableContents"/>
              <w:bidi w:val="0"/>
              <w:spacing w:before="0" w:after="283"/>
              <w:jc w:val="left"/>
              <w:rPr/>
            </w:pPr>
            <w:r>
              <w:rPr>
                <w:spacing w:val="4"/>
              </w:rPr>
              <w:t>By:</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863" w:type="dxa"/>
            <w:tcBorders/>
            <w:vAlign w:val="center"/>
          </w:tcPr>
          <w:p>
            <w:pPr>
              <w:pStyle w:val="TableContents"/>
              <w:bidi w:val="0"/>
              <w:spacing w:before="0" w:after="0"/>
              <w:jc w:val="left"/>
              <w:rPr/>
            </w:pPr>
            <w:r>
              <w:rPr>
                <w:spacing w:val="4"/>
              </w:rPr>
              <w:t>/s/ Joseph Oliveto</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pPr>
            <w:r>
              <w:rPr>
                <w:spacing w:val="4"/>
              </w:rPr>
              <w:t xml:space="preserve">Joseph Oliveto </w:t>
            </w:r>
            <w:r>
              <w:rPr/>
              <w:br/>
            </w:r>
            <w:r>
              <w:rPr>
                <w:i/>
                <w:spacing w:val="4"/>
              </w:rPr>
              <w:t>President and Chief Executive Officer</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bookmarkStart w:id="33" w:name="tm2614252d2_ex4-3.htm"/>
      <w:bookmarkStart w:id="34" w:name="kstm2614252d2_ex43"/>
      <w:bookmarkEnd w:id="33"/>
      <w:bookmarkEnd w:id="34"/>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4.3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Milestone Pharmaceuticals Inc</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Iss</w:t>
      </w:r>
      <w:r>
        <w:rPr>
          <w:rFonts w:ascii="Times New Roman;Times;Serif" w:hAnsi="Times New Roman;Times;Serif"/>
          <w:b w:val="false"/>
          <w:i w:val="false"/>
          <w:caps w:val="false"/>
          <w:smallCaps w:val="false"/>
          <w:sz w:val="20"/>
        </w:rPr>
        <w:t>u</w:t>
      </w:r>
      <w:r>
        <w:rPr>
          <w:rFonts w:ascii="Times New Roman;Times;Serif" w:hAnsi="Times New Roman;Times;Serif"/>
          <w:b/>
          <w:i w:val="false"/>
          <w:caps w:val="false"/>
          <w:smallCaps w:val="false"/>
          <w:sz w:val="20"/>
        </w:rPr>
        <w: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[TRUSTEE],</w:t>
        <w:br/>
        <w:t>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Dated as of [●], 20__</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Debt Securities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Table Of Contents</w:t>
      </w:r>
    </w:p>
    <w:p>
      <w:pPr>
        <w:pStyle w:val="TextBody"/>
        <w:bidi w:val="0"/>
        <w:spacing w:before="0" w:after="0"/>
        <w:ind w:left="0" w:right="0" w:hanging="0"/>
        <w:jc w:val="left"/>
        <w:rPr>
          <w:caps w:val="false"/>
          <w:smallCaps w:val="false"/>
        </w:rPr>
      </w:pPr>
      <w:r>
        <w:rPr>
          <w:caps w:val="false"/>
          <w:smallCaps w:val="false"/>
        </w:rPr>
        <w:t> </w:t>
      </w:r>
    </w:p>
    <w:tbl>
      <w:tblPr>
        <w:tblW w:w="9833" w:type="dxa"/>
        <w:jc w:val="left"/>
        <w:tblInd w:w="0" w:type="dxa"/>
        <w:tblLayout w:type="fixed"/>
        <w:tblCellMar>
          <w:top w:w="0" w:type="dxa"/>
          <w:left w:w="0" w:type="dxa"/>
          <w:bottom w:w="0" w:type="dxa"/>
          <w:right w:w="0" w:type="dxa"/>
        </w:tblCellMar>
      </w:tblPr>
      <w:tblGrid>
        <w:gridCol w:w="125"/>
        <w:gridCol w:w="1733"/>
        <w:gridCol w:w="100"/>
        <w:gridCol w:w="7360"/>
        <w:gridCol w:w="515"/>
      </w:tblGrid>
      <w:tr>
        <w:trPr/>
        <w:tc>
          <w:tcPr>
            <w:tcW w:w="1858" w:type="dxa"/>
            <w:gridSpan w:val="2"/>
            <w:tcBorders/>
            <w:vAlign w:val="center"/>
          </w:tcPr>
          <w:p>
            <w:pPr>
              <w:pStyle w:val="TableContents"/>
              <w:bidi w:val="0"/>
              <w:spacing w:before="0" w:after="283"/>
              <w:jc w:val="left"/>
              <w:rPr/>
            </w:pPr>
            <w:r>
              <w:rPr/>
              <w:t> </w:t>
            </w:r>
          </w:p>
        </w:tc>
        <w:tc>
          <w:tcPr>
            <w:tcW w:w="7460" w:type="dxa"/>
            <w:gridSpan w:val="2"/>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rFonts w:ascii="Times New Roman;Times;Serif" w:hAnsi="Times New Roman;Times;Serif"/>
                <w:b/>
                <w:smallCaps/>
                <w:sz w:val="20"/>
              </w:rPr>
            </w:pPr>
            <w:r>
              <w:rPr>
                <w:rFonts w:ascii="Times New Roman;Times;Serif" w:hAnsi="Times New Roman;Times;Serif"/>
                <w:b/>
                <w:smallCaps/>
                <w:sz w:val="20"/>
              </w:rPr>
              <w:t>Page</w:t>
            </w:r>
          </w:p>
        </w:tc>
      </w:tr>
      <w:tr>
        <w:trPr/>
        <w:tc>
          <w:tcPr>
            <w:tcW w:w="1858" w:type="dxa"/>
            <w:gridSpan w:val="2"/>
            <w:tcBorders/>
            <w:vAlign w:val="center"/>
          </w:tcPr>
          <w:p>
            <w:pPr>
              <w:pStyle w:val="TableContents"/>
              <w:bidi w:val="0"/>
              <w:spacing w:before="0" w:after="283"/>
              <w:jc w:val="left"/>
              <w:rPr/>
            </w:pPr>
            <w:r>
              <w:rPr/>
              <w:t> </w:t>
            </w:r>
          </w:p>
        </w:tc>
        <w:tc>
          <w:tcPr>
            <w:tcW w:w="7460" w:type="dxa"/>
            <w:gridSpan w:val="2"/>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 </w:t>
            </w:r>
          </w:p>
        </w:tc>
      </w:tr>
      <w:tr>
        <w:trPr/>
        <w:tc>
          <w:tcPr>
            <w:tcW w:w="9318" w:type="dxa"/>
            <w:gridSpan w:val="4"/>
            <w:tcBorders/>
            <w:vAlign w:val="center"/>
          </w:tcPr>
          <w:p>
            <w:pPr>
              <w:pStyle w:val="TableContents"/>
              <w:bidi w:val="0"/>
              <w:spacing w:before="0" w:after="283"/>
              <w:jc w:val="left"/>
              <w:rPr/>
            </w:pPr>
            <w:r>
              <w:rPr>
                <w:rFonts w:ascii="Times New Roman;Times;Serif" w:hAnsi="Times New Roman;Times;Serif"/>
                <w:caps/>
                <w:sz w:val="20"/>
              </w:rPr>
              <w:t>article 1</w:t>
            </w:r>
            <w:r>
              <w:rPr/>
              <w:t xml:space="preserve"> </w:t>
            </w:r>
            <w:r>
              <w:rPr>
                <w:rFonts w:ascii="Times New Roman;Times;Serif" w:hAnsi="Times New Roman;Times;Serif"/>
                <w:caps/>
                <w:sz w:val="20"/>
              </w:rPr>
              <w:t>DEFINITIONS</w:t>
            </w:r>
          </w:p>
        </w:tc>
        <w:tc>
          <w:tcPr>
            <w:tcW w:w="515" w:type="dxa"/>
            <w:tcBorders/>
            <w:vAlign w:val="center"/>
          </w:tcPr>
          <w:p>
            <w:pPr>
              <w:pStyle w:val="TableContents"/>
              <w:bidi w:val="0"/>
              <w:spacing w:before="0" w:after="283"/>
              <w:jc w:val="right"/>
              <w:rPr>
                <w:rFonts w:ascii="Times New Roman;Times;Serif" w:hAnsi="Times New Roman;Times;Serif"/>
                <w:caps/>
                <w:sz w:val="20"/>
              </w:rPr>
            </w:pPr>
            <w:r>
              <w:rPr>
                <w:rFonts w:ascii="Times New Roman;Times;Serif" w:hAnsi="Times New Roman;Times;Serif"/>
                <w:caps/>
                <w:sz w:val="20"/>
              </w:rPr>
              <w:t>1</w:t>
            </w:r>
          </w:p>
        </w:tc>
      </w:tr>
      <w:tr>
        <w:trPr/>
        <w:tc>
          <w:tcPr>
            <w:tcW w:w="1858" w:type="dxa"/>
            <w:gridSpan w:val="2"/>
            <w:tcBorders/>
            <w:vAlign w:val="center"/>
          </w:tcPr>
          <w:p>
            <w:pPr>
              <w:pStyle w:val="TableContents"/>
              <w:bidi w:val="0"/>
              <w:spacing w:before="0" w:after="283"/>
              <w:jc w:val="left"/>
              <w:rPr/>
            </w:pPr>
            <w:r>
              <w:rPr/>
              <w:t> </w:t>
            </w:r>
          </w:p>
        </w:tc>
        <w:tc>
          <w:tcPr>
            <w:tcW w:w="7460" w:type="dxa"/>
            <w:gridSpan w:val="2"/>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 </w:t>
            </w:r>
          </w:p>
        </w:tc>
      </w:tr>
      <w:tr>
        <w:trPr/>
        <w:tc>
          <w:tcPr>
            <w:tcW w:w="125" w:type="dxa"/>
            <w:tcBorders/>
            <w:vAlign w:val="center"/>
          </w:tcPr>
          <w:p>
            <w:pPr>
              <w:pStyle w:val="TableContents"/>
              <w:bidi w:val="0"/>
              <w:spacing w:before="0" w:after="283"/>
              <w:jc w:val="left"/>
              <w:rPr/>
            </w:pPr>
            <w:r>
              <w:rPr/>
              <w:t> </w:t>
            </w:r>
          </w:p>
        </w:tc>
        <w:tc>
          <w:tcPr>
            <w:tcW w:w="17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1.01</w:t>
            </w:r>
          </w:p>
        </w:tc>
        <w:tc>
          <w:tcPr>
            <w:tcW w:w="100" w:type="dxa"/>
            <w:tcBorders/>
            <w:vAlign w:val="center"/>
          </w:tcPr>
          <w:p>
            <w:pPr>
              <w:pStyle w:val="TableContents"/>
              <w:bidi w:val="0"/>
              <w:spacing w:before="0" w:after="283"/>
              <w:jc w:val="left"/>
              <w:rPr/>
            </w:pPr>
            <w:r>
              <w:rPr/>
              <w:t> </w:t>
            </w:r>
          </w:p>
        </w:tc>
        <w:tc>
          <w:tcPr>
            <w:tcW w:w="73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Definitions of Terms</w:t>
            </w:r>
          </w:p>
        </w:tc>
        <w:tc>
          <w:tcPr>
            <w:tcW w:w="51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r>
      <w:tr>
        <w:trPr/>
        <w:tc>
          <w:tcPr>
            <w:tcW w:w="125" w:type="dxa"/>
            <w:tcBorders/>
            <w:vAlign w:val="center"/>
          </w:tcPr>
          <w:p>
            <w:pPr>
              <w:pStyle w:val="TableContents"/>
              <w:bidi w:val="0"/>
              <w:spacing w:before="0" w:after="283"/>
              <w:jc w:val="left"/>
              <w:rPr/>
            </w:pPr>
            <w:r>
              <w:rPr/>
              <w:t> </w:t>
            </w:r>
          </w:p>
        </w:tc>
        <w:tc>
          <w:tcPr>
            <w:tcW w:w="1733"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73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 </w:t>
            </w:r>
          </w:p>
        </w:tc>
      </w:tr>
      <w:tr>
        <w:trPr/>
        <w:tc>
          <w:tcPr>
            <w:tcW w:w="9318" w:type="dxa"/>
            <w:gridSpan w:val="4"/>
            <w:tcBorders/>
            <w:vAlign w:val="center"/>
          </w:tcPr>
          <w:p>
            <w:pPr>
              <w:pStyle w:val="TableContents"/>
              <w:bidi w:val="0"/>
              <w:spacing w:before="0" w:after="283"/>
              <w:jc w:val="left"/>
              <w:rPr/>
            </w:pPr>
            <w:r>
              <w:rPr>
                <w:rFonts w:ascii="Times New Roman;Times;Serif" w:hAnsi="Times New Roman;Times;Serif"/>
                <w:caps/>
                <w:sz w:val="20"/>
              </w:rPr>
              <w:t>article 2</w:t>
            </w:r>
            <w:r>
              <w:rPr/>
              <w:t xml:space="preserve"> </w:t>
            </w:r>
            <w:r>
              <w:rPr>
                <w:rFonts w:ascii="Times New Roman;Times;Serif" w:hAnsi="Times New Roman;Times;Serif"/>
                <w:caps/>
                <w:sz w:val="20"/>
              </w:rPr>
              <w:t>ISSUE, DESCRIPTION, TERMS, EXECUTION, REGISTRATION AND EXCHANGE OF SECURITIES</w:t>
            </w:r>
          </w:p>
        </w:tc>
        <w:tc>
          <w:tcPr>
            <w:tcW w:w="515" w:type="dxa"/>
            <w:tcBorders/>
            <w:vAlign w:val="center"/>
          </w:tcPr>
          <w:p>
            <w:pPr>
              <w:pStyle w:val="TableContents"/>
              <w:bidi w:val="0"/>
              <w:spacing w:before="0" w:after="283"/>
              <w:jc w:val="right"/>
              <w:rPr>
                <w:rFonts w:ascii="Times New Roman;Times;Serif" w:hAnsi="Times New Roman;Times;Serif"/>
                <w:caps/>
                <w:sz w:val="20"/>
              </w:rPr>
            </w:pPr>
            <w:r>
              <w:rPr>
                <w:rFonts w:ascii="Times New Roman;Times;Serif" w:hAnsi="Times New Roman;Times;Serif"/>
                <w:caps/>
                <w:sz w:val="20"/>
              </w:rPr>
              <w:t>4</w:t>
            </w:r>
          </w:p>
        </w:tc>
      </w:tr>
      <w:tr>
        <w:trPr/>
        <w:tc>
          <w:tcPr>
            <w:tcW w:w="1858" w:type="dxa"/>
            <w:gridSpan w:val="2"/>
            <w:tcBorders/>
            <w:vAlign w:val="center"/>
          </w:tcPr>
          <w:p>
            <w:pPr>
              <w:pStyle w:val="TableContents"/>
              <w:bidi w:val="0"/>
              <w:spacing w:before="0" w:after="283"/>
              <w:jc w:val="left"/>
              <w:rPr/>
            </w:pPr>
            <w:r>
              <w:rPr/>
              <w:t> </w:t>
            </w:r>
          </w:p>
        </w:tc>
        <w:tc>
          <w:tcPr>
            <w:tcW w:w="7460" w:type="dxa"/>
            <w:gridSpan w:val="2"/>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 </w:t>
            </w:r>
          </w:p>
        </w:tc>
      </w:tr>
      <w:tr>
        <w:trPr/>
        <w:tc>
          <w:tcPr>
            <w:tcW w:w="125" w:type="dxa"/>
            <w:tcBorders/>
            <w:vAlign w:val="center"/>
          </w:tcPr>
          <w:p>
            <w:pPr>
              <w:pStyle w:val="TableContents"/>
              <w:bidi w:val="0"/>
              <w:spacing w:before="0" w:after="283"/>
              <w:jc w:val="left"/>
              <w:rPr/>
            </w:pPr>
            <w:r>
              <w:rPr/>
              <w:t> </w:t>
            </w:r>
          </w:p>
        </w:tc>
        <w:tc>
          <w:tcPr>
            <w:tcW w:w="17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2.01</w:t>
            </w:r>
          </w:p>
        </w:tc>
        <w:tc>
          <w:tcPr>
            <w:tcW w:w="100" w:type="dxa"/>
            <w:tcBorders/>
            <w:vAlign w:val="center"/>
          </w:tcPr>
          <w:p>
            <w:pPr>
              <w:pStyle w:val="TableContents"/>
              <w:bidi w:val="0"/>
              <w:spacing w:before="0" w:after="283"/>
              <w:jc w:val="left"/>
              <w:rPr/>
            </w:pPr>
            <w:r>
              <w:rPr/>
              <w:t> </w:t>
            </w:r>
          </w:p>
        </w:tc>
        <w:tc>
          <w:tcPr>
            <w:tcW w:w="73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Designation and Terms of Securities</w:t>
            </w:r>
          </w:p>
        </w:tc>
        <w:tc>
          <w:tcPr>
            <w:tcW w:w="51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w:t>
            </w:r>
          </w:p>
        </w:tc>
      </w:tr>
      <w:tr>
        <w:trPr/>
        <w:tc>
          <w:tcPr>
            <w:tcW w:w="125" w:type="dxa"/>
            <w:tcBorders/>
            <w:vAlign w:val="center"/>
          </w:tcPr>
          <w:p>
            <w:pPr>
              <w:pStyle w:val="TableContents"/>
              <w:bidi w:val="0"/>
              <w:spacing w:before="0" w:after="283"/>
              <w:jc w:val="left"/>
              <w:rPr/>
            </w:pPr>
            <w:r>
              <w:rPr/>
              <w:t> </w:t>
            </w:r>
          </w:p>
        </w:tc>
        <w:tc>
          <w:tcPr>
            <w:tcW w:w="17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2.02</w:t>
            </w:r>
          </w:p>
        </w:tc>
        <w:tc>
          <w:tcPr>
            <w:tcW w:w="100" w:type="dxa"/>
            <w:tcBorders/>
            <w:vAlign w:val="center"/>
          </w:tcPr>
          <w:p>
            <w:pPr>
              <w:pStyle w:val="TableContents"/>
              <w:bidi w:val="0"/>
              <w:spacing w:before="0" w:after="283"/>
              <w:jc w:val="left"/>
              <w:rPr/>
            </w:pPr>
            <w:r>
              <w:rPr/>
              <w:t> </w:t>
            </w:r>
          </w:p>
        </w:tc>
        <w:tc>
          <w:tcPr>
            <w:tcW w:w="73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Form of Securities and Trustee’s Certificate</w:t>
            </w:r>
          </w:p>
        </w:tc>
        <w:tc>
          <w:tcPr>
            <w:tcW w:w="51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w:t>
            </w:r>
          </w:p>
        </w:tc>
      </w:tr>
      <w:tr>
        <w:trPr/>
        <w:tc>
          <w:tcPr>
            <w:tcW w:w="125" w:type="dxa"/>
            <w:tcBorders/>
            <w:vAlign w:val="center"/>
          </w:tcPr>
          <w:p>
            <w:pPr>
              <w:pStyle w:val="TableContents"/>
              <w:bidi w:val="0"/>
              <w:spacing w:before="0" w:after="283"/>
              <w:jc w:val="left"/>
              <w:rPr/>
            </w:pPr>
            <w:r>
              <w:rPr/>
              <w:t> </w:t>
            </w:r>
          </w:p>
        </w:tc>
        <w:tc>
          <w:tcPr>
            <w:tcW w:w="17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2.03</w:t>
            </w:r>
          </w:p>
        </w:tc>
        <w:tc>
          <w:tcPr>
            <w:tcW w:w="100" w:type="dxa"/>
            <w:tcBorders/>
            <w:vAlign w:val="center"/>
          </w:tcPr>
          <w:p>
            <w:pPr>
              <w:pStyle w:val="TableContents"/>
              <w:bidi w:val="0"/>
              <w:spacing w:before="0" w:after="283"/>
              <w:jc w:val="left"/>
              <w:rPr/>
            </w:pPr>
            <w:r>
              <w:rPr/>
              <w:t> </w:t>
            </w:r>
          </w:p>
        </w:tc>
        <w:tc>
          <w:tcPr>
            <w:tcW w:w="73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Denominations: Provisions for Payment</w:t>
            </w:r>
          </w:p>
        </w:tc>
        <w:tc>
          <w:tcPr>
            <w:tcW w:w="51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w:t>
            </w:r>
          </w:p>
        </w:tc>
      </w:tr>
      <w:tr>
        <w:trPr/>
        <w:tc>
          <w:tcPr>
            <w:tcW w:w="125" w:type="dxa"/>
            <w:tcBorders/>
            <w:vAlign w:val="center"/>
          </w:tcPr>
          <w:p>
            <w:pPr>
              <w:pStyle w:val="TableContents"/>
              <w:bidi w:val="0"/>
              <w:spacing w:before="0" w:after="283"/>
              <w:jc w:val="left"/>
              <w:rPr/>
            </w:pPr>
            <w:r>
              <w:rPr/>
              <w:t> </w:t>
            </w:r>
          </w:p>
        </w:tc>
        <w:tc>
          <w:tcPr>
            <w:tcW w:w="17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2.04</w:t>
            </w:r>
          </w:p>
        </w:tc>
        <w:tc>
          <w:tcPr>
            <w:tcW w:w="100" w:type="dxa"/>
            <w:tcBorders/>
            <w:vAlign w:val="center"/>
          </w:tcPr>
          <w:p>
            <w:pPr>
              <w:pStyle w:val="TableContents"/>
              <w:bidi w:val="0"/>
              <w:spacing w:before="0" w:after="283"/>
              <w:jc w:val="left"/>
              <w:rPr/>
            </w:pPr>
            <w:r>
              <w:rPr/>
              <w:t> </w:t>
            </w:r>
          </w:p>
        </w:tc>
        <w:tc>
          <w:tcPr>
            <w:tcW w:w="73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Execution and Authentications</w:t>
            </w:r>
          </w:p>
        </w:tc>
        <w:tc>
          <w:tcPr>
            <w:tcW w:w="51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w:t>
            </w:r>
          </w:p>
        </w:tc>
      </w:tr>
      <w:tr>
        <w:trPr/>
        <w:tc>
          <w:tcPr>
            <w:tcW w:w="125" w:type="dxa"/>
            <w:tcBorders/>
            <w:vAlign w:val="center"/>
          </w:tcPr>
          <w:p>
            <w:pPr>
              <w:pStyle w:val="TableContents"/>
              <w:bidi w:val="0"/>
              <w:spacing w:before="0" w:after="283"/>
              <w:jc w:val="left"/>
              <w:rPr/>
            </w:pPr>
            <w:r>
              <w:rPr/>
              <w:t> </w:t>
            </w:r>
          </w:p>
        </w:tc>
        <w:tc>
          <w:tcPr>
            <w:tcW w:w="17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2.05</w:t>
            </w:r>
          </w:p>
        </w:tc>
        <w:tc>
          <w:tcPr>
            <w:tcW w:w="100" w:type="dxa"/>
            <w:tcBorders/>
            <w:vAlign w:val="center"/>
          </w:tcPr>
          <w:p>
            <w:pPr>
              <w:pStyle w:val="TableContents"/>
              <w:bidi w:val="0"/>
              <w:spacing w:before="0" w:after="283"/>
              <w:jc w:val="left"/>
              <w:rPr/>
            </w:pPr>
            <w:r>
              <w:rPr/>
              <w:t> </w:t>
            </w:r>
          </w:p>
        </w:tc>
        <w:tc>
          <w:tcPr>
            <w:tcW w:w="73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Registration of Transfer and Exchange</w:t>
            </w:r>
          </w:p>
        </w:tc>
        <w:tc>
          <w:tcPr>
            <w:tcW w:w="51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w:t>
            </w:r>
          </w:p>
        </w:tc>
      </w:tr>
      <w:tr>
        <w:trPr/>
        <w:tc>
          <w:tcPr>
            <w:tcW w:w="125" w:type="dxa"/>
            <w:tcBorders/>
            <w:vAlign w:val="center"/>
          </w:tcPr>
          <w:p>
            <w:pPr>
              <w:pStyle w:val="TableContents"/>
              <w:bidi w:val="0"/>
              <w:spacing w:before="0" w:after="283"/>
              <w:jc w:val="left"/>
              <w:rPr/>
            </w:pPr>
            <w:r>
              <w:rPr/>
              <w:t> </w:t>
            </w:r>
          </w:p>
        </w:tc>
        <w:tc>
          <w:tcPr>
            <w:tcW w:w="17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2.06</w:t>
            </w:r>
          </w:p>
        </w:tc>
        <w:tc>
          <w:tcPr>
            <w:tcW w:w="100" w:type="dxa"/>
            <w:tcBorders/>
            <w:vAlign w:val="center"/>
          </w:tcPr>
          <w:p>
            <w:pPr>
              <w:pStyle w:val="TableContents"/>
              <w:bidi w:val="0"/>
              <w:spacing w:before="0" w:after="283"/>
              <w:jc w:val="left"/>
              <w:rPr/>
            </w:pPr>
            <w:r>
              <w:rPr/>
              <w:t> </w:t>
            </w:r>
          </w:p>
        </w:tc>
        <w:tc>
          <w:tcPr>
            <w:tcW w:w="73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Temporary Securities</w:t>
            </w:r>
          </w:p>
        </w:tc>
        <w:tc>
          <w:tcPr>
            <w:tcW w:w="51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w:t>
            </w:r>
          </w:p>
        </w:tc>
      </w:tr>
      <w:tr>
        <w:trPr/>
        <w:tc>
          <w:tcPr>
            <w:tcW w:w="125" w:type="dxa"/>
            <w:tcBorders/>
            <w:vAlign w:val="center"/>
          </w:tcPr>
          <w:p>
            <w:pPr>
              <w:pStyle w:val="TableContents"/>
              <w:bidi w:val="0"/>
              <w:spacing w:before="0" w:after="283"/>
              <w:jc w:val="left"/>
              <w:rPr/>
            </w:pPr>
            <w:r>
              <w:rPr/>
              <w:t> </w:t>
            </w:r>
          </w:p>
        </w:tc>
        <w:tc>
          <w:tcPr>
            <w:tcW w:w="17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2.07</w:t>
            </w:r>
          </w:p>
        </w:tc>
        <w:tc>
          <w:tcPr>
            <w:tcW w:w="100" w:type="dxa"/>
            <w:tcBorders/>
            <w:vAlign w:val="center"/>
          </w:tcPr>
          <w:p>
            <w:pPr>
              <w:pStyle w:val="TableContents"/>
              <w:bidi w:val="0"/>
              <w:spacing w:before="0" w:after="283"/>
              <w:jc w:val="left"/>
              <w:rPr/>
            </w:pPr>
            <w:r>
              <w:rPr/>
              <w:t> </w:t>
            </w:r>
          </w:p>
        </w:tc>
        <w:tc>
          <w:tcPr>
            <w:tcW w:w="73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Mutilated, Destroyed, Lost or Stolen Securities</w:t>
            </w:r>
          </w:p>
        </w:tc>
        <w:tc>
          <w:tcPr>
            <w:tcW w:w="51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w:t>
            </w:r>
          </w:p>
        </w:tc>
      </w:tr>
      <w:tr>
        <w:trPr/>
        <w:tc>
          <w:tcPr>
            <w:tcW w:w="125" w:type="dxa"/>
            <w:tcBorders/>
            <w:vAlign w:val="center"/>
          </w:tcPr>
          <w:p>
            <w:pPr>
              <w:pStyle w:val="TableContents"/>
              <w:bidi w:val="0"/>
              <w:spacing w:before="0" w:after="283"/>
              <w:jc w:val="left"/>
              <w:rPr/>
            </w:pPr>
            <w:r>
              <w:rPr/>
              <w:t> </w:t>
            </w:r>
          </w:p>
        </w:tc>
        <w:tc>
          <w:tcPr>
            <w:tcW w:w="17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2.08</w:t>
            </w:r>
          </w:p>
        </w:tc>
        <w:tc>
          <w:tcPr>
            <w:tcW w:w="100" w:type="dxa"/>
            <w:tcBorders/>
            <w:vAlign w:val="center"/>
          </w:tcPr>
          <w:p>
            <w:pPr>
              <w:pStyle w:val="TableContents"/>
              <w:bidi w:val="0"/>
              <w:spacing w:before="0" w:after="283"/>
              <w:jc w:val="left"/>
              <w:rPr/>
            </w:pPr>
            <w:r>
              <w:rPr/>
              <w:t> </w:t>
            </w:r>
          </w:p>
        </w:tc>
        <w:tc>
          <w:tcPr>
            <w:tcW w:w="73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Cancellation</w:t>
            </w:r>
          </w:p>
        </w:tc>
        <w:tc>
          <w:tcPr>
            <w:tcW w:w="51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w:t>
            </w:r>
          </w:p>
        </w:tc>
      </w:tr>
      <w:tr>
        <w:trPr/>
        <w:tc>
          <w:tcPr>
            <w:tcW w:w="125" w:type="dxa"/>
            <w:tcBorders/>
            <w:vAlign w:val="center"/>
          </w:tcPr>
          <w:p>
            <w:pPr>
              <w:pStyle w:val="TableContents"/>
              <w:bidi w:val="0"/>
              <w:spacing w:before="0" w:after="283"/>
              <w:jc w:val="left"/>
              <w:rPr/>
            </w:pPr>
            <w:r>
              <w:rPr/>
              <w:t> </w:t>
            </w:r>
          </w:p>
        </w:tc>
        <w:tc>
          <w:tcPr>
            <w:tcW w:w="17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2.09</w:t>
            </w:r>
          </w:p>
        </w:tc>
        <w:tc>
          <w:tcPr>
            <w:tcW w:w="100" w:type="dxa"/>
            <w:tcBorders/>
            <w:vAlign w:val="center"/>
          </w:tcPr>
          <w:p>
            <w:pPr>
              <w:pStyle w:val="TableContents"/>
              <w:bidi w:val="0"/>
              <w:spacing w:before="0" w:after="283"/>
              <w:jc w:val="left"/>
              <w:rPr/>
            </w:pPr>
            <w:r>
              <w:rPr/>
              <w:t> </w:t>
            </w:r>
          </w:p>
        </w:tc>
        <w:tc>
          <w:tcPr>
            <w:tcW w:w="73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Benefits of Indenture</w:t>
            </w:r>
          </w:p>
        </w:tc>
        <w:tc>
          <w:tcPr>
            <w:tcW w:w="51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w:t>
            </w:r>
          </w:p>
        </w:tc>
      </w:tr>
      <w:tr>
        <w:trPr/>
        <w:tc>
          <w:tcPr>
            <w:tcW w:w="125" w:type="dxa"/>
            <w:tcBorders/>
            <w:vAlign w:val="center"/>
          </w:tcPr>
          <w:p>
            <w:pPr>
              <w:pStyle w:val="TableContents"/>
              <w:bidi w:val="0"/>
              <w:spacing w:before="0" w:after="283"/>
              <w:jc w:val="left"/>
              <w:rPr/>
            </w:pPr>
            <w:r>
              <w:rPr/>
              <w:t> </w:t>
            </w:r>
          </w:p>
        </w:tc>
        <w:tc>
          <w:tcPr>
            <w:tcW w:w="17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2.10</w:t>
            </w:r>
          </w:p>
        </w:tc>
        <w:tc>
          <w:tcPr>
            <w:tcW w:w="100" w:type="dxa"/>
            <w:tcBorders/>
            <w:vAlign w:val="center"/>
          </w:tcPr>
          <w:p>
            <w:pPr>
              <w:pStyle w:val="TableContents"/>
              <w:bidi w:val="0"/>
              <w:spacing w:before="0" w:after="283"/>
              <w:jc w:val="left"/>
              <w:rPr/>
            </w:pPr>
            <w:r>
              <w:rPr/>
              <w:t> </w:t>
            </w:r>
          </w:p>
        </w:tc>
        <w:tc>
          <w:tcPr>
            <w:tcW w:w="73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Authenticating Agent</w:t>
            </w:r>
          </w:p>
        </w:tc>
        <w:tc>
          <w:tcPr>
            <w:tcW w:w="51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w:t>
            </w:r>
          </w:p>
        </w:tc>
      </w:tr>
      <w:tr>
        <w:trPr/>
        <w:tc>
          <w:tcPr>
            <w:tcW w:w="125" w:type="dxa"/>
            <w:tcBorders/>
            <w:vAlign w:val="center"/>
          </w:tcPr>
          <w:p>
            <w:pPr>
              <w:pStyle w:val="TableContents"/>
              <w:bidi w:val="0"/>
              <w:spacing w:before="0" w:after="283"/>
              <w:jc w:val="left"/>
              <w:rPr/>
            </w:pPr>
            <w:r>
              <w:rPr/>
              <w:t> </w:t>
            </w:r>
          </w:p>
        </w:tc>
        <w:tc>
          <w:tcPr>
            <w:tcW w:w="17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2.11</w:t>
            </w:r>
          </w:p>
        </w:tc>
        <w:tc>
          <w:tcPr>
            <w:tcW w:w="100" w:type="dxa"/>
            <w:tcBorders/>
            <w:vAlign w:val="center"/>
          </w:tcPr>
          <w:p>
            <w:pPr>
              <w:pStyle w:val="TableContents"/>
              <w:bidi w:val="0"/>
              <w:spacing w:before="0" w:after="283"/>
              <w:jc w:val="left"/>
              <w:rPr/>
            </w:pPr>
            <w:r>
              <w:rPr/>
              <w:t> </w:t>
            </w:r>
          </w:p>
        </w:tc>
        <w:tc>
          <w:tcPr>
            <w:tcW w:w="73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Global Securities</w:t>
            </w:r>
          </w:p>
        </w:tc>
        <w:tc>
          <w:tcPr>
            <w:tcW w:w="51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w:t>
            </w:r>
          </w:p>
        </w:tc>
      </w:tr>
      <w:tr>
        <w:trPr/>
        <w:tc>
          <w:tcPr>
            <w:tcW w:w="125" w:type="dxa"/>
            <w:tcBorders/>
            <w:vAlign w:val="center"/>
          </w:tcPr>
          <w:p>
            <w:pPr>
              <w:pStyle w:val="TableContents"/>
              <w:bidi w:val="0"/>
              <w:spacing w:before="0" w:after="283"/>
              <w:jc w:val="left"/>
              <w:rPr/>
            </w:pPr>
            <w:r>
              <w:rPr/>
              <w:t> </w:t>
            </w:r>
          </w:p>
        </w:tc>
        <w:tc>
          <w:tcPr>
            <w:tcW w:w="17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2.12</w:t>
            </w:r>
          </w:p>
        </w:tc>
        <w:tc>
          <w:tcPr>
            <w:tcW w:w="100" w:type="dxa"/>
            <w:tcBorders/>
            <w:vAlign w:val="center"/>
          </w:tcPr>
          <w:p>
            <w:pPr>
              <w:pStyle w:val="TableContents"/>
              <w:bidi w:val="0"/>
              <w:spacing w:before="0" w:after="283"/>
              <w:jc w:val="left"/>
              <w:rPr/>
            </w:pPr>
            <w:r>
              <w:rPr/>
              <w:t> </w:t>
            </w:r>
          </w:p>
        </w:tc>
        <w:tc>
          <w:tcPr>
            <w:tcW w:w="73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CUSIP Numbers</w:t>
            </w:r>
          </w:p>
        </w:tc>
        <w:tc>
          <w:tcPr>
            <w:tcW w:w="51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w:t>
            </w:r>
          </w:p>
        </w:tc>
      </w:tr>
      <w:tr>
        <w:trPr/>
        <w:tc>
          <w:tcPr>
            <w:tcW w:w="125" w:type="dxa"/>
            <w:tcBorders/>
            <w:vAlign w:val="center"/>
          </w:tcPr>
          <w:p>
            <w:pPr>
              <w:pStyle w:val="TableContents"/>
              <w:bidi w:val="0"/>
              <w:spacing w:before="0" w:after="283"/>
              <w:jc w:val="left"/>
              <w:rPr/>
            </w:pPr>
            <w:r>
              <w:rPr/>
              <w:t> </w:t>
            </w:r>
          </w:p>
        </w:tc>
        <w:tc>
          <w:tcPr>
            <w:tcW w:w="1733"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73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 </w:t>
            </w:r>
          </w:p>
        </w:tc>
      </w:tr>
      <w:tr>
        <w:trPr/>
        <w:tc>
          <w:tcPr>
            <w:tcW w:w="9318" w:type="dxa"/>
            <w:gridSpan w:val="4"/>
            <w:tcBorders/>
            <w:vAlign w:val="center"/>
          </w:tcPr>
          <w:p>
            <w:pPr>
              <w:pStyle w:val="TableContents"/>
              <w:bidi w:val="0"/>
              <w:spacing w:before="0" w:after="283"/>
              <w:jc w:val="left"/>
              <w:rPr/>
            </w:pPr>
            <w:r>
              <w:rPr>
                <w:rFonts w:ascii="Times New Roman;Times;Serif" w:hAnsi="Times New Roman;Times;Serif"/>
                <w:caps/>
                <w:sz w:val="20"/>
              </w:rPr>
              <w:t>article 3</w:t>
            </w:r>
            <w:r>
              <w:rPr/>
              <w:t xml:space="preserve"> </w:t>
            </w:r>
            <w:r>
              <w:rPr>
                <w:rFonts w:ascii="Times New Roman;Times;Serif" w:hAnsi="Times New Roman;Times;Serif"/>
                <w:caps/>
                <w:sz w:val="20"/>
              </w:rPr>
              <w:t>REDEMPTION OF SECURITIES AND SINKING FUND PROVISIONS</w:t>
            </w:r>
          </w:p>
        </w:tc>
        <w:tc>
          <w:tcPr>
            <w:tcW w:w="515" w:type="dxa"/>
            <w:tcBorders/>
            <w:vAlign w:val="center"/>
          </w:tcPr>
          <w:p>
            <w:pPr>
              <w:pStyle w:val="TableContents"/>
              <w:bidi w:val="0"/>
              <w:spacing w:before="0" w:after="283"/>
              <w:jc w:val="right"/>
              <w:rPr>
                <w:rFonts w:ascii="Times New Roman;Times;Serif" w:hAnsi="Times New Roman;Times;Serif"/>
                <w:caps/>
                <w:sz w:val="20"/>
              </w:rPr>
            </w:pPr>
            <w:r>
              <w:rPr>
                <w:rFonts w:ascii="Times New Roman;Times;Serif" w:hAnsi="Times New Roman;Times;Serif"/>
                <w:caps/>
                <w:sz w:val="20"/>
              </w:rPr>
              <w:t>11</w:t>
            </w:r>
          </w:p>
        </w:tc>
      </w:tr>
      <w:tr>
        <w:trPr/>
        <w:tc>
          <w:tcPr>
            <w:tcW w:w="1858" w:type="dxa"/>
            <w:gridSpan w:val="2"/>
            <w:tcBorders/>
            <w:vAlign w:val="center"/>
          </w:tcPr>
          <w:p>
            <w:pPr>
              <w:pStyle w:val="TableContents"/>
              <w:bidi w:val="0"/>
              <w:spacing w:before="0" w:after="283"/>
              <w:jc w:val="left"/>
              <w:rPr/>
            </w:pPr>
            <w:r>
              <w:rPr/>
              <w:t> </w:t>
            </w:r>
          </w:p>
        </w:tc>
        <w:tc>
          <w:tcPr>
            <w:tcW w:w="7460" w:type="dxa"/>
            <w:gridSpan w:val="2"/>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 </w:t>
            </w:r>
          </w:p>
        </w:tc>
      </w:tr>
      <w:tr>
        <w:trPr/>
        <w:tc>
          <w:tcPr>
            <w:tcW w:w="125" w:type="dxa"/>
            <w:tcBorders/>
            <w:vAlign w:val="center"/>
          </w:tcPr>
          <w:p>
            <w:pPr>
              <w:pStyle w:val="TableContents"/>
              <w:bidi w:val="0"/>
              <w:spacing w:before="0" w:after="283"/>
              <w:jc w:val="left"/>
              <w:rPr/>
            </w:pPr>
            <w:r>
              <w:rPr/>
              <w:t> </w:t>
            </w:r>
          </w:p>
        </w:tc>
        <w:tc>
          <w:tcPr>
            <w:tcW w:w="17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3.01</w:t>
            </w:r>
          </w:p>
        </w:tc>
        <w:tc>
          <w:tcPr>
            <w:tcW w:w="100" w:type="dxa"/>
            <w:tcBorders/>
            <w:vAlign w:val="center"/>
          </w:tcPr>
          <w:p>
            <w:pPr>
              <w:pStyle w:val="TableContents"/>
              <w:bidi w:val="0"/>
              <w:spacing w:before="0" w:after="283"/>
              <w:jc w:val="left"/>
              <w:rPr/>
            </w:pPr>
            <w:r>
              <w:rPr/>
              <w:t> </w:t>
            </w:r>
          </w:p>
        </w:tc>
        <w:tc>
          <w:tcPr>
            <w:tcW w:w="73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Redemption</w:t>
            </w:r>
          </w:p>
        </w:tc>
        <w:tc>
          <w:tcPr>
            <w:tcW w:w="51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w:t>
            </w:r>
          </w:p>
        </w:tc>
      </w:tr>
      <w:tr>
        <w:trPr/>
        <w:tc>
          <w:tcPr>
            <w:tcW w:w="125" w:type="dxa"/>
            <w:tcBorders/>
            <w:vAlign w:val="center"/>
          </w:tcPr>
          <w:p>
            <w:pPr>
              <w:pStyle w:val="TableContents"/>
              <w:bidi w:val="0"/>
              <w:spacing w:before="0" w:after="283"/>
              <w:jc w:val="left"/>
              <w:rPr/>
            </w:pPr>
            <w:r>
              <w:rPr/>
              <w:t> </w:t>
            </w:r>
          </w:p>
        </w:tc>
        <w:tc>
          <w:tcPr>
            <w:tcW w:w="17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3.02</w:t>
            </w:r>
          </w:p>
        </w:tc>
        <w:tc>
          <w:tcPr>
            <w:tcW w:w="100" w:type="dxa"/>
            <w:tcBorders/>
            <w:vAlign w:val="center"/>
          </w:tcPr>
          <w:p>
            <w:pPr>
              <w:pStyle w:val="TableContents"/>
              <w:bidi w:val="0"/>
              <w:spacing w:before="0" w:after="283"/>
              <w:jc w:val="left"/>
              <w:rPr/>
            </w:pPr>
            <w:r>
              <w:rPr/>
              <w:t> </w:t>
            </w:r>
          </w:p>
        </w:tc>
        <w:tc>
          <w:tcPr>
            <w:tcW w:w="73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Notice of Redemption</w:t>
            </w:r>
          </w:p>
        </w:tc>
        <w:tc>
          <w:tcPr>
            <w:tcW w:w="51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w:t>
            </w:r>
          </w:p>
        </w:tc>
      </w:tr>
      <w:tr>
        <w:trPr/>
        <w:tc>
          <w:tcPr>
            <w:tcW w:w="125" w:type="dxa"/>
            <w:tcBorders/>
            <w:vAlign w:val="center"/>
          </w:tcPr>
          <w:p>
            <w:pPr>
              <w:pStyle w:val="TableContents"/>
              <w:bidi w:val="0"/>
              <w:spacing w:before="0" w:after="283"/>
              <w:jc w:val="left"/>
              <w:rPr/>
            </w:pPr>
            <w:r>
              <w:rPr/>
              <w:t> </w:t>
            </w:r>
          </w:p>
        </w:tc>
        <w:tc>
          <w:tcPr>
            <w:tcW w:w="17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3.03</w:t>
            </w:r>
          </w:p>
        </w:tc>
        <w:tc>
          <w:tcPr>
            <w:tcW w:w="100" w:type="dxa"/>
            <w:tcBorders/>
            <w:vAlign w:val="center"/>
          </w:tcPr>
          <w:p>
            <w:pPr>
              <w:pStyle w:val="TableContents"/>
              <w:bidi w:val="0"/>
              <w:spacing w:before="0" w:after="283"/>
              <w:jc w:val="left"/>
              <w:rPr/>
            </w:pPr>
            <w:r>
              <w:rPr/>
              <w:t> </w:t>
            </w:r>
          </w:p>
        </w:tc>
        <w:tc>
          <w:tcPr>
            <w:tcW w:w="73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Payment Upon Redemption</w:t>
            </w:r>
          </w:p>
        </w:tc>
        <w:tc>
          <w:tcPr>
            <w:tcW w:w="51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w:t>
            </w:r>
          </w:p>
        </w:tc>
      </w:tr>
      <w:tr>
        <w:trPr/>
        <w:tc>
          <w:tcPr>
            <w:tcW w:w="125" w:type="dxa"/>
            <w:tcBorders/>
            <w:vAlign w:val="center"/>
          </w:tcPr>
          <w:p>
            <w:pPr>
              <w:pStyle w:val="TableContents"/>
              <w:bidi w:val="0"/>
              <w:spacing w:before="0" w:after="283"/>
              <w:jc w:val="left"/>
              <w:rPr/>
            </w:pPr>
            <w:r>
              <w:rPr/>
              <w:t> </w:t>
            </w:r>
          </w:p>
        </w:tc>
        <w:tc>
          <w:tcPr>
            <w:tcW w:w="17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3.04</w:t>
            </w:r>
          </w:p>
        </w:tc>
        <w:tc>
          <w:tcPr>
            <w:tcW w:w="100" w:type="dxa"/>
            <w:tcBorders/>
            <w:vAlign w:val="center"/>
          </w:tcPr>
          <w:p>
            <w:pPr>
              <w:pStyle w:val="TableContents"/>
              <w:bidi w:val="0"/>
              <w:spacing w:before="0" w:after="283"/>
              <w:jc w:val="left"/>
              <w:rPr/>
            </w:pPr>
            <w:r>
              <w:rPr/>
              <w:t> </w:t>
            </w:r>
          </w:p>
        </w:tc>
        <w:tc>
          <w:tcPr>
            <w:tcW w:w="73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Sinking Fund</w:t>
            </w:r>
          </w:p>
        </w:tc>
        <w:tc>
          <w:tcPr>
            <w:tcW w:w="51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w:t>
            </w:r>
          </w:p>
        </w:tc>
      </w:tr>
      <w:tr>
        <w:trPr/>
        <w:tc>
          <w:tcPr>
            <w:tcW w:w="125" w:type="dxa"/>
            <w:tcBorders/>
            <w:vAlign w:val="center"/>
          </w:tcPr>
          <w:p>
            <w:pPr>
              <w:pStyle w:val="TableContents"/>
              <w:bidi w:val="0"/>
              <w:spacing w:before="0" w:after="283"/>
              <w:jc w:val="left"/>
              <w:rPr/>
            </w:pPr>
            <w:r>
              <w:rPr/>
              <w:t> </w:t>
            </w:r>
          </w:p>
        </w:tc>
        <w:tc>
          <w:tcPr>
            <w:tcW w:w="17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3.05</w:t>
            </w:r>
          </w:p>
        </w:tc>
        <w:tc>
          <w:tcPr>
            <w:tcW w:w="100" w:type="dxa"/>
            <w:tcBorders/>
            <w:vAlign w:val="center"/>
          </w:tcPr>
          <w:p>
            <w:pPr>
              <w:pStyle w:val="TableContents"/>
              <w:bidi w:val="0"/>
              <w:spacing w:before="0" w:after="283"/>
              <w:jc w:val="left"/>
              <w:rPr/>
            </w:pPr>
            <w:r>
              <w:rPr/>
              <w:t> </w:t>
            </w:r>
          </w:p>
        </w:tc>
        <w:tc>
          <w:tcPr>
            <w:tcW w:w="73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Satisfaction of Sinking Fund Payments with Securities</w:t>
            </w:r>
          </w:p>
        </w:tc>
        <w:tc>
          <w:tcPr>
            <w:tcW w:w="51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w:t>
            </w:r>
          </w:p>
        </w:tc>
      </w:tr>
      <w:tr>
        <w:trPr/>
        <w:tc>
          <w:tcPr>
            <w:tcW w:w="125" w:type="dxa"/>
            <w:tcBorders/>
            <w:vAlign w:val="center"/>
          </w:tcPr>
          <w:p>
            <w:pPr>
              <w:pStyle w:val="TableContents"/>
              <w:bidi w:val="0"/>
              <w:spacing w:before="0" w:after="283"/>
              <w:jc w:val="left"/>
              <w:rPr/>
            </w:pPr>
            <w:r>
              <w:rPr/>
              <w:t> </w:t>
            </w:r>
          </w:p>
        </w:tc>
        <w:tc>
          <w:tcPr>
            <w:tcW w:w="17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3.06</w:t>
            </w:r>
          </w:p>
        </w:tc>
        <w:tc>
          <w:tcPr>
            <w:tcW w:w="100" w:type="dxa"/>
            <w:tcBorders/>
            <w:vAlign w:val="center"/>
          </w:tcPr>
          <w:p>
            <w:pPr>
              <w:pStyle w:val="TableContents"/>
              <w:bidi w:val="0"/>
              <w:spacing w:before="0" w:after="283"/>
              <w:jc w:val="left"/>
              <w:rPr/>
            </w:pPr>
            <w:r>
              <w:rPr/>
              <w:t> </w:t>
            </w:r>
          </w:p>
        </w:tc>
        <w:tc>
          <w:tcPr>
            <w:tcW w:w="73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Redemption of Securities for Sinking Fund</w:t>
            </w:r>
          </w:p>
        </w:tc>
        <w:tc>
          <w:tcPr>
            <w:tcW w:w="51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w:t>
            </w:r>
          </w:p>
        </w:tc>
      </w:tr>
      <w:tr>
        <w:trPr/>
        <w:tc>
          <w:tcPr>
            <w:tcW w:w="125" w:type="dxa"/>
            <w:tcBorders/>
            <w:vAlign w:val="center"/>
          </w:tcPr>
          <w:p>
            <w:pPr>
              <w:pStyle w:val="TableContents"/>
              <w:bidi w:val="0"/>
              <w:spacing w:before="0" w:after="283"/>
              <w:jc w:val="left"/>
              <w:rPr/>
            </w:pPr>
            <w:r>
              <w:rPr/>
              <w:t> </w:t>
            </w:r>
          </w:p>
        </w:tc>
        <w:tc>
          <w:tcPr>
            <w:tcW w:w="1733"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73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 </w:t>
            </w:r>
          </w:p>
        </w:tc>
      </w:tr>
      <w:tr>
        <w:trPr/>
        <w:tc>
          <w:tcPr>
            <w:tcW w:w="9318" w:type="dxa"/>
            <w:gridSpan w:val="4"/>
            <w:tcBorders/>
            <w:vAlign w:val="center"/>
          </w:tcPr>
          <w:p>
            <w:pPr>
              <w:pStyle w:val="TableContents"/>
              <w:bidi w:val="0"/>
              <w:spacing w:before="0" w:after="283"/>
              <w:jc w:val="left"/>
              <w:rPr/>
            </w:pPr>
            <w:r>
              <w:rPr>
                <w:rFonts w:ascii="Times New Roman;Times;Serif" w:hAnsi="Times New Roman;Times;Serif"/>
                <w:caps/>
                <w:sz w:val="20"/>
              </w:rPr>
              <w:t>article 4</w:t>
            </w:r>
            <w:r>
              <w:rPr/>
              <w:t xml:space="preserve"> </w:t>
            </w:r>
            <w:r>
              <w:rPr>
                <w:rFonts w:ascii="Times New Roman;Times;Serif" w:hAnsi="Times New Roman;Times;Serif"/>
                <w:caps/>
                <w:sz w:val="20"/>
              </w:rPr>
              <w:t>COVENANTS</w:t>
            </w:r>
          </w:p>
        </w:tc>
        <w:tc>
          <w:tcPr>
            <w:tcW w:w="515" w:type="dxa"/>
            <w:tcBorders/>
            <w:vAlign w:val="center"/>
          </w:tcPr>
          <w:p>
            <w:pPr>
              <w:pStyle w:val="TableContents"/>
              <w:bidi w:val="0"/>
              <w:spacing w:before="0" w:after="283"/>
              <w:jc w:val="right"/>
              <w:rPr>
                <w:rFonts w:ascii="Times New Roman;Times;Serif" w:hAnsi="Times New Roman;Times;Serif"/>
                <w:caps/>
                <w:sz w:val="20"/>
              </w:rPr>
            </w:pPr>
            <w:r>
              <w:rPr>
                <w:rFonts w:ascii="Times New Roman;Times;Serif" w:hAnsi="Times New Roman;Times;Serif"/>
                <w:caps/>
                <w:sz w:val="20"/>
              </w:rPr>
              <w:t>13</w:t>
            </w:r>
          </w:p>
        </w:tc>
      </w:tr>
      <w:tr>
        <w:trPr/>
        <w:tc>
          <w:tcPr>
            <w:tcW w:w="1858" w:type="dxa"/>
            <w:gridSpan w:val="2"/>
            <w:tcBorders/>
            <w:vAlign w:val="center"/>
          </w:tcPr>
          <w:p>
            <w:pPr>
              <w:pStyle w:val="TableContents"/>
              <w:bidi w:val="0"/>
              <w:spacing w:before="0" w:after="283"/>
              <w:jc w:val="left"/>
              <w:rPr/>
            </w:pPr>
            <w:r>
              <w:rPr/>
              <w:t> </w:t>
            </w:r>
          </w:p>
        </w:tc>
        <w:tc>
          <w:tcPr>
            <w:tcW w:w="7460" w:type="dxa"/>
            <w:gridSpan w:val="2"/>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 </w:t>
            </w:r>
          </w:p>
        </w:tc>
      </w:tr>
      <w:tr>
        <w:trPr/>
        <w:tc>
          <w:tcPr>
            <w:tcW w:w="125" w:type="dxa"/>
            <w:tcBorders/>
            <w:vAlign w:val="center"/>
          </w:tcPr>
          <w:p>
            <w:pPr>
              <w:pStyle w:val="TableContents"/>
              <w:bidi w:val="0"/>
              <w:spacing w:before="0" w:after="283"/>
              <w:jc w:val="left"/>
              <w:rPr/>
            </w:pPr>
            <w:r>
              <w:rPr/>
              <w:t> </w:t>
            </w:r>
          </w:p>
        </w:tc>
        <w:tc>
          <w:tcPr>
            <w:tcW w:w="17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4.01</w:t>
            </w:r>
          </w:p>
        </w:tc>
        <w:tc>
          <w:tcPr>
            <w:tcW w:w="100" w:type="dxa"/>
            <w:tcBorders/>
            <w:vAlign w:val="center"/>
          </w:tcPr>
          <w:p>
            <w:pPr>
              <w:pStyle w:val="TableContents"/>
              <w:bidi w:val="0"/>
              <w:spacing w:before="0" w:after="283"/>
              <w:jc w:val="left"/>
              <w:rPr/>
            </w:pPr>
            <w:r>
              <w:rPr/>
              <w:t> </w:t>
            </w:r>
          </w:p>
        </w:tc>
        <w:tc>
          <w:tcPr>
            <w:tcW w:w="73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Payment of Principal, Premium and Interest</w:t>
            </w:r>
          </w:p>
        </w:tc>
        <w:tc>
          <w:tcPr>
            <w:tcW w:w="51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w:t>
            </w:r>
          </w:p>
        </w:tc>
      </w:tr>
      <w:tr>
        <w:trPr/>
        <w:tc>
          <w:tcPr>
            <w:tcW w:w="125" w:type="dxa"/>
            <w:tcBorders/>
            <w:vAlign w:val="center"/>
          </w:tcPr>
          <w:p>
            <w:pPr>
              <w:pStyle w:val="TableContents"/>
              <w:bidi w:val="0"/>
              <w:spacing w:before="0" w:after="283"/>
              <w:jc w:val="left"/>
              <w:rPr/>
            </w:pPr>
            <w:r>
              <w:rPr/>
              <w:t> </w:t>
            </w:r>
          </w:p>
        </w:tc>
        <w:tc>
          <w:tcPr>
            <w:tcW w:w="17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4.02</w:t>
            </w:r>
          </w:p>
        </w:tc>
        <w:tc>
          <w:tcPr>
            <w:tcW w:w="100" w:type="dxa"/>
            <w:tcBorders/>
            <w:vAlign w:val="center"/>
          </w:tcPr>
          <w:p>
            <w:pPr>
              <w:pStyle w:val="TableContents"/>
              <w:bidi w:val="0"/>
              <w:spacing w:before="0" w:after="283"/>
              <w:jc w:val="left"/>
              <w:rPr/>
            </w:pPr>
            <w:r>
              <w:rPr/>
              <w:t> </w:t>
            </w:r>
          </w:p>
        </w:tc>
        <w:tc>
          <w:tcPr>
            <w:tcW w:w="73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Maintenance of Office or Agency</w:t>
            </w:r>
          </w:p>
        </w:tc>
        <w:tc>
          <w:tcPr>
            <w:tcW w:w="51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w:t>
            </w:r>
          </w:p>
        </w:tc>
      </w:tr>
      <w:tr>
        <w:trPr/>
        <w:tc>
          <w:tcPr>
            <w:tcW w:w="125" w:type="dxa"/>
            <w:tcBorders/>
            <w:vAlign w:val="center"/>
          </w:tcPr>
          <w:p>
            <w:pPr>
              <w:pStyle w:val="TableContents"/>
              <w:bidi w:val="0"/>
              <w:spacing w:before="0" w:after="283"/>
              <w:jc w:val="left"/>
              <w:rPr/>
            </w:pPr>
            <w:r>
              <w:rPr/>
              <w:t> </w:t>
            </w:r>
          </w:p>
        </w:tc>
        <w:tc>
          <w:tcPr>
            <w:tcW w:w="17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4.03</w:t>
            </w:r>
          </w:p>
        </w:tc>
        <w:tc>
          <w:tcPr>
            <w:tcW w:w="100" w:type="dxa"/>
            <w:tcBorders/>
            <w:vAlign w:val="center"/>
          </w:tcPr>
          <w:p>
            <w:pPr>
              <w:pStyle w:val="TableContents"/>
              <w:bidi w:val="0"/>
              <w:spacing w:before="0" w:after="283"/>
              <w:jc w:val="left"/>
              <w:rPr/>
            </w:pPr>
            <w:r>
              <w:rPr/>
              <w:t> </w:t>
            </w:r>
          </w:p>
        </w:tc>
        <w:tc>
          <w:tcPr>
            <w:tcW w:w="73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Paying Agents</w:t>
            </w:r>
          </w:p>
        </w:tc>
        <w:tc>
          <w:tcPr>
            <w:tcW w:w="51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w:t>
            </w:r>
          </w:p>
        </w:tc>
      </w:tr>
      <w:tr>
        <w:trPr/>
        <w:tc>
          <w:tcPr>
            <w:tcW w:w="125" w:type="dxa"/>
            <w:tcBorders/>
            <w:vAlign w:val="center"/>
          </w:tcPr>
          <w:p>
            <w:pPr>
              <w:pStyle w:val="TableContents"/>
              <w:bidi w:val="0"/>
              <w:spacing w:before="0" w:after="283"/>
              <w:jc w:val="left"/>
              <w:rPr/>
            </w:pPr>
            <w:r>
              <w:rPr/>
              <w:t> </w:t>
            </w:r>
          </w:p>
        </w:tc>
        <w:tc>
          <w:tcPr>
            <w:tcW w:w="17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4.04</w:t>
            </w:r>
          </w:p>
        </w:tc>
        <w:tc>
          <w:tcPr>
            <w:tcW w:w="100" w:type="dxa"/>
            <w:tcBorders/>
            <w:vAlign w:val="center"/>
          </w:tcPr>
          <w:p>
            <w:pPr>
              <w:pStyle w:val="TableContents"/>
              <w:bidi w:val="0"/>
              <w:spacing w:before="0" w:after="283"/>
              <w:jc w:val="left"/>
              <w:rPr/>
            </w:pPr>
            <w:r>
              <w:rPr/>
              <w:t> </w:t>
            </w:r>
          </w:p>
        </w:tc>
        <w:tc>
          <w:tcPr>
            <w:tcW w:w="73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Appointment to Fill Vacancy in Office of Trustee</w:t>
            </w:r>
          </w:p>
        </w:tc>
        <w:tc>
          <w:tcPr>
            <w:tcW w:w="51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Table Of Contents</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(continued)</w:t>
      </w:r>
    </w:p>
    <w:p>
      <w:pPr>
        <w:pStyle w:val="TextBody"/>
        <w:bidi w:val="0"/>
        <w:spacing w:before="0" w:after="0"/>
        <w:ind w:left="0" w:right="0" w:hanging="0"/>
        <w:jc w:val="left"/>
        <w:rPr>
          <w:caps w:val="false"/>
          <w:smallCaps w:val="false"/>
        </w:rPr>
      </w:pPr>
      <w:r>
        <w:rPr>
          <w:caps w:val="false"/>
          <w:smallCaps w:val="false"/>
        </w:rPr>
        <w:t> </w:t>
      </w:r>
    </w:p>
    <w:tbl>
      <w:tblPr>
        <w:tblW w:w="8889" w:type="dxa"/>
        <w:jc w:val="left"/>
        <w:tblInd w:w="0" w:type="dxa"/>
        <w:tblLayout w:type="fixed"/>
        <w:tblCellMar>
          <w:top w:w="0" w:type="dxa"/>
          <w:left w:w="0" w:type="dxa"/>
          <w:bottom w:w="0" w:type="dxa"/>
          <w:right w:w="0" w:type="dxa"/>
        </w:tblCellMar>
      </w:tblPr>
      <w:tblGrid>
        <w:gridCol w:w="83"/>
        <w:gridCol w:w="1162"/>
        <w:gridCol w:w="67"/>
        <w:gridCol w:w="7062"/>
        <w:gridCol w:w="515"/>
      </w:tblGrid>
      <w:tr>
        <w:trPr/>
        <w:tc>
          <w:tcPr>
            <w:tcW w:w="83" w:type="dxa"/>
            <w:tcBorders/>
            <w:vAlign w:val="center"/>
          </w:tcPr>
          <w:p>
            <w:pPr>
              <w:pStyle w:val="TableContents"/>
              <w:bidi w:val="0"/>
              <w:spacing w:before="0" w:after="283"/>
              <w:jc w:val="left"/>
              <w:rPr/>
            </w:pPr>
            <w:r>
              <w:rPr/>
              <w:t> </w:t>
            </w:r>
          </w:p>
        </w:tc>
        <w:tc>
          <w:tcPr>
            <w:tcW w:w="1162"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7062"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rFonts w:ascii="Times New Roman;Times;Serif" w:hAnsi="Times New Roman;Times;Serif"/>
                <w:b/>
                <w:smallCaps/>
                <w:sz w:val="20"/>
              </w:rPr>
            </w:pPr>
            <w:r>
              <w:rPr>
                <w:rFonts w:ascii="Times New Roman;Times;Serif" w:hAnsi="Times New Roman;Times;Serif"/>
                <w:b/>
                <w:smallCaps/>
                <w:sz w:val="20"/>
              </w:rPr>
              <w:t>Page</w:t>
            </w:r>
          </w:p>
        </w:tc>
      </w:tr>
      <w:tr>
        <w:trPr/>
        <w:tc>
          <w:tcPr>
            <w:tcW w:w="83" w:type="dxa"/>
            <w:tcBorders/>
            <w:vAlign w:val="center"/>
          </w:tcPr>
          <w:p>
            <w:pPr>
              <w:pStyle w:val="TableContents"/>
              <w:bidi w:val="0"/>
              <w:spacing w:before="0" w:after="283"/>
              <w:jc w:val="left"/>
              <w:rPr/>
            </w:pPr>
            <w:r>
              <w:rPr/>
              <w:t> </w:t>
            </w:r>
          </w:p>
        </w:tc>
        <w:tc>
          <w:tcPr>
            <w:tcW w:w="1162"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7062"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 </w:t>
            </w:r>
          </w:p>
        </w:tc>
      </w:tr>
      <w:tr>
        <w:trPr/>
        <w:tc>
          <w:tcPr>
            <w:tcW w:w="8374" w:type="dxa"/>
            <w:gridSpan w:val="4"/>
            <w:tcBorders/>
            <w:vAlign w:val="center"/>
          </w:tcPr>
          <w:p>
            <w:pPr>
              <w:pStyle w:val="TableContents"/>
              <w:bidi w:val="0"/>
              <w:spacing w:before="0" w:after="283"/>
              <w:jc w:val="left"/>
              <w:rPr/>
            </w:pPr>
            <w:r>
              <w:rPr>
                <w:rFonts w:ascii="Times New Roman;Times;Serif" w:hAnsi="Times New Roman;Times;Serif"/>
                <w:caps/>
                <w:sz w:val="20"/>
              </w:rPr>
              <w:t>article 5</w:t>
            </w:r>
            <w:r>
              <w:rPr/>
              <w:t xml:space="preserve"> </w:t>
            </w:r>
            <w:r>
              <w:rPr>
                <w:rFonts w:ascii="Times New Roman;Times;Serif" w:hAnsi="Times New Roman;Times;Serif"/>
                <w:caps/>
                <w:sz w:val="20"/>
              </w:rPr>
              <w:t>SECURITYHOLDERS’ LISTS AND REPORTS BY THE COMPANY AND THE TRUSTEE</w:t>
            </w:r>
          </w:p>
        </w:tc>
        <w:tc>
          <w:tcPr>
            <w:tcW w:w="515" w:type="dxa"/>
            <w:tcBorders/>
            <w:vAlign w:val="center"/>
          </w:tcPr>
          <w:p>
            <w:pPr>
              <w:pStyle w:val="TableContents"/>
              <w:bidi w:val="0"/>
              <w:spacing w:before="0" w:after="283"/>
              <w:jc w:val="right"/>
              <w:rPr>
                <w:rFonts w:ascii="Times New Roman;Times;Serif" w:hAnsi="Times New Roman;Times;Serif"/>
                <w:caps/>
                <w:sz w:val="20"/>
              </w:rPr>
            </w:pPr>
            <w:r>
              <w:rPr>
                <w:rFonts w:ascii="Times New Roman;Times;Serif" w:hAnsi="Times New Roman;Times;Serif"/>
                <w:caps/>
                <w:sz w:val="20"/>
              </w:rPr>
              <w:t>15</w:t>
            </w:r>
          </w:p>
        </w:tc>
      </w:tr>
      <w:tr>
        <w:trPr/>
        <w:tc>
          <w:tcPr>
            <w:tcW w:w="1245" w:type="dxa"/>
            <w:gridSpan w:val="2"/>
            <w:tcBorders/>
            <w:vAlign w:val="center"/>
          </w:tcPr>
          <w:p>
            <w:pPr>
              <w:pStyle w:val="TableContents"/>
              <w:bidi w:val="0"/>
              <w:spacing w:before="0" w:after="283"/>
              <w:jc w:val="left"/>
              <w:rPr/>
            </w:pPr>
            <w:r>
              <w:rPr/>
              <w:t> </w:t>
            </w:r>
          </w:p>
        </w:tc>
        <w:tc>
          <w:tcPr>
            <w:tcW w:w="7129" w:type="dxa"/>
            <w:gridSpan w:val="2"/>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 </w:t>
            </w:r>
          </w:p>
        </w:tc>
      </w:tr>
      <w:tr>
        <w:trPr/>
        <w:tc>
          <w:tcPr>
            <w:tcW w:w="83" w:type="dxa"/>
            <w:tcBorders/>
            <w:vAlign w:val="center"/>
          </w:tcPr>
          <w:p>
            <w:pPr>
              <w:pStyle w:val="TableContents"/>
              <w:bidi w:val="0"/>
              <w:spacing w:before="0" w:after="283"/>
              <w:jc w:val="left"/>
              <w:rPr/>
            </w:pPr>
            <w:r>
              <w:rPr/>
              <w:t> </w:t>
            </w:r>
          </w:p>
        </w:tc>
        <w:tc>
          <w:tcPr>
            <w:tcW w:w="116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5.01</w:t>
            </w:r>
          </w:p>
        </w:tc>
        <w:tc>
          <w:tcPr>
            <w:tcW w:w="67" w:type="dxa"/>
            <w:tcBorders/>
            <w:vAlign w:val="center"/>
          </w:tcPr>
          <w:p>
            <w:pPr>
              <w:pStyle w:val="TableContents"/>
              <w:bidi w:val="0"/>
              <w:spacing w:before="0" w:after="283"/>
              <w:jc w:val="left"/>
              <w:rPr/>
            </w:pPr>
            <w:r>
              <w:rPr/>
              <w:t> </w:t>
            </w:r>
          </w:p>
        </w:tc>
        <w:tc>
          <w:tcPr>
            <w:tcW w:w="706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Company to Furnish Trustee Names and Addresses of Securityholders</w:t>
            </w:r>
          </w:p>
        </w:tc>
        <w:tc>
          <w:tcPr>
            <w:tcW w:w="51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w:t>
            </w:r>
          </w:p>
        </w:tc>
      </w:tr>
      <w:tr>
        <w:trPr/>
        <w:tc>
          <w:tcPr>
            <w:tcW w:w="83" w:type="dxa"/>
            <w:tcBorders/>
            <w:vAlign w:val="center"/>
          </w:tcPr>
          <w:p>
            <w:pPr>
              <w:pStyle w:val="TableContents"/>
              <w:bidi w:val="0"/>
              <w:spacing w:before="0" w:after="283"/>
              <w:jc w:val="left"/>
              <w:rPr/>
            </w:pPr>
            <w:r>
              <w:rPr/>
              <w:t> </w:t>
            </w:r>
          </w:p>
        </w:tc>
        <w:tc>
          <w:tcPr>
            <w:tcW w:w="116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5.02</w:t>
            </w:r>
          </w:p>
        </w:tc>
        <w:tc>
          <w:tcPr>
            <w:tcW w:w="67" w:type="dxa"/>
            <w:tcBorders/>
            <w:vAlign w:val="center"/>
          </w:tcPr>
          <w:p>
            <w:pPr>
              <w:pStyle w:val="TableContents"/>
              <w:bidi w:val="0"/>
              <w:spacing w:before="0" w:after="283"/>
              <w:jc w:val="left"/>
              <w:rPr/>
            </w:pPr>
            <w:r>
              <w:rPr/>
              <w:t> </w:t>
            </w:r>
          </w:p>
        </w:tc>
        <w:tc>
          <w:tcPr>
            <w:tcW w:w="706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Preservation of Information; Communications With Securityholders</w:t>
            </w:r>
          </w:p>
        </w:tc>
        <w:tc>
          <w:tcPr>
            <w:tcW w:w="51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w:t>
            </w:r>
          </w:p>
        </w:tc>
      </w:tr>
      <w:tr>
        <w:trPr/>
        <w:tc>
          <w:tcPr>
            <w:tcW w:w="83" w:type="dxa"/>
            <w:tcBorders/>
            <w:vAlign w:val="center"/>
          </w:tcPr>
          <w:p>
            <w:pPr>
              <w:pStyle w:val="TableContents"/>
              <w:bidi w:val="0"/>
              <w:spacing w:before="0" w:after="283"/>
              <w:jc w:val="left"/>
              <w:rPr/>
            </w:pPr>
            <w:r>
              <w:rPr/>
              <w:t> </w:t>
            </w:r>
          </w:p>
        </w:tc>
        <w:tc>
          <w:tcPr>
            <w:tcW w:w="116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5.03</w:t>
            </w:r>
          </w:p>
        </w:tc>
        <w:tc>
          <w:tcPr>
            <w:tcW w:w="67" w:type="dxa"/>
            <w:tcBorders/>
            <w:vAlign w:val="center"/>
          </w:tcPr>
          <w:p>
            <w:pPr>
              <w:pStyle w:val="TableContents"/>
              <w:bidi w:val="0"/>
              <w:spacing w:before="0" w:after="283"/>
              <w:jc w:val="left"/>
              <w:rPr/>
            </w:pPr>
            <w:r>
              <w:rPr/>
              <w:t> </w:t>
            </w:r>
          </w:p>
        </w:tc>
        <w:tc>
          <w:tcPr>
            <w:tcW w:w="706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Reports by the Company</w:t>
            </w:r>
          </w:p>
        </w:tc>
        <w:tc>
          <w:tcPr>
            <w:tcW w:w="51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w:t>
            </w:r>
          </w:p>
        </w:tc>
      </w:tr>
      <w:tr>
        <w:trPr/>
        <w:tc>
          <w:tcPr>
            <w:tcW w:w="83" w:type="dxa"/>
            <w:tcBorders/>
            <w:vAlign w:val="center"/>
          </w:tcPr>
          <w:p>
            <w:pPr>
              <w:pStyle w:val="TableContents"/>
              <w:bidi w:val="0"/>
              <w:spacing w:before="0" w:after="283"/>
              <w:jc w:val="left"/>
              <w:rPr/>
            </w:pPr>
            <w:r>
              <w:rPr/>
              <w:t> </w:t>
            </w:r>
          </w:p>
        </w:tc>
        <w:tc>
          <w:tcPr>
            <w:tcW w:w="116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5.04</w:t>
            </w:r>
          </w:p>
        </w:tc>
        <w:tc>
          <w:tcPr>
            <w:tcW w:w="67" w:type="dxa"/>
            <w:tcBorders/>
            <w:vAlign w:val="center"/>
          </w:tcPr>
          <w:p>
            <w:pPr>
              <w:pStyle w:val="TableContents"/>
              <w:bidi w:val="0"/>
              <w:spacing w:before="0" w:after="283"/>
              <w:jc w:val="left"/>
              <w:rPr/>
            </w:pPr>
            <w:r>
              <w:rPr/>
              <w:t> </w:t>
            </w:r>
          </w:p>
        </w:tc>
        <w:tc>
          <w:tcPr>
            <w:tcW w:w="706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Reports by the Trustee</w:t>
            </w:r>
          </w:p>
        </w:tc>
        <w:tc>
          <w:tcPr>
            <w:tcW w:w="51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w:t>
            </w:r>
          </w:p>
        </w:tc>
      </w:tr>
      <w:tr>
        <w:trPr/>
        <w:tc>
          <w:tcPr>
            <w:tcW w:w="83" w:type="dxa"/>
            <w:tcBorders/>
            <w:vAlign w:val="center"/>
          </w:tcPr>
          <w:p>
            <w:pPr>
              <w:pStyle w:val="TableContents"/>
              <w:bidi w:val="0"/>
              <w:spacing w:before="0" w:after="283"/>
              <w:jc w:val="left"/>
              <w:rPr/>
            </w:pPr>
            <w:r>
              <w:rPr/>
              <w:t> </w:t>
            </w:r>
          </w:p>
        </w:tc>
        <w:tc>
          <w:tcPr>
            <w:tcW w:w="1162"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7062"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 </w:t>
            </w:r>
          </w:p>
        </w:tc>
      </w:tr>
      <w:tr>
        <w:trPr/>
        <w:tc>
          <w:tcPr>
            <w:tcW w:w="8374" w:type="dxa"/>
            <w:gridSpan w:val="4"/>
            <w:tcBorders/>
            <w:vAlign w:val="center"/>
          </w:tcPr>
          <w:p>
            <w:pPr>
              <w:pStyle w:val="TableContents"/>
              <w:bidi w:val="0"/>
              <w:spacing w:before="0" w:after="283"/>
              <w:jc w:val="left"/>
              <w:rPr/>
            </w:pPr>
            <w:r>
              <w:rPr>
                <w:rFonts w:ascii="Times New Roman;Times;Serif" w:hAnsi="Times New Roman;Times;Serif"/>
                <w:caps/>
                <w:sz w:val="20"/>
              </w:rPr>
              <w:t>article 6</w:t>
            </w:r>
            <w:r>
              <w:rPr/>
              <w:t xml:space="preserve"> </w:t>
            </w:r>
            <w:r>
              <w:rPr>
                <w:rFonts w:ascii="Times New Roman;Times;Serif" w:hAnsi="Times New Roman;Times;Serif"/>
                <w:caps/>
                <w:sz w:val="20"/>
              </w:rPr>
              <w:t>REMEDIES OF THE TRUSTEE AND SECURITYHOLDERS ON EVENT OF DEFAULT</w:t>
            </w:r>
          </w:p>
        </w:tc>
        <w:tc>
          <w:tcPr>
            <w:tcW w:w="515" w:type="dxa"/>
            <w:tcBorders/>
            <w:vAlign w:val="center"/>
          </w:tcPr>
          <w:p>
            <w:pPr>
              <w:pStyle w:val="TableContents"/>
              <w:bidi w:val="0"/>
              <w:spacing w:before="0" w:after="283"/>
              <w:jc w:val="right"/>
              <w:rPr>
                <w:rFonts w:ascii="Times New Roman;Times;Serif" w:hAnsi="Times New Roman;Times;Serif"/>
                <w:caps/>
                <w:sz w:val="20"/>
              </w:rPr>
            </w:pPr>
            <w:r>
              <w:rPr>
                <w:rFonts w:ascii="Times New Roman;Times;Serif" w:hAnsi="Times New Roman;Times;Serif"/>
                <w:caps/>
                <w:sz w:val="20"/>
              </w:rPr>
              <w:t>16</w:t>
            </w:r>
          </w:p>
        </w:tc>
      </w:tr>
      <w:tr>
        <w:trPr/>
        <w:tc>
          <w:tcPr>
            <w:tcW w:w="1245" w:type="dxa"/>
            <w:gridSpan w:val="2"/>
            <w:tcBorders/>
            <w:vAlign w:val="center"/>
          </w:tcPr>
          <w:p>
            <w:pPr>
              <w:pStyle w:val="TableContents"/>
              <w:bidi w:val="0"/>
              <w:spacing w:before="0" w:after="283"/>
              <w:jc w:val="left"/>
              <w:rPr/>
            </w:pPr>
            <w:r>
              <w:rPr/>
              <w:t> </w:t>
            </w:r>
          </w:p>
        </w:tc>
        <w:tc>
          <w:tcPr>
            <w:tcW w:w="7129" w:type="dxa"/>
            <w:gridSpan w:val="2"/>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 </w:t>
            </w:r>
          </w:p>
        </w:tc>
      </w:tr>
      <w:tr>
        <w:trPr/>
        <w:tc>
          <w:tcPr>
            <w:tcW w:w="83" w:type="dxa"/>
            <w:tcBorders/>
            <w:vAlign w:val="center"/>
          </w:tcPr>
          <w:p>
            <w:pPr>
              <w:pStyle w:val="TableContents"/>
              <w:bidi w:val="0"/>
              <w:spacing w:before="0" w:after="283"/>
              <w:jc w:val="left"/>
              <w:rPr/>
            </w:pPr>
            <w:r>
              <w:rPr/>
              <w:t> </w:t>
            </w:r>
          </w:p>
        </w:tc>
        <w:tc>
          <w:tcPr>
            <w:tcW w:w="116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6.01</w:t>
            </w:r>
          </w:p>
        </w:tc>
        <w:tc>
          <w:tcPr>
            <w:tcW w:w="67" w:type="dxa"/>
            <w:tcBorders/>
            <w:vAlign w:val="center"/>
          </w:tcPr>
          <w:p>
            <w:pPr>
              <w:pStyle w:val="TableContents"/>
              <w:bidi w:val="0"/>
              <w:spacing w:before="0" w:after="283"/>
              <w:jc w:val="left"/>
              <w:rPr/>
            </w:pPr>
            <w:r>
              <w:rPr/>
              <w:t> </w:t>
            </w:r>
          </w:p>
        </w:tc>
        <w:tc>
          <w:tcPr>
            <w:tcW w:w="706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Events of Default</w:t>
            </w:r>
          </w:p>
        </w:tc>
        <w:tc>
          <w:tcPr>
            <w:tcW w:w="51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w:t>
            </w:r>
          </w:p>
        </w:tc>
      </w:tr>
      <w:tr>
        <w:trPr/>
        <w:tc>
          <w:tcPr>
            <w:tcW w:w="83" w:type="dxa"/>
            <w:tcBorders/>
            <w:vAlign w:val="center"/>
          </w:tcPr>
          <w:p>
            <w:pPr>
              <w:pStyle w:val="TableContents"/>
              <w:bidi w:val="0"/>
              <w:spacing w:before="0" w:after="283"/>
              <w:jc w:val="left"/>
              <w:rPr/>
            </w:pPr>
            <w:r>
              <w:rPr/>
              <w:t> </w:t>
            </w:r>
          </w:p>
        </w:tc>
        <w:tc>
          <w:tcPr>
            <w:tcW w:w="116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6.02</w:t>
            </w:r>
          </w:p>
        </w:tc>
        <w:tc>
          <w:tcPr>
            <w:tcW w:w="67" w:type="dxa"/>
            <w:tcBorders/>
            <w:vAlign w:val="center"/>
          </w:tcPr>
          <w:p>
            <w:pPr>
              <w:pStyle w:val="TableContents"/>
              <w:bidi w:val="0"/>
              <w:spacing w:before="0" w:after="283"/>
              <w:jc w:val="left"/>
              <w:rPr/>
            </w:pPr>
            <w:r>
              <w:rPr/>
              <w:t> </w:t>
            </w:r>
          </w:p>
        </w:tc>
        <w:tc>
          <w:tcPr>
            <w:tcW w:w="706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Collection of Indebtedness and Suits for Enforcement by Trustee</w:t>
            </w:r>
          </w:p>
        </w:tc>
        <w:tc>
          <w:tcPr>
            <w:tcW w:w="51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w:t>
            </w:r>
          </w:p>
        </w:tc>
      </w:tr>
      <w:tr>
        <w:trPr/>
        <w:tc>
          <w:tcPr>
            <w:tcW w:w="83" w:type="dxa"/>
            <w:tcBorders/>
            <w:vAlign w:val="center"/>
          </w:tcPr>
          <w:p>
            <w:pPr>
              <w:pStyle w:val="TableContents"/>
              <w:bidi w:val="0"/>
              <w:spacing w:before="0" w:after="283"/>
              <w:jc w:val="left"/>
              <w:rPr/>
            </w:pPr>
            <w:r>
              <w:rPr/>
              <w:t> </w:t>
            </w:r>
          </w:p>
        </w:tc>
        <w:tc>
          <w:tcPr>
            <w:tcW w:w="116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6.03</w:t>
            </w:r>
          </w:p>
        </w:tc>
        <w:tc>
          <w:tcPr>
            <w:tcW w:w="67" w:type="dxa"/>
            <w:tcBorders/>
            <w:vAlign w:val="center"/>
          </w:tcPr>
          <w:p>
            <w:pPr>
              <w:pStyle w:val="TableContents"/>
              <w:bidi w:val="0"/>
              <w:spacing w:before="0" w:after="283"/>
              <w:jc w:val="left"/>
              <w:rPr/>
            </w:pPr>
            <w:r>
              <w:rPr/>
              <w:t> </w:t>
            </w:r>
          </w:p>
        </w:tc>
        <w:tc>
          <w:tcPr>
            <w:tcW w:w="706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Application of Moneys Collected</w:t>
            </w:r>
          </w:p>
        </w:tc>
        <w:tc>
          <w:tcPr>
            <w:tcW w:w="51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w:t>
            </w:r>
          </w:p>
        </w:tc>
      </w:tr>
      <w:tr>
        <w:trPr/>
        <w:tc>
          <w:tcPr>
            <w:tcW w:w="83" w:type="dxa"/>
            <w:tcBorders/>
            <w:vAlign w:val="center"/>
          </w:tcPr>
          <w:p>
            <w:pPr>
              <w:pStyle w:val="TableContents"/>
              <w:bidi w:val="0"/>
              <w:spacing w:before="0" w:after="283"/>
              <w:jc w:val="left"/>
              <w:rPr/>
            </w:pPr>
            <w:r>
              <w:rPr/>
              <w:t> </w:t>
            </w:r>
          </w:p>
        </w:tc>
        <w:tc>
          <w:tcPr>
            <w:tcW w:w="116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6.04</w:t>
            </w:r>
          </w:p>
        </w:tc>
        <w:tc>
          <w:tcPr>
            <w:tcW w:w="67" w:type="dxa"/>
            <w:tcBorders/>
            <w:vAlign w:val="center"/>
          </w:tcPr>
          <w:p>
            <w:pPr>
              <w:pStyle w:val="TableContents"/>
              <w:bidi w:val="0"/>
              <w:spacing w:before="0" w:after="283"/>
              <w:jc w:val="left"/>
              <w:rPr/>
            </w:pPr>
            <w:r>
              <w:rPr/>
              <w:t> </w:t>
            </w:r>
          </w:p>
        </w:tc>
        <w:tc>
          <w:tcPr>
            <w:tcW w:w="706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Limitation on Suits</w:t>
            </w:r>
          </w:p>
        </w:tc>
        <w:tc>
          <w:tcPr>
            <w:tcW w:w="51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w:t>
            </w:r>
          </w:p>
        </w:tc>
      </w:tr>
      <w:tr>
        <w:trPr/>
        <w:tc>
          <w:tcPr>
            <w:tcW w:w="83" w:type="dxa"/>
            <w:tcBorders/>
            <w:vAlign w:val="center"/>
          </w:tcPr>
          <w:p>
            <w:pPr>
              <w:pStyle w:val="TableContents"/>
              <w:bidi w:val="0"/>
              <w:spacing w:before="0" w:after="283"/>
              <w:jc w:val="left"/>
              <w:rPr/>
            </w:pPr>
            <w:r>
              <w:rPr/>
              <w:t> </w:t>
            </w:r>
          </w:p>
        </w:tc>
        <w:tc>
          <w:tcPr>
            <w:tcW w:w="116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6.05</w:t>
            </w:r>
          </w:p>
        </w:tc>
        <w:tc>
          <w:tcPr>
            <w:tcW w:w="67" w:type="dxa"/>
            <w:tcBorders/>
            <w:vAlign w:val="center"/>
          </w:tcPr>
          <w:p>
            <w:pPr>
              <w:pStyle w:val="TableContents"/>
              <w:bidi w:val="0"/>
              <w:spacing w:before="0" w:after="283"/>
              <w:jc w:val="left"/>
              <w:rPr/>
            </w:pPr>
            <w:r>
              <w:rPr/>
              <w:t> </w:t>
            </w:r>
          </w:p>
        </w:tc>
        <w:tc>
          <w:tcPr>
            <w:tcW w:w="706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Rights and Remedies Cumulative; Delay or Omission Not Waiver</w:t>
            </w:r>
          </w:p>
        </w:tc>
        <w:tc>
          <w:tcPr>
            <w:tcW w:w="51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w:t>
            </w:r>
          </w:p>
        </w:tc>
      </w:tr>
      <w:tr>
        <w:trPr/>
        <w:tc>
          <w:tcPr>
            <w:tcW w:w="83" w:type="dxa"/>
            <w:tcBorders/>
            <w:vAlign w:val="center"/>
          </w:tcPr>
          <w:p>
            <w:pPr>
              <w:pStyle w:val="TableContents"/>
              <w:bidi w:val="0"/>
              <w:spacing w:before="0" w:after="283"/>
              <w:jc w:val="left"/>
              <w:rPr/>
            </w:pPr>
            <w:r>
              <w:rPr/>
              <w:t> </w:t>
            </w:r>
          </w:p>
        </w:tc>
        <w:tc>
          <w:tcPr>
            <w:tcW w:w="116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6.06</w:t>
            </w:r>
          </w:p>
        </w:tc>
        <w:tc>
          <w:tcPr>
            <w:tcW w:w="67" w:type="dxa"/>
            <w:tcBorders/>
            <w:vAlign w:val="center"/>
          </w:tcPr>
          <w:p>
            <w:pPr>
              <w:pStyle w:val="TableContents"/>
              <w:bidi w:val="0"/>
              <w:spacing w:before="0" w:after="283"/>
              <w:jc w:val="left"/>
              <w:rPr/>
            </w:pPr>
            <w:r>
              <w:rPr/>
              <w:t> </w:t>
            </w:r>
          </w:p>
        </w:tc>
        <w:tc>
          <w:tcPr>
            <w:tcW w:w="706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Control by Securityholders</w:t>
            </w:r>
          </w:p>
        </w:tc>
        <w:tc>
          <w:tcPr>
            <w:tcW w:w="51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w:t>
            </w:r>
          </w:p>
        </w:tc>
      </w:tr>
      <w:tr>
        <w:trPr/>
        <w:tc>
          <w:tcPr>
            <w:tcW w:w="83" w:type="dxa"/>
            <w:tcBorders/>
            <w:vAlign w:val="center"/>
          </w:tcPr>
          <w:p>
            <w:pPr>
              <w:pStyle w:val="TableContents"/>
              <w:bidi w:val="0"/>
              <w:spacing w:before="0" w:after="283"/>
              <w:jc w:val="left"/>
              <w:rPr/>
            </w:pPr>
            <w:r>
              <w:rPr/>
              <w:t> </w:t>
            </w:r>
          </w:p>
        </w:tc>
        <w:tc>
          <w:tcPr>
            <w:tcW w:w="116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6.07</w:t>
            </w:r>
          </w:p>
        </w:tc>
        <w:tc>
          <w:tcPr>
            <w:tcW w:w="67" w:type="dxa"/>
            <w:tcBorders/>
            <w:vAlign w:val="center"/>
          </w:tcPr>
          <w:p>
            <w:pPr>
              <w:pStyle w:val="TableContents"/>
              <w:bidi w:val="0"/>
              <w:spacing w:before="0" w:after="283"/>
              <w:jc w:val="left"/>
              <w:rPr/>
            </w:pPr>
            <w:r>
              <w:rPr/>
              <w:t> </w:t>
            </w:r>
          </w:p>
        </w:tc>
        <w:tc>
          <w:tcPr>
            <w:tcW w:w="706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Undertaking to Pay Costs</w:t>
            </w:r>
          </w:p>
        </w:tc>
        <w:tc>
          <w:tcPr>
            <w:tcW w:w="51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w:t>
            </w:r>
          </w:p>
        </w:tc>
      </w:tr>
      <w:tr>
        <w:trPr/>
        <w:tc>
          <w:tcPr>
            <w:tcW w:w="83" w:type="dxa"/>
            <w:tcBorders/>
            <w:vAlign w:val="center"/>
          </w:tcPr>
          <w:p>
            <w:pPr>
              <w:pStyle w:val="TableContents"/>
              <w:bidi w:val="0"/>
              <w:spacing w:before="0" w:after="283"/>
              <w:jc w:val="left"/>
              <w:rPr/>
            </w:pPr>
            <w:r>
              <w:rPr/>
              <w:t> </w:t>
            </w:r>
          </w:p>
        </w:tc>
        <w:tc>
          <w:tcPr>
            <w:tcW w:w="1162"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7062"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 </w:t>
            </w:r>
          </w:p>
        </w:tc>
      </w:tr>
      <w:tr>
        <w:trPr/>
        <w:tc>
          <w:tcPr>
            <w:tcW w:w="8374" w:type="dxa"/>
            <w:gridSpan w:val="4"/>
            <w:tcBorders/>
            <w:vAlign w:val="center"/>
          </w:tcPr>
          <w:p>
            <w:pPr>
              <w:pStyle w:val="TableContents"/>
              <w:bidi w:val="0"/>
              <w:spacing w:before="0" w:after="283"/>
              <w:jc w:val="left"/>
              <w:rPr/>
            </w:pPr>
            <w:r>
              <w:rPr>
                <w:rFonts w:ascii="Times New Roman;Times;Serif" w:hAnsi="Times New Roman;Times;Serif"/>
                <w:caps/>
                <w:sz w:val="20"/>
              </w:rPr>
              <w:t>article 7</w:t>
            </w:r>
            <w:r>
              <w:rPr/>
              <w:t xml:space="preserve"> </w:t>
            </w:r>
            <w:r>
              <w:rPr>
                <w:rFonts w:ascii="Times New Roman;Times;Serif" w:hAnsi="Times New Roman;Times;Serif"/>
                <w:caps/>
                <w:sz w:val="20"/>
              </w:rPr>
              <w:t>CONCERNING THE TRUSTEE</w:t>
            </w:r>
          </w:p>
        </w:tc>
        <w:tc>
          <w:tcPr>
            <w:tcW w:w="515" w:type="dxa"/>
            <w:tcBorders/>
            <w:vAlign w:val="center"/>
          </w:tcPr>
          <w:p>
            <w:pPr>
              <w:pStyle w:val="TableContents"/>
              <w:bidi w:val="0"/>
              <w:spacing w:before="0" w:after="283"/>
              <w:jc w:val="right"/>
              <w:rPr>
                <w:rFonts w:ascii="Times New Roman;Times;Serif" w:hAnsi="Times New Roman;Times;Serif"/>
                <w:caps/>
                <w:sz w:val="20"/>
              </w:rPr>
            </w:pPr>
            <w:r>
              <w:rPr>
                <w:rFonts w:ascii="Times New Roman;Times;Serif" w:hAnsi="Times New Roman;Times;Serif"/>
                <w:caps/>
                <w:sz w:val="20"/>
              </w:rPr>
              <w:t>20</w:t>
            </w:r>
          </w:p>
        </w:tc>
      </w:tr>
      <w:tr>
        <w:trPr/>
        <w:tc>
          <w:tcPr>
            <w:tcW w:w="1245" w:type="dxa"/>
            <w:gridSpan w:val="2"/>
            <w:tcBorders/>
            <w:vAlign w:val="center"/>
          </w:tcPr>
          <w:p>
            <w:pPr>
              <w:pStyle w:val="TableContents"/>
              <w:bidi w:val="0"/>
              <w:spacing w:before="0" w:after="283"/>
              <w:jc w:val="left"/>
              <w:rPr/>
            </w:pPr>
            <w:r>
              <w:rPr/>
              <w:t> </w:t>
            </w:r>
          </w:p>
        </w:tc>
        <w:tc>
          <w:tcPr>
            <w:tcW w:w="7129" w:type="dxa"/>
            <w:gridSpan w:val="2"/>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 </w:t>
            </w:r>
          </w:p>
        </w:tc>
      </w:tr>
      <w:tr>
        <w:trPr/>
        <w:tc>
          <w:tcPr>
            <w:tcW w:w="83" w:type="dxa"/>
            <w:tcBorders/>
            <w:vAlign w:val="center"/>
          </w:tcPr>
          <w:p>
            <w:pPr>
              <w:pStyle w:val="TableContents"/>
              <w:bidi w:val="0"/>
              <w:spacing w:before="0" w:after="283"/>
              <w:jc w:val="left"/>
              <w:rPr/>
            </w:pPr>
            <w:r>
              <w:rPr/>
              <w:t> </w:t>
            </w:r>
          </w:p>
        </w:tc>
        <w:tc>
          <w:tcPr>
            <w:tcW w:w="116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7.01</w:t>
            </w:r>
          </w:p>
        </w:tc>
        <w:tc>
          <w:tcPr>
            <w:tcW w:w="67" w:type="dxa"/>
            <w:tcBorders/>
            <w:vAlign w:val="center"/>
          </w:tcPr>
          <w:p>
            <w:pPr>
              <w:pStyle w:val="TableContents"/>
              <w:bidi w:val="0"/>
              <w:spacing w:before="0" w:after="283"/>
              <w:jc w:val="left"/>
              <w:rPr/>
            </w:pPr>
            <w:r>
              <w:rPr/>
              <w:t> </w:t>
            </w:r>
          </w:p>
        </w:tc>
        <w:tc>
          <w:tcPr>
            <w:tcW w:w="706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Certain Duties and Responsibilities of Trustee</w:t>
            </w:r>
          </w:p>
        </w:tc>
        <w:tc>
          <w:tcPr>
            <w:tcW w:w="51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w:t>
            </w:r>
          </w:p>
        </w:tc>
      </w:tr>
      <w:tr>
        <w:trPr/>
        <w:tc>
          <w:tcPr>
            <w:tcW w:w="83" w:type="dxa"/>
            <w:tcBorders/>
            <w:vAlign w:val="center"/>
          </w:tcPr>
          <w:p>
            <w:pPr>
              <w:pStyle w:val="TableContents"/>
              <w:bidi w:val="0"/>
              <w:spacing w:before="0" w:after="283"/>
              <w:jc w:val="left"/>
              <w:rPr/>
            </w:pPr>
            <w:r>
              <w:rPr/>
              <w:t> </w:t>
            </w:r>
          </w:p>
        </w:tc>
        <w:tc>
          <w:tcPr>
            <w:tcW w:w="116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7.02</w:t>
            </w:r>
          </w:p>
        </w:tc>
        <w:tc>
          <w:tcPr>
            <w:tcW w:w="67" w:type="dxa"/>
            <w:tcBorders/>
            <w:vAlign w:val="center"/>
          </w:tcPr>
          <w:p>
            <w:pPr>
              <w:pStyle w:val="TableContents"/>
              <w:bidi w:val="0"/>
              <w:spacing w:before="0" w:after="283"/>
              <w:jc w:val="left"/>
              <w:rPr/>
            </w:pPr>
            <w:r>
              <w:rPr/>
              <w:t> </w:t>
            </w:r>
          </w:p>
        </w:tc>
        <w:tc>
          <w:tcPr>
            <w:tcW w:w="706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Certain Rights of Trustee</w:t>
            </w:r>
          </w:p>
        </w:tc>
        <w:tc>
          <w:tcPr>
            <w:tcW w:w="51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w:t>
            </w:r>
          </w:p>
        </w:tc>
      </w:tr>
      <w:tr>
        <w:trPr/>
        <w:tc>
          <w:tcPr>
            <w:tcW w:w="83" w:type="dxa"/>
            <w:tcBorders/>
            <w:vAlign w:val="center"/>
          </w:tcPr>
          <w:p>
            <w:pPr>
              <w:pStyle w:val="TableContents"/>
              <w:bidi w:val="0"/>
              <w:spacing w:before="0" w:after="283"/>
              <w:jc w:val="left"/>
              <w:rPr/>
            </w:pPr>
            <w:r>
              <w:rPr/>
              <w:t> </w:t>
            </w:r>
          </w:p>
        </w:tc>
        <w:tc>
          <w:tcPr>
            <w:tcW w:w="116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7.03</w:t>
            </w:r>
          </w:p>
        </w:tc>
        <w:tc>
          <w:tcPr>
            <w:tcW w:w="67" w:type="dxa"/>
            <w:tcBorders/>
            <w:vAlign w:val="center"/>
          </w:tcPr>
          <w:p>
            <w:pPr>
              <w:pStyle w:val="TableContents"/>
              <w:bidi w:val="0"/>
              <w:spacing w:before="0" w:after="283"/>
              <w:jc w:val="left"/>
              <w:rPr/>
            </w:pPr>
            <w:r>
              <w:rPr/>
              <w:t> </w:t>
            </w:r>
          </w:p>
        </w:tc>
        <w:tc>
          <w:tcPr>
            <w:tcW w:w="706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Trustee Not Responsible for Recitals or Issuance or Securities</w:t>
            </w:r>
          </w:p>
        </w:tc>
        <w:tc>
          <w:tcPr>
            <w:tcW w:w="51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w:t>
            </w:r>
          </w:p>
        </w:tc>
      </w:tr>
      <w:tr>
        <w:trPr/>
        <w:tc>
          <w:tcPr>
            <w:tcW w:w="83" w:type="dxa"/>
            <w:tcBorders/>
            <w:vAlign w:val="center"/>
          </w:tcPr>
          <w:p>
            <w:pPr>
              <w:pStyle w:val="TableContents"/>
              <w:bidi w:val="0"/>
              <w:spacing w:before="0" w:after="283"/>
              <w:jc w:val="left"/>
              <w:rPr/>
            </w:pPr>
            <w:r>
              <w:rPr/>
              <w:t> </w:t>
            </w:r>
          </w:p>
        </w:tc>
        <w:tc>
          <w:tcPr>
            <w:tcW w:w="116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7.04</w:t>
            </w:r>
          </w:p>
        </w:tc>
        <w:tc>
          <w:tcPr>
            <w:tcW w:w="67" w:type="dxa"/>
            <w:tcBorders/>
            <w:vAlign w:val="center"/>
          </w:tcPr>
          <w:p>
            <w:pPr>
              <w:pStyle w:val="TableContents"/>
              <w:bidi w:val="0"/>
              <w:spacing w:before="0" w:after="283"/>
              <w:jc w:val="left"/>
              <w:rPr/>
            </w:pPr>
            <w:r>
              <w:rPr/>
              <w:t> </w:t>
            </w:r>
          </w:p>
        </w:tc>
        <w:tc>
          <w:tcPr>
            <w:tcW w:w="706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May Hold Securities</w:t>
            </w:r>
          </w:p>
        </w:tc>
        <w:tc>
          <w:tcPr>
            <w:tcW w:w="51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w:t>
            </w:r>
          </w:p>
        </w:tc>
      </w:tr>
      <w:tr>
        <w:trPr/>
        <w:tc>
          <w:tcPr>
            <w:tcW w:w="83" w:type="dxa"/>
            <w:tcBorders/>
            <w:vAlign w:val="center"/>
          </w:tcPr>
          <w:p>
            <w:pPr>
              <w:pStyle w:val="TableContents"/>
              <w:bidi w:val="0"/>
              <w:spacing w:before="0" w:after="283"/>
              <w:jc w:val="left"/>
              <w:rPr/>
            </w:pPr>
            <w:r>
              <w:rPr/>
              <w:t> </w:t>
            </w:r>
          </w:p>
        </w:tc>
        <w:tc>
          <w:tcPr>
            <w:tcW w:w="116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7.05</w:t>
            </w:r>
          </w:p>
        </w:tc>
        <w:tc>
          <w:tcPr>
            <w:tcW w:w="67" w:type="dxa"/>
            <w:tcBorders/>
            <w:vAlign w:val="center"/>
          </w:tcPr>
          <w:p>
            <w:pPr>
              <w:pStyle w:val="TableContents"/>
              <w:bidi w:val="0"/>
              <w:spacing w:before="0" w:after="283"/>
              <w:jc w:val="left"/>
              <w:rPr/>
            </w:pPr>
            <w:r>
              <w:rPr/>
              <w:t> </w:t>
            </w:r>
          </w:p>
        </w:tc>
        <w:tc>
          <w:tcPr>
            <w:tcW w:w="706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Moneys Held in Trust</w:t>
            </w:r>
          </w:p>
        </w:tc>
        <w:tc>
          <w:tcPr>
            <w:tcW w:w="51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w:t>
            </w:r>
          </w:p>
        </w:tc>
      </w:tr>
      <w:tr>
        <w:trPr/>
        <w:tc>
          <w:tcPr>
            <w:tcW w:w="83" w:type="dxa"/>
            <w:tcBorders/>
            <w:vAlign w:val="center"/>
          </w:tcPr>
          <w:p>
            <w:pPr>
              <w:pStyle w:val="TableContents"/>
              <w:bidi w:val="0"/>
              <w:spacing w:before="0" w:after="283"/>
              <w:jc w:val="left"/>
              <w:rPr/>
            </w:pPr>
            <w:r>
              <w:rPr/>
              <w:t> </w:t>
            </w:r>
          </w:p>
        </w:tc>
        <w:tc>
          <w:tcPr>
            <w:tcW w:w="116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7.06</w:t>
            </w:r>
          </w:p>
        </w:tc>
        <w:tc>
          <w:tcPr>
            <w:tcW w:w="67" w:type="dxa"/>
            <w:tcBorders/>
            <w:vAlign w:val="center"/>
          </w:tcPr>
          <w:p>
            <w:pPr>
              <w:pStyle w:val="TableContents"/>
              <w:bidi w:val="0"/>
              <w:spacing w:before="0" w:after="283"/>
              <w:jc w:val="left"/>
              <w:rPr/>
            </w:pPr>
            <w:r>
              <w:rPr/>
              <w:t> </w:t>
            </w:r>
          </w:p>
        </w:tc>
        <w:tc>
          <w:tcPr>
            <w:tcW w:w="706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Compensation and Reimbursement</w:t>
            </w:r>
          </w:p>
        </w:tc>
        <w:tc>
          <w:tcPr>
            <w:tcW w:w="51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w:t>
            </w:r>
          </w:p>
        </w:tc>
      </w:tr>
      <w:tr>
        <w:trPr/>
        <w:tc>
          <w:tcPr>
            <w:tcW w:w="83" w:type="dxa"/>
            <w:tcBorders/>
            <w:vAlign w:val="center"/>
          </w:tcPr>
          <w:p>
            <w:pPr>
              <w:pStyle w:val="TableContents"/>
              <w:bidi w:val="0"/>
              <w:spacing w:before="0" w:after="283"/>
              <w:jc w:val="left"/>
              <w:rPr/>
            </w:pPr>
            <w:r>
              <w:rPr/>
              <w:t> </w:t>
            </w:r>
          </w:p>
        </w:tc>
        <w:tc>
          <w:tcPr>
            <w:tcW w:w="116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7.07</w:t>
            </w:r>
          </w:p>
        </w:tc>
        <w:tc>
          <w:tcPr>
            <w:tcW w:w="67" w:type="dxa"/>
            <w:tcBorders/>
            <w:vAlign w:val="center"/>
          </w:tcPr>
          <w:p>
            <w:pPr>
              <w:pStyle w:val="TableContents"/>
              <w:bidi w:val="0"/>
              <w:spacing w:before="0" w:after="283"/>
              <w:jc w:val="left"/>
              <w:rPr/>
            </w:pPr>
            <w:r>
              <w:rPr/>
              <w:t> </w:t>
            </w:r>
          </w:p>
        </w:tc>
        <w:tc>
          <w:tcPr>
            <w:tcW w:w="706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Reliance on Officer’s Certificate</w:t>
            </w:r>
          </w:p>
        </w:tc>
        <w:tc>
          <w:tcPr>
            <w:tcW w:w="51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w:t>
            </w:r>
          </w:p>
        </w:tc>
      </w:tr>
      <w:tr>
        <w:trPr/>
        <w:tc>
          <w:tcPr>
            <w:tcW w:w="83" w:type="dxa"/>
            <w:tcBorders/>
            <w:vAlign w:val="center"/>
          </w:tcPr>
          <w:p>
            <w:pPr>
              <w:pStyle w:val="TableContents"/>
              <w:bidi w:val="0"/>
              <w:spacing w:before="0" w:after="283"/>
              <w:jc w:val="left"/>
              <w:rPr/>
            </w:pPr>
            <w:r>
              <w:rPr/>
              <w:t> </w:t>
            </w:r>
          </w:p>
        </w:tc>
        <w:tc>
          <w:tcPr>
            <w:tcW w:w="116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7.08</w:t>
            </w:r>
          </w:p>
        </w:tc>
        <w:tc>
          <w:tcPr>
            <w:tcW w:w="67" w:type="dxa"/>
            <w:tcBorders/>
            <w:vAlign w:val="center"/>
          </w:tcPr>
          <w:p>
            <w:pPr>
              <w:pStyle w:val="TableContents"/>
              <w:bidi w:val="0"/>
              <w:spacing w:before="0" w:after="283"/>
              <w:jc w:val="left"/>
              <w:rPr/>
            </w:pPr>
            <w:r>
              <w:rPr/>
              <w:t> </w:t>
            </w:r>
          </w:p>
        </w:tc>
        <w:tc>
          <w:tcPr>
            <w:tcW w:w="706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Disqualification; Conflicting Interests</w:t>
            </w:r>
          </w:p>
        </w:tc>
        <w:tc>
          <w:tcPr>
            <w:tcW w:w="51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w:t>
            </w:r>
          </w:p>
        </w:tc>
      </w:tr>
      <w:tr>
        <w:trPr/>
        <w:tc>
          <w:tcPr>
            <w:tcW w:w="83" w:type="dxa"/>
            <w:tcBorders/>
            <w:vAlign w:val="center"/>
          </w:tcPr>
          <w:p>
            <w:pPr>
              <w:pStyle w:val="TableContents"/>
              <w:bidi w:val="0"/>
              <w:spacing w:before="0" w:after="283"/>
              <w:jc w:val="left"/>
              <w:rPr/>
            </w:pPr>
            <w:r>
              <w:rPr/>
              <w:t> </w:t>
            </w:r>
          </w:p>
        </w:tc>
        <w:tc>
          <w:tcPr>
            <w:tcW w:w="116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7.09</w:t>
            </w:r>
          </w:p>
        </w:tc>
        <w:tc>
          <w:tcPr>
            <w:tcW w:w="67" w:type="dxa"/>
            <w:tcBorders/>
            <w:vAlign w:val="center"/>
          </w:tcPr>
          <w:p>
            <w:pPr>
              <w:pStyle w:val="TableContents"/>
              <w:bidi w:val="0"/>
              <w:spacing w:before="0" w:after="283"/>
              <w:jc w:val="left"/>
              <w:rPr/>
            </w:pPr>
            <w:r>
              <w:rPr/>
              <w:t> </w:t>
            </w:r>
          </w:p>
        </w:tc>
        <w:tc>
          <w:tcPr>
            <w:tcW w:w="706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Corporate Trustee Required; Eligibility</w:t>
            </w:r>
          </w:p>
        </w:tc>
        <w:tc>
          <w:tcPr>
            <w:tcW w:w="51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w:t>
            </w:r>
          </w:p>
        </w:tc>
      </w:tr>
      <w:tr>
        <w:trPr/>
        <w:tc>
          <w:tcPr>
            <w:tcW w:w="83" w:type="dxa"/>
            <w:tcBorders/>
            <w:vAlign w:val="center"/>
          </w:tcPr>
          <w:p>
            <w:pPr>
              <w:pStyle w:val="TableContents"/>
              <w:bidi w:val="0"/>
              <w:spacing w:before="0" w:after="283"/>
              <w:jc w:val="left"/>
              <w:rPr/>
            </w:pPr>
            <w:r>
              <w:rPr/>
              <w:t> </w:t>
            </w:r>
          </w:p>
        </w:tc>
        <w:tc>
          <w:tcPr>
            <w:tcW w:w="116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7.10</w:t>
            </w:r>
          </w:p>
        </w:tc>
        <w:tc>
          <w:tcPr>
            <w:tcW w:w="67" w:type="dxa"/>
            <w:tcBorders/>
            <w:vAlign w:val="center"/>
          </w:tcPr>
          <w:p>
            <w:pPr>
              <w:pStyle w:val="TableContents"/>
              <w:bidi w:val="0"/>
              <w:spacing w:before="0" w:after="283"/>
              <w:jc w:val="left"/>
              <w:rPr/>
            </w:pPr>
            <w:r>
              <w:rPr/>
              <w:t> </w:t>
            </w:r>
          </w:p>
        </w:tc>
        <w:tc>
          <w:tcPr>
            <w:tcW w:w="706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Resignation and Removal; Appointment of Successor</w:t>
            </w:r>
          </w:p>
        </w:tc>
        <w:tc>
          <w:tcPr>
            <w:tcW w:w="51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w:t>
            </w:r>
          </w:p>
        </w:tc>
      </w:tr>
      <w:tr>
        <w:trPr/>
        <w:tc>
          <w:tcPr>
            <w:tcW w:w="83" w:type="dxa"/>
            <w:tcBorders/>
            <w:vAlign w:val="center"/>
          </w:tcPr>
          <w:p>
            <w:pPr>
              <w:pStyle w:val="TableContents"/>
              <w:bidi w:val="0"/>
              <w:spacing w:before="0" w:after="283"/>
              <w:jc w:val="left"/>
              <w:rPr/>
            </w:pPr>
            <w:r>
              <w:rPr/>
              <w:t> </w:t>
            </w:r>
          </w:p>
        </w:tc>
        <w:tc>
          <w:tcPr>
            <w:tcW w:w="116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7.11</w:t>
            </w:r>
          </w:p>
        </w:tc>
        <w:tc>
          <w:tcPr>
            <w:tcW w:w="67" w:type="dxa"/>
            <w:tcBorders/>
            <w:vAlign w:val="center"/>
          </w:tcPr>
          <w:p>
            <w:pPr>
              <w:pStyle w:val="TableContents"/>
              <w:bidi w:val="0"/>
              <w:spacing w:before="0" w:after="283"/>
              <w:jc w:val="left"/>
              <w:rPr/>
            </w:pPr>
            <w:r>
              <w:rPr/>
              <w:t> </w:t>
            </w:r>
          </w:p>
        </w:tc>
        <w:tc>
          <w:tcPr>
            <w:tcW w:w="706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Acceptance of Appointment By Successor</w:t>
            </w:r>
          </w:p>
        </w:tc>
        <w:tc>
          <w:tcPr>
            <w:tcW w:w="51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w:t>
            </w:r>
          </w:p>
        </w:tc>
      </w:tr>
      <w:tr>
        <w:trPr/>
        <w:tc>
          <w:tcPr>
            <w:tcW w:w="83" w:type="dxa"/>
            <w:tcBorders/>
            <w:vAlign w:val="center"/>
          </w:tcPr>
          <w:p>
            <w:pPr>
              <w:pStyle w:val="TableContents"/>
              <w:bidi w:val="0"/>
              <w:spacing w:before="0" w:after="283"/>
              <w:jc w:val="left"/>
              <w:rPr/>
            </w:pPr>
            <w:r>
              <w:rPr/>
              <w:t> </w:t>
            </w:r>
          </w:p>
        </w:tc>
        <w:tc>
          <w:tcPr>
            <w:tcW w:w="116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7.12</w:t>
            </w:r>
          </w:p>
        </w:tc>
        <w:tc>
          <w:tcPr>
            <w:tcW w:w="67" w:type="dxa"/>
            <w:tcBorders/>
            <w:vAlign w:val="center"/>
          </w:tcPr>
          <w:p>
            <w:pPr>
              <w:pStyle w:val="TableContents"/>
              <w:bidi w:val="0"/>
              <w:spacing w:before="0" w:after="283"/>
              <w:jc w:val="left"/>
              <w:rPr/>
            </w:pPr>
            <w:r>
              <w:rPr/>
              <w:t> </w:t>
            </w:r>
          </w:p>
        </w:tc>
        <w:tc>
          <w:tcPr>
            <w:tcW w:w="706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Merger, Amalgamation, Conversion, Consolidation or Succession to Business</w:t>
            </w:r>
          </w:p>
        </w:tc>
        <w:tc>
          <w:tcPr>
            <w:tcW w:w="51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w:t>
            </w:r>
          </w:p>
        </w:tc>
      </w:tr>
    </w:tbl>
    <w:tbl>
      <w:tblPr>
        <w:tblW w:w="5925" w:type="dxa"/>
        <w:jc w:val="left"/>
        <w:tblInd w:w="0" w:type="dxa"/>
        <w:tblLayout w:type="fixed"/>
        <w:tblCellMar>
          <w:top w:w="0" w:type="dxa"/>
          <w:left w:w="0" w:type="dxa"/>
          <w:bottom w:w="0" w:type="dxa"/>
          <w:right w:w="0" w:type="dxa"/>
        </w:tblCellMar>
      </w:tblPr>
      <w:tblGrid>
        <w:gridCol w:w="75"/>
        <w:gridCol w:w="1040"/>
        <w:gridCol w:w="60"/>
        <w:gridCol w:w="4505"/>
        <w:gridCol w:w="245"/>
      </w:tblGrid>
      <w:tr>
        <w:trPr/>
        <w:tc>
          <w:tcPr>
            <w:tcW w:w="75"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7.13</w:t>
            </w:r>
          </w:p>
        </w:tc>
        <w:tc>
          <w:tcPr>
            <w:tcW w:w="60" w:type="dxa"/>
            <w:tcBorders/>
            <w:vAlign w:val="center"/>
          </w:tcPr>
          <w:p>
            <w:pPr>
              <w:pStyle w:val="TableContents"/>
              <w:bidi w:val="0"/>
              <w:spacing w:before="0" w:after="283"/>
              <w:jc w:val="left"/>
              <w:rPr/>
            </w:pPr>
            <w:r>
              <w:rPr/>
              <w:t> </w:t>
            </w:r>
          </w:p>
        </w:tc>
        <w:tc>
          <w:tcPr>
            <w:tcW w:w="45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Preferential Collection of Claims Against the Company</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w:t>
            </w:r>
          </w:p>
        </w:tc>
      </w:tr>
      <w:tr>
        <w:trPr/>
        <w:tc>
          <w:tcPr>
            <w:tcW w:w="75"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7.14</w:t>
            </w:r>
          </w:p>
        </w:tc>
        <w:tc>
          <w:tcPr>
            <w:tcW w:w="60" w:type="dxa"/>
            <w:tcBorders/>
            <w:vAlign w:val="center"/>
          </w:tcPr>
          <w:p>
            <w:pPr>
              <w:pStyle w:val="TableContents"/>
              <w:bidi w:val="0"/>
              <w:spacing w:before="0" w:after="283"/>
              <w:jc w:val="left"/>
              <w:rPr/>
            </w:pPr>
            <w:r>
              <w:rPr/>
              <w:t> </w:t>
            </w:r>
          </w:p>
        </w:tc>
        <w:tc>
          <w:tcPr>
            <w:tcW w:w="45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Notice of Default</w:t>
            </w:r>
          </w:p>
        </w:tc>
        <w:tc>
          <w:tcPr>
            <w:tcW w:w="24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Table Of Contents</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(continued)</w:t>
      </w:r>
    </w:p>
    <w:p>
      <w:pPr>
        <w:pStyle w:val="TextBody"/>
        <w:bidi w:val="0"/>
        <w:spacing w:before="0" w:after="0"/>
        <w:ind w:left="0" w:right="0" w:hanging="0"/>
        <w:jc w:val="left"/>
        <w:rPr>
          <w:caps w:val="false"/>
          <w:smallCaps w:val="false"/>
        </w:rPr>
      </w:pPr>
      <w:r>
        <w:rPr>
          <w:caps w:val="false"/>
          <w:smallCaps w:val="false"/>
        </w:rPr>
        <w:t> </w:t>
      </w:r>
    </w:p>
    <w:tbl>
      <w:tblPr>
        <w:tblW w:w="8798" w:type="dxa"/>
        <w:jc w:val="left"/>
        <w:tblInd w:w="0" w:type="dxa"/>
        <w:tblLayout w:type="fixed"/>
        <w:tblCellMar>
          <w:top w:w="0" w:type="dxa"/>
          <w:left w:w="0" w:type="dxa"/>
          <w:bottom w:w="0" w:type="dxa"/>
          <w:right w:w="0" w:type="dxa"/>
        </w:tblCellMar>
      </w:tblPr>
      <w:tblGrid>
        <w:gridCol w:w="94"/>
        <w:gridCol w:w="1438"/>
        <w:gridCol w:w="75"/>
        <w:gridCol w:w="6676"/>
        <w:gridCol w:w="515"/>
      </w:tblGrid>
      <w:tr>
        <w:trPr/>
        <w:tc>
          <w:tcPr>
            <w:tcW w:w="94" w:type="dxa"/>
            <w:tcBorders/>
            <w:vAlign w:val="center"/>
          </w:tcPr>
          <w:p>
            <w:pPr>
              <w:pStyle w:val="TableContents"/>
              <w:bidi w:val="0"/>
              <w:spacing w:before="0" w:after="283"/>
              <w:jc w:val="left"/>
              <w:rPr/>
            </w:pPr>
            <w:r>
              <w:rPr/>
              <w:t> </w:t>
            </w:r>
          </w:p>
        </w:tc>
        <w:tc>
          <w:tcPr>
            <w:tcW w:w="1438"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6676"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rFonts w:ascii="Times New Roman;Times;Serif" w:hAnsi="Times New Roman;Times;Serif"/>
                <w:b/>
                <w:smallCaps/>
                <w:sz w:val="20"/>
              </w:rPr>
            </w:pPr>
            <w:r>
              <w:rPr>
                <w:rFonts w:ascii="Times New Roman;Times;Serif" w:hAnsi="Times New Roman;Times;Serif"/>
                <w:b/>
                <w:smallCaps/>
                <w:sz w:val="20"/>
              </w:rPr>
              <w:t>Page</w:t>
            </w:r>
          </w:p>
        </w:tc>
      </w:tr>
      <w:tr>
        <w:trPr/>
        <w:tc>
          <w:tcPr>
            <w:tcW w:w="94" w:type="dxa"/>
            <w:tcBorders/>
            <w:vAlign w:val="center"/>
          </w:tcPr>
          <w:p>
            <w:pPr>
              <w:pStyle w:val="TableContents"/>
              <w:bidi w:val="0"/>
              <w:spacing w:before="0" w:after="283"/>
              <w:jc w:val="left"/>
              <w:rPr/>
            </w:pPr>
            <w:r>
              <w:rPr/>
              <w:t> </w:t>
            </w:r>
          </w:p>
        </w:tc>
        <w:tc>
          <w:tcPr>
            <w:tcW w:w="1438"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6676"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 </w:t>
            </w:r>
          </w:p>
        </w:tc>
      </w:tr>
      <w:tr>
        <w:trPr/>
        <w:tc>
          <w:tcPr>
            <w:tcW w:w="8283" w:type="dxa"/>
            <w:gridSpan w:val="4"/>
            <w:tcBorders/>
            <w:vAlign w:val="center"/>
          </w:tcPr>
          <w:p>
            <w:pPr>
              <w:pStyle w:val="TableContents"/>
              <w:bidi w:val="0"/>
              <w:spacing w:before="0" w:after="283"/>
              <w:jc w:val="left"/>
              <w:rPr/>
            </w:pPr>
            <w:r>
              <w:rPr>
                <w:rFonts w:ascii="Times New Roman;Times;Serif" w:hAnsi="Times New Roman;Times;Serif"/>
                <w:caps/>
                <w:sz w:val="20"/>
              </w:rPr>
              <w:t>article 8</w:t>
            </w:r>
            <w:r>
              <w:rPr/>
              <w:t xml:space="preserve"> </w:t>
            </w:r>
            <w:r>
              <w:rPr>
                <w:rFonts w:ascii="Times New Roman;Times;Serif" w:hAnsi="Times New Roman;Times;Serif"/>
                <w:caps/>
                <w:sz w:val="20"/>
              </w:rPr>
              <w:t>CONCERNING THE SECURITYHOLDERS</w:t>
            </w:r>
          </w:p>
        </w:tc>
        <w:tc>
          <w:tcPr>
            <w:tcW w:w="515" w:type="dxa"/>
            <w:tcBorders/>
            <w:vAlign w:val="center"/>
          </w:tcPr>
          <w:p>
            <w:pPr>
              <w:pStyle w:val="TableContents"/>
              <w:bidi w:val="0"/>
              <w:spacing w:before="0" w:after="283"/>
              <w:jc w:val="right"/>
              <w:rPr>
                <w:rFonts w:ascii="Times New Roman;Times;Serif" w:hAnsi="Times New Roman;Times;Serif"/>
                <w:caps/>
                <w:sz w:val="20"/>
              </w:rPr>
            </w:pPr>
            <w:r>
              <w:rPr>
                <w:rFonts w:ascii="Times New Roman;Times;Serif" w:hAnsi="Times New Roman;Times;Serif"/>
                <w:caps/>
                <w:sz w:val="20"/>
              </w:rPr>
              <w:t>27</w:t>
            </w:r>
          </w:p>
        </w:tc>
      </w:tr>
      <w:tr>
        <w:trPr/>
        <w:tc>
          <w:tcPr>
            <w:tcW w:w="1532" w:type="dxa"/>
            <w:gridSpan w:val="2"/>
            <w:tcBorders/>
            <w:vAlign w:val="center"/>
          </w:tcPr>
          <w:p>
            <w:pPr>
              <w:pStyle w:val="TableContents"/>
              <w:bidi w:val="0"/>
              <w:spacing w:before="0" w:after="283"/>
              <w:jc w:val="left"/>
              <w:rPr/>
            </w:pPr>
            <w:r>
              <w:rPr/>
              <w:t> </w:t>
            </w:r>
          </w:p>
        </w:tc>
        <w:tc>
          <w:tcPr>
            <w:tcW w:w="6751" w:type="dxa"/>
            <w:gridSpan w:val="2"/>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 </w:t>
            </w:r>
          </w:p>
        </w:tc>
      </w:tr>
      <w:tr>
        <w:trPr/>
        <w:tc>
          <w:tcPr>
            <w:tcW w:w="94" w:type="dxa"/>
            <w:tcBorders/>
            <w:vAlign w:val="center"/>
          </w:tcPr>
          <w:p>
            <w:pPr>
              <w:pStyle w:val="TableContents"/>
              <w:bidi w:val="0"/>
              <w:spacing w:before="0" w:after="283"/>
              <w:jc w:val="left"/>
              <w:rPr/>
            </w:pPr>
            <w:r>
              <w:rPr/>
              <w:t> </w:t>
            </w:r>
          </w:p>
        </w:tc>
        <w:tc>
          <w:tcPr>
            <w:tcW w:w="143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8.01</w:t>
            </w:r>
          </w:p>
        </w:tc>
        <w:tc>
          <w:tcPr>
            <w:tcW w:w="75" w:type="dxa"/>
            <w:tcBorders/>
            <w:vAlign w:val="center"/>
          </w:tcPr>
          <w:p>
            <w:pPr>
              <w:pStyle w:val="TableContents"/>
              <w:bidi w:val="0"/>
              <w:spacing w:before="0" w:after="283"/>
              <w:jc w:val="left"/>
              <w:rPr/>
            </w:pPr>
            <w:r>
              <w:rPr/>
              <w:t> </w:t>
            </w:r>
          </w:p>
        </w:tc>
        <w:tc>
          <w:tcPr>
            <w:tcW w:w="667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Evidence of Action by Securityholders</w:t>
            </w:r>
          </w:p>
        </w:tc>
        <w:tc>
          <w:tcPr>
            <w:tcW w:w="51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w:t>
            </w:r>
          </w:p>
        </w:tc>
      </w:tr>
      <w:tr>
        <w:trPr/>
        <w:tc>
          <w:tcPr>
            <w:tcW w:w="94" w:type="dxa"/>
            <w:tcBorders/>
            <w:vAlign w:val="center"/>
          </w:tcPr>
          <w:p>
            <w:pPr>
              <w:pStyle w:val="TableContents"/>
              <w:bidi w:val="0"/>
              <w:spacing w:before="0" w:after="283"/>
              <w:jc w:val="left"/>
              <w:rPr/>
            </w:pPr>
            <w:r>
              <w:rPr/>
              <w:t> </w:t>
            </w:r>
          </w:p>
        </w:tc>
        <w:tc>
          <w:tcPr>
            <w:tcW w:w="143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8.02</w:t>
            </w:r>
          </w:p>
        </w:tc>
        <w:tc>
          <w:tcPr>
            <w:tcW w:w="75" w:type="dxa"/>
            <w:tcBorders/>
            <w:vAlign w:val="center"/>
          </w:tcPr>
          <w:p>
            <w:pPr>
              <w:pStyle w:val="TableContents"/>
              <w:bidi w:val="0"/>
              <w:spacing w:before="0" w:after="283"/>
              <w:jc w:val="left"/>
              <w:rPr/>
            </w:pPr>
            <w:r>
              <w:rPr/>
              <w:t> </w:t>
            </w:r>
          </w:p>
        </w:tc>
        <w:tc>
          <w:tcPr>
            <w:tcW w:w="667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Proof of Execution by Securityholders</w:t>
            </w:r>
          </w:p>
        </w:tc>
        <w:tc>
          <w:tcPr>
            <w:tcW w:w="51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w:t>
            </w:r>
          </w:p>
        </w:tc>
      </w:tr>
      <w:tr>
        <w:trPr/>
        <w:tc>
          <w:tcPr>
            <w:tcW w:w="94" w:type="dxa"/>
            <w:tcBorders/>
            <w:vAlign w:val="center"/>
          </w:tcPr>
          <w:p>
            <w:pPr>
              <w:pStyle w:val="TableContents"/>
              <w:bidi w:val="0"/>
              <w:spacing w:before="0" w:after="283"/>
              <w:jc w:val="left"/>
              <w:rPr/>
            </w:pPr>
            <w:r>
              <w:rPr/>
              <w:t> </w:t>
            </w:r>
          </w:p>
        </w:tc>
        <w:tc>
          <w:tcPr>
            <w:tcW w:w="143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8.03</w:t>
            </w:r>
          </w:p>
        </w:tc>
        <w:tc>
          <w:tcPr>
            <w:tcW w:w="75" w:type="dxa"/>
            <w:tcBorders/>
            <w:vAlign w:val="center"/>
          </w:tcPr>
          <w:p>
            <w:pPr>
              <w:pStyle w:val="TableContents"/>
              <w:bidi w:val="0"/>
              <w:spacing w:before="0" w:after="283"/>
              <w:jc w:val="left"/>
              <w:rPr/>
            </w:pPr>
            <w:r>
              <w:rPr/>
              <w:t> </w:t>
            </w:r>
          </w:p>
        </w:tc>
        <w:tc>
          <w:tcPr>
            <w:tcW w:w="667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Who May be Deemed Owners</w:t>
            </w:r>
          </w:p>
        </w:tc>
        <w:tc>
          <w:tcPr>
            <w:tcW w:w="51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w:t>
            </w:r>
          </w:p>
        </w:tc>
      </w:tr>
      <w:tr>
        <w:trPr/>
        <w:tc>
          <w:tcPr>
            <w:tcW w:w="94" w:type="dxa"/>
            <w:tcBorders/>
            <w:vAlign w:val="center"/>
          </w:tcPr>
          <w:p>
            <w:pPr>
              <w:pStyle w:val="TableContents"/>
              <w:bidi w:val="0"/>
              <w:spacing w:before="0" w:after="283"/>
              <w:jc w:val="left"/>
              <w:rPr/>
            </w:pPr>
            <w:r>
              <w:rPr/>
              <w:t> </w:t>
            </w:r>
          </w:p>
        </w:tc>
        <w:tc>
          <w:tcPr>
            <w:tcW w:w="143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8.04</w:t>
            </w:r>
          </w:p>
        </w:tc>
        <w:tc>
          <w:tcPr>
            <w:tcW w:w="75" w:type="dxa"/>
            <w:tcBorders/>
            <w:vAlign w:val="center"/>
          </w:tcPr>
          <w:p>
            <w:pPr>
              <w:pStyle w:val="TableContents"/>
              <w:bidi w:val="0"/>
              <w:spacing w:before="0" w:after="283"/>
              <w:jc w:val="left"/>
              <w:rPr/>
            </w:pPr>
            <w:r>
              <w:rPr/>
              <w:t> </w:t>
            </w:r>
          </w:p>
        </w:tc>
        <w:tc>
          <w:tcPr>
            <w:tcW w:w="667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Certain Securities Owned by Company Disregarded</w:t>
            </w:r>
          </w:p>
        </w:tc>
        <w:tc>
          <w:tcPr>
            <w:tcW w:w="51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w:t>
            </w:r>
          </w:p>
        </w:tc>
      </w:tr>
      <w:tr>
        <w:trPr/>
        <w:tc>
          <w:tcPr>
            <w:tcW w:w="94" w:type="dxa"/>
            <w:tcBorders/>
            <w:vAlign w:val="center"/>
          </w:tcPr>
          <w:p>
            <w:pPr>
              <w:pStyle w:val="TableContents"/>
              <w:bidi w:val="0"/>
              <w:spacing w:before="0" w:after="283"/>
              <w:jc w:val="left"/>
              <w:rPr/>
            </w:pPr>
            <w:r>
              <w:rPr/>
              <w:t> </w:t>
            </w:r>
          </w:p>
        </w:tc>
        <w:tc>
          <w:tcPr>
            <w:tcW w:w="143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8.05</w:t>
            </w:r>
          </w:p>
        </w:tc>
        <w:tc>
          <w:tcPr>
            <w:tcW w:w="75" w:type="dxa"/>
            <w:tcBorders/>
            <w:vAlign w:val="center"/>
          </w:tcPr>
          <w:p>
            <w:pPr>
              <w:pStyle w:val="TableContents"/>
              <w:bidi w:val="0"/>
              <w:spacing w:before="0" w:after="283"/>
              <w:jc w:val="left"/>
              <w:rPr/>
            </w:pPr>
            <w:r>
              <w:rPr/>
              <w:t> </w:t>
            </w:r>
          </w:p>
        </w:tc>
        <w:tc>
          <w:tcPr>
            <w:tcW w:w="667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Actions Binding on Future Securityholders</w:t>
            </w:r>
          </w:p>
        </w:tc>
        <w:tc>
          <w:tcPr>
            <w:tcW w:w="51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w:t>
            </w:r>
          </w:p>
        </w:tc>
      </w:tr>
      <w:tr>
        <w:trPr/>
        <w:tc>
          <w:tcPr>
            <w:tcW w:w="94" w:type="dxa"/>
            <w:tcBorders/>
            <w:vAlign w:val="center"/>
          </w:tcPr>
          <w:p>
            <w:pPr>
              <w:pStyle w:val="TableContents"/>
              <w:bidi w:val="0"/>
              <w:spacing w:before="0" w:after="283"/>
              <w:jc w:val="left"/>
              <w:rPr/>
            </w:pPr>
            <w:r>
              <w:rPr/>
              <w:t> </w:t>
            </w:r>
          </w:p>
        </w:tc>
        <w:tc>
          <w:tcPr>
            <w:tcW w:w="1438"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6676"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 </w:t>
            </w:r>
          </w:p>
        </w:tc>
      </w:tr>
      <w:tr>
        <w:trPr/>
        <w:tc>
          <w:tcPr>
            <w:tcW w:w="8283" w:type="dxa"/>
            <w:gridSpan w:val="4"/>
            <w:tcBorders/>
            <w:vAlign w:val="center"/>
          </w:tcPr>
          <w:p>
            <w:pPr>
              <w:pStyle w:val="TableContents"/>
              <w:bidi w:val="0"/>
              <w:spacing w:before="0" w:after="283"/>
              <w:jc w:val="left"/>
              <w:rPr/>
            </w:pPr>
            <w:r>
              <w:rPr>
                <w:rFonts w:ascii="Times New Roman;Times;Serif" w:hAnsi="Times New Roman;Times;Serif"/>
                <w:caps/>
                <w:sz w:val="20"/>
              </w:rPr>
              <w:t>article 9</w:t>
            </w:r>
            <w:r>
              <w:rPr/>
              <w:t xml:space="preserve"> </w:t>
            </w:r>
            <w:r>
              <w:rPr>
                <w:rFonts w:ascii="Times New Roman;Times;Serif" w:hAnsi="Times New Roman;Times;Serif"/>
                <w:caps/>
                <w:sz w:val="20"/>
              </w:rPr>
              <w:t>SUPPLEMENTAL INDENTURES</w:t>
            </w:r>
          </w:p>
        </w:tc>
        <w:tc>
          <w:tcPr>
            <w:tcW w:w="515" w:type="dxa"/>
            <w:tcBorders/>
            <w:vAlign w:val="center"/>
          </w:tcPr>
          <w:p>
            <w:pPr>
              <w:pStyle w:val="TableContents"/>
              <w:bidi w:val="0"/>
              <w:spacing w:before="0" w:after="283"/>
              <w:jc w:val="right"/>
              <w:rPr>
                <w:rFonts w:ascii="Times New Roman;Times;Serif" w:hAnsi="Times New Roman;Times;Serif"/>
                <w:caps/>
                <w:sz w:val="20"/>
              </w:rPr>
            </w:pPr>
            <w:r>
              <w:rPr>
                <w:rFonts w:ascii="Times New Roman;Times;Serif" w:hAnsi="Times New Roman;Times;Serif"/>
                <w:caps/>
                <w:sz w:val="20"/>
              </w:rPr>
              <w:t>28</w:t>
            </w:r>
          </w:p>
        </w:tc>
      </w:tr>
      <w:tr>
        <w:trPr/>
        <w:tc>
          <w:tcPr>
            <w:tcW w:w="1532" w:type="dxa"/>
            <w:gridSpan w:val="2"/>
            <w:tcBorders/>
            <w:vAlign w:val="center"/>
          </w:tcPr>
          <w:p>
            <w:pPr>
              <w:pStyle w:val="TableContents"/>
              <w:bidi w:val="0"/>
              <w:spacing w:before="0" w:after="283"/>
              <w:jc w:val="left"/>
              <w:rPr/>
            </w:pPr>
            <w:r>
              <w:rPr/>
              <w:t> </w:t>
            </w:r>
          </w:p>
        </w:tc>
        <w:tc>
          <w:tcPr>
            <w:tcW w:w="6751" w:type="dxa"/>
            <w:gridSpan w:val="2"/>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 </w:t>
            </w:r>
          </w:p>
        </w:tc>
      </w:tr>
      <w:tr>
        <w:trPr/>
        <w:tc>
          <w:tcPr>
            <w:tcW w:w="94" w:type="dxa"/>
            <w:tcBorders/>
            <w:vAlign w:val="center"/>
          </w:tcPr>
          <w:p>
            <w:pPr>
              <w:pStyle w:val="TableContents"/>
              <w:bidi w:val="0"/>
              <w:spacing w:before="0" w:after="283"/>
              <w:jc w:val="left"/>
              <w:rPr/>
            </w:pPr>
            <w:r>
              <w:rPr/>
              <w:t> </w:t>
            </w:r>
          </w:p>
        </w:tc>
        <w:tc>
          <w:tcPr>
            <w:tcW w:w="143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9.01</w:t>
            </w:r>
          </w:p>
        </w:tc>
        <w:tc>
          <w:tcPr>
            <w:tcW w:w="75" w:type="dxa"/>
            <w:tcBorders/>
            <w:vAlign w:val="center"/>
          </w:tcPr>
          <w:p>
            <w:pPr>
              <w:pStyle w:val="TableContents"/>
              <w:bidi w:val="0"/>
              <w:spacing w:before="0" w:after="283"/>
              <w:jc w:val="left"/>
              <w:rPr/>
            </w:pPr>
            <w:r>
              <w:rPr/>
              <w:t> </w:t>
            </w:r>
          </w:p>
        </w:tc>
        <w:tc>
          <w:tcPr>
            <w:tcW w:w="667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Supplemental Indentures Without the Consent of Securityholders</w:t>
            </w:r>
          </w:p>
        </w:tc>
        <w:tc>
          <w:tcPr>
            <w:tcW w:w="51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w:t>
            </w:r>
          </w:p>
        </w:tc>
      </w:tr>
      <w:tr>
        <w:trPr/>
        <w:tc>
          <w:tcPr>
            <w:tcW w:w="94" w:type="dxa"/>
            <w:tcBorders/>
            <w:vAlign w:val="center"/>
          </w:tcPr>
          <w:p>
            <w:pPr>
              <w:pStyle w:val="TableContents"/>
              <w:bidi w:val="0"/>
              <w:spacing w:before="0" w:after="283"/>
              <w:jc w:val="left"/>
              <w:rPr/>
            </w:pPr>
            <w:r>
              <w:rPr/>
              <w:t> </w:t>
            </w:r>
          </w:p>
        </w:tc>
        <w:tc>
          <w:tcPr>
            <w:tcW w:w="143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9.02</w:t>
            </w:r>
          </w:p>
        </w:tc>
        <w:tc>
          <w:tcPr>
            <w:tcW w:w="75" w:type="dxa"/>
            <w:tcBorders/>
            <w:vAlign w:val="center"/>
          </w:tcPr>
          <w:p>
            <w:pPr>
              <w:pStyle w:val="TableContents"/>
              <w:bidi w:val="0"/>
              <w:spacing w:before="0" w:after="283"/>
              <w:jc w:val="left"/>
              <w:rPr/>
            </w:pPr>
            <w:r>
              <w:rPr/>
              <w:t> </w:t>
            </w:r>
          </w:p>
        </w:tc>
        <w:tc>
          <w:tcPr>
            <w:tcW w:w="667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Supplemental Indentures with Consent of Securityholders</w:t>
            </w:r>
          </w:p>
        </w:tc>
        <w:tc>
          <w:tcPr>
            <w:tcW w:w="51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w:t>
            </w:r>
          </w:p>
        </w:tc>
      </w:tr>
      <w:tr>
        <w:trPr/>
        <w:tc>
          <w:tcPr>
            <w:tcW w:w="94" w:type="dxa"/>
            <w:tcBorders/>
            <w:vAlign w:val="center"/>
          </w:tcPr>
          <w:p>
            <w:pPr>
              <w:pStyle w:val="TableContents"/>
              <w:bidi w:val="0"/>
              <w:spacing w:before="0" w:after="283"/>
              <w:jc w:val="left"/>
              <w:rPr/>
            </w:pPr>
            <w:r>
              <w:rPr/>
              <w:t> </w:t>
            </w:r>
          </w:p>
        </w:tc>
        <w:tc>
          <w:tcPr>
            <w:tcW w:w="143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9.03</w:t>
            </w:r>
          </w:p>
        </w:tc>
        <w:tc>
          <w:tcPr>
            <w:tcW w:w="75" w:type="dxa"/>
            <w:tcBorders/>
            <w:vAlign w:val="center"/>
          </w:tcPr>
          <w:p>
            <w:pPr>
              <w:pStyle w:val="TableContents"/>
              <w:bidi w:val="0"/>
              <w:spacing w:before="0" w:after="283"/>
              <w:jc w:val="left"/>
              <w:rPr/>
            </w:pPr>
            <w:r>
              <w:rPr/>
              <w:t> </w:t>
            </w:r>
          </w:p>
        </w:tc>
        <w:tc>
          <w:tcPr>
            <w:tcW w:w="667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Effect of Supplemental Indentures</w:t>
            </w:r>
          </w:p>
        </w:tc>
        <w:tc>
          <w:tcPr>
            <w:tcW w:w="51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w:t>
            </w:r>
          </w:p>
        </w:tc>
      </w:tr>
      <w:tr>
        <w:trPr/>
        <w:tc>
          <w:tcPr>
            <w:tcW w:w="94" w:type="dxa"/>
            <w:tcBorders/>
            <w:vAlign w:val="center"/>
          </w:tcPr>
          <w:p>
            <w:pPr>
              <w:pStyle w:val="TableContents"/>
              <w:bidi w:val="0"/>
              <w:spacing w:before="0" w:after="283"/>
              <w:jc w:val="left"/>
              <w:rPr/>
            </w:pPr>
            <w:r>
              <w:rPr/>
              <w:t> </w:t>
            </w:r>
          </w:p>
        </w:tc>
        <w:tc>
          <w:tcPr>
            <w:tcW w:w="143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9.04</w:t>
            </w:r>
          </w:p>
        </w:tc>
        <w:tc>
          <w:tcPr>
            <w:tcW w:w="75" w:type="dxa"/>
            <w:tcBorders/>
            <w:vAlign w:val="center"/>
          </w:tcPr>
          <w:p>
            <w:pPr>
              <w:pStyle w:val="TableContents"/>
              <w:bidi w:val="0"/>
              <w:spacing w:before="0" w:after="283"/>
              <w:jc w:val="left"/>
              <w:rPr/>
            </w:pPr>
            <w:r>
              <w:rPr/>
              <w:t> </w:t>
            </w:r>
          </w:p>
        </w:tc>
        <w:tc>
          <w:tcPr>
            <w:tcW w:w="667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Securities Affected by Supplemental Indentures</w:t>
            </w:r>
          </w:p>
        </w:tc>
        <w:tc>
          <w:tcPr>
            <w:tcW w:w="51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w:t>
            </w:r>
          </w:p>
        </w:tc>
      </w:tr>
      <w:tr>
        <w:trPr/>
        <w:tc>
          <w:tcPr>
            <w:tcW w:w="94" w:type="dxa"/>
            <w:tcBorders/>
            <w:vAlign w:val="center"/>
          </w:tcPr>
          <w:p>
            <w:pPr>
              <w:pStyle w:val="TableContents"/>
              <w:bidi w:val="0"/>
              <w:spacing w:before="0" w:after="283"/>
              <w:jc w:val="left"/>
              <w:rPr/>
            </w:pPr>
            <w:r>
              <w:rPr/>
              <w:t> </w:t>
            </w:r>
          </w:p>
        </w:tc>
        <w:tc>
          <w:tcPr>
            <w:tcW w:w="143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9.05</w:t>
            </w:r>
          </w:p>
        </w:tc>
        <w:tc>
          <w:tcPr>
            <w:tcW w:w="75" w:type="dxa"/>
            <w:tcBorders/>
            <w:vAlign w:val="center"/>
          </w:tcPr>
          <w:p>
            <w:pPr>
              <w:pStyle w:val="TableContents"/>
              <w:bidi w:val="0"/>
              <w:spacing w:before="0" w:after="283"/>
              <w:jc w:val="left"/>
              <w:rPr/>
            </w:pPr>
            <w:r>
              <w:rPr/>
              <w:t> </w:t>
            </w:r>
          </w:p>
        </w:tc>
        <w:tc>
          <w:tcPr>
            <w:tcW w:w="667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Execution of Supplemental Indentures</w:t>
            </w:r>
          </w:p>
        </w:tc>
        <w:tc>
          <w:tcPr>
            <w:tcW w:w="51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w:t>
            </w:r>
          </w:p>
        </w:tc>
      </w:tr>
      <w:tr>
        <w:trPr/>
        <w:tc>
          <w:tcPr>
            <w:tcW w:w="94" w:type="dxa"/>
            <w:tcBorders/>
            <w:vAlign w:val="center"/>
          </w:tcPr>
          <w:p>
            <w:pPr>
              <w:pStyle w:val="TableContents"/>
              <w:bidi w:val="0"/>
              <w:spacing w:before="0" w:after="283"/>
              <w:jc w:val="left"/>
              <w:rPr/>
            </w:pPr>
            <w:r>
              <w:rPr/>
              <w:t> </w:t>
            </w:r>
          </w:p>
        </w:tc>
        <w:tc>
          <w:tcPr>
            <w:tcW w:w="1438"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6676"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 </w:t>
            </w:r>
          </w:p>
        </w:tc>
      </w:tr>
      <w:tr>
        <w:trPr/>
        <w:tc>
          <w:tcPr>
            <w:tcW w:w="8283" w:type="dxa"/>
            <w:gridSpan w:val="4"/>
            <w:tcBorders/>
            <w:vAlign w:val="center"/>
          </w:tcPr>
          <w:p>
            <w:pPr>
              <w:pStyle w:val="TableContents"/>
              <w:bidi w:val="0"/>
              <w:spacing w:before="0" w:after="283"/>
              <w:jc w:val="left"/>
              <w:rPr/>
            </w:pPr>
            <w:r>
              <w:rPr>
                <w:rFonts w:ascii="Times New Roman;Times;Serif" w:hAnsi="Times New Roman;Times;Serif"/>
                <w:caps/>
                <w:sz w:val="20"/>
              </w:rPr>
              <w:t>article 10</w:t>
            </w:r>
            <w:r>
              <w:rPr/>
              <w:t xml:space="preserve"> </w:t>
            </w:r>
            <w:r>
              <w:rPr>
                <w:rFonts w:ascii="Times New Roman;Times;Serif" w:hAnsi="Times New Roman;Times;Serif"/>
                <w:caps/>
                <w:sz w:val="20"/>
              </w:rPr>
              <w:t>SUCCESSOR ENTITY</w:t>
            </w:r>
          </w:p>
        </w:tc>
        <w:tc>
          <w:tcPr>
            <w:tcW w:w="515" w:type="dxa"/>
            <w:tcBorders/>
            <w:vAlign w:val="center"/>
          </w:tcPr>
          <w:p>
            <w:pPr>
              <w:pStyle w:val="TableContents"/>
              <w:bidi w:val="0"/>
              <w:spacing w:before="0" w:after="283"/>
              <w:jc w:val="right"/>
              <w:rPr>
                <w:rFonts w:ascii="Times New Roman;Times;Serif" w:hAnsi="Times New Roman;Times;Serif"/>
                <w:caps/>
                <w:sz w:val="20"/>
              </w:rPr>
            </w:pPr>
            <w:r>
              <w:rPr>
                <w:rFonts w:ascii="Times New Roman;Times;Serif" w:hAnsi="Times New Roman;Times;Serif"/>
                <w:caps/>
                <w:sz w:val="20"/>
              </w:rPr>
              <w:t>30</w:t>
            </w:r>
          </w:p>
        </w:tc>
      </w:tr>
      <w:tr>
        <w:trPr/>
        <w:tc>
          <w:tcPr>
            <w:tcW w:w="1532" w:type="dxa"/>
            <w:gridSpan w:val="2"/>
            <w:tcBorders/>
            <w:vAlign w:val="center"/>
          </w:tcPr>
          <w:p>
            <w:pPr>
              <w:pStyle w:val="TableContents"/>
              <w:bidi w:val="0"/>
              <w:spacing w:before="0" w:after="283"/>
              <w:jc w:val="left"/>
              <w:rPr/>
            </w:pPr>
            <w:r>
              <w:rPr/>
              <w:t> </w:t>
            </w:r>
          </w:p>
        </w:tc>
        <w:tc>
          <w:tcPr>
            <w:tcW w:w="6751" w:type="dxa"/>
            <w:gridSpan w:val="2"/>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 </w:t>
            </w:r>
          </w:p>
        </w:tc>
      </w:tr>
      <w:tr>
        <w:trPr/>
        <w:tc>
          <w:tcPr>
            <w:tcW w:w="94" w:type="dxa"/>
            <w:tcBorders/>
            <w:vAlign w:val="center"/>
          </w:tcPr>
          <w:p>
            <w:pPr>
              <w:pStyle w:val="TableContents"/>
              <w:bidi w:val="0"/>
              <w:spacing w:before="0" w:after="283"/>
              <w:jc w:val="left"/>
              <w:rPr/>
            </w:pPr>
            <w:r>
              <w:rPr/>
              <w:t> </w:t>
            </w:r>
          </w:p>
        </w:tc>
        <w:tc>
          <w:tcPr>
            <w:tcW w:w="143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10.01</w:t>
            </w:r>
          </w:p>
        </w:tc>
        <w:tc>
          <w:tcPr>
            <w:tcW w:w="75" w:type="dxa"/>
            <w:tcBorders/>
            <w:vAlign w:val="center"/>
          </w:tcPr>
          <w:p>
            <w:pPr>
              <w:pStyle w:val="TableContents"/>
              <w:bidi w:val="0"/>
              <w:spacing w:before="0" w:after="283"/>
              <w:jc w:val="left"/>
              <w:rPr/>
            </w:pPr>
            <w:r>
              <w:rPr/>
              <w:t> </w:t>
            </w:r>
          </w:p>
        </w:tc>
        <w:tc>
          <w:tcPr>
            <w:tcW w:w="667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Company May Consolidate, Etc.</w:t>
            </w:r>
          </w:p>
        </w:tc>
        <w:tc>
          <w:tcPr>
            <w:tcW w:w="51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w:t>
            </w:r>
          </w:p>
        </w:tc>
      </w:tr>
      <w:tr>
        <w:trPr/>
        <w:tc>
          <w:tcPr>
            <w:tcW w:w="94" w:type="dxa"/>
            <w:tcBorders/>
            <w:vAlign w:val="center"/>
          </w:tcPr>
          <w:p>
            <w:pPr>
              <w:pStyle w:val="TableContents"/>
              <w:bidi w:val="0"/>
              <w:spacing w:before="0" w:after="283"/>
              <w:jc w:val="left"/>
              <w:rPr/>
            </w:pPr>
            <w:r>
              <w:rPr/>
              <w:t> </w:t>
            </w:r>
          </w:p>
        </w:tc>
        <w:tc>
          <w:tcPr>
            <w:tcW w:w="143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10.02</w:t>
            </w:r>
          </w:p>
        </w:tc>
        <w:tc>
          <w:tcPr>
            <w:tcW w:w="75" w:type="dxa"/>
            <w:tcBorders/>
            <w:vAlign w:val="center"/>
          </w:tcPr>
          <w:p>
            <w:pPr>
              <w:pStyle w:val="TableContents"/>
              <w:bidi w:val="0"/>
              <w:spacing w:before="0" w:after="283"/>
              <w:jc w:val="left"/>
              <w:rPr/>
            </w:pPr>
            <w:r>
              <w:rPr/>
              <w:t> </w:t>
            </w:r>
          </w:p>
        </w:tc>
        <w:tc>
          <w:tcPr>
            <w:tcW w:w="667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Successor Entity Substituted</w:t>
            </w:r>
          </w:p>
        </w:tc>
        <w:tc>
          <w:tcPr>
            <w:tcW w:w="51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w:t>
            </w:r>
          </w:p>
        </w:tc>
      </w:tr>
      <w:tr>
        <w:trPr/>
        <w:tc>
          <w:tcPr>
            <w:tcW w:w="94" w:type="dxa"/>
            <w:tcBorders/>
            <w:vAlign w:val="center"/>
          </w:tcPr>
          <w:p>
            <w:pPr>
              <w:pStyle w:val="TableContents"/>
              <w:bidi w:val="0"/>
              <w:spacing w:before="0" w:after="283"/>
              <w:jc w:val="left"/>
              <w:rPr/>
            </w:pPr>
            <w:r>
              <w:rPr/>
              <w:t> </w:t>
            </w:r>
          </w:p>
        </w:tc>
        <w:tc>
          <w:tcPr>
            <w:tcW w:w="1438"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6676"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 </w:t>
            </w:r>
          </w:p>
        </w:tc>
      </w:tr>
      <w:tr>
        <w:trPr/>
        <w:tc>
          <w:tcPr>
            <w:tcW w:w="8283" w:type="dxa"/>
            <w:gridSpan w:val="4"/>
            <w:tcBorders/>
            <w:vAlign w:val="center"/>
          </w:tcPr>
          <w:p>
            <w:pPr>
              <w:pStyle w:val="TableContents"/>
              <w:bidi w:val="0"/>
              <w:spacing w:before="0" w:after="283"/>
              <w:jc w:val="left"/>
              <w:rPr/>
            </w:pPr>
            <w:r>
              <w:rPr>
                <w:rFonts w:ascii="Times New Roman;Times;Serif" w:hAnsi="Times New Roman;Times;Serif"/>
                <w:caps/>
                <w:sz w:val="20"/>
              </w:rPr>
              <w:t>article 11</w:t>
            </w:r>
            <w:r>
              <w:rPr/>
              <w:t xml:space="preserve"> </w:t>
            </w:r>
            <w:r>
              <w:rPr>
                <w:rFonts w:ascii="Times New Roman;Times;Serif" w:hAnsi="Times New Roman;Times;Serif"/>
                <w:caps/>
                <w:sz w:val="20"/>
              </w:rPr>
              <w:t>SATISFACTION AND DISCHARGE</w:t>
            </w:r>
          </w:p>
        </w:tc>
        <w:tc>
          <w:tcPr>
            <w:tcW w:w="515" w:type="dxa"/>
            <w:tcBorders/>
            <w:vAlign w:val="center"/>
          </w:tcPr>
          <w:p>
            <w:pPr>
              <w:pStyle w:val="TableContents"/>
              <w:bidi w:val="0"/>
              <w:spacing w:before="0" w:after="283"/>
              <w:jc w:val="right"/>
              <w:rPr>
                <w:rFonts w:ascii="Times New Roman;Times;Serif" w:hAnsi="Times New Roman;Times;Serif"/>
                <w:caps/>
                <w:sz w:val="20"/>
              </w:rPr>
            </w:pPr>
            <w:r>
              <w:rPr>
                <w:rFonts w:ascii="Times New Roman;Times;Serif" w:hAnsi="Times New Roman;Times;Serif"/>
                <w:caps/>
                <w:sz w:val="20"/>
              </w:rPr>
              <w:t>31</w:t>
            </w:r>
          </w:p>
        </w:tc>
      </w:tr>
      <w:tr>
        <w:trPr/>
        <w:tc>
          <w:tcPr>
            <w:tcW w:w="1532" w:type="dxa"/>
            <w:gridSpan w:val="2"/>
            <w:tcBorders/>
            <w:vAlign w:val="center"/>
          </w:tcPr>
          <w:p>
            <w:pPr>
              <w:pStyle w:val="TableContents"/>
              <w:bidi w:val="0"/>
              <w:spacing w:before="0" w:after="283"/>
              <w:jc w:val="left"/>
              <w:rPr/>
            </w:pPr>
            <w:r>
              <w:rPr/>
              <w:t> </w:t>
            </w:r>
          </w:p>
        </w:tc>
        <w:tc>
          <w:tcPr>
            <w:tcW w:w="6751" w:type="dxa"/>
            <w:gridSpan w:val="2"/>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 </w:t>
            </w:r>
          </w:p>
        </w:tc>
      </w:tr>
      <w:tr>
        <w:trPr/>
        <w:tc>
          <w:tcPr>
            <w:tcW w:w="94" w:type="dxa"/>
            <w:tcBorders/>
            <w:vAlign w:val="center"/>
          </w:tcPr>
          <w:p>
            <w:pPr>
              <w:pStyle w:val="TableContents"/>
              <w:bidi w:val="0"/>
              <w:spacing w:before="0" w:after="283"/>
              <w:jc w:val="left"/>
              <w:rPr/>
            </w:pPr>
            <w:r>
              <w:rPr/>
              <w:t> </w:t>
            </w:r>
          </w:p>
        </w:tc>
        <w:tc>
          <w:tcPr>
            <w:tcW w:w="143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11.01</w:t>
            </w:r>
          </w:p>
        </w:tc>
        <w:tc>
          <w:tcPr>
            <w:tcW w:w="75" w:type="dxa"/>
            <w:tcBorders/>
            <w:vAlign w:val="center"/>
          </w:tcPr>
          <w:p>
            <w:pPr>
              <w:pStyle w:val="TableContents"/>
              <w:bidi w:val="0"/>
              <w:spacing w:before="0" w:after="283"/>
              <w:jc w:val="left"/>
              <w:rPr/>
            </w:pPr>
            <w:r>
              <w:rPr/>
              <w:t> </w:t>
            </w:r>
          </w:p>
        </w:tc>
        <w:tc>
          <w:tcPr>
            <w:tcW w:w="667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Satisfaction and Discharge of Indenture</w:t>
            </w:r>
          </w:p>
        </w:tc>
        <w:tc>
          <w:tcPr>
            <w:tcW w:w="51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w:t>
            </w:r>
          </w:p>
        </w:tc>
      </w:tr>
      <w:tr>
        <w:trPr/>
        <w:tc>
          <w:tcPr>
            <w:tcW w:w="94" w:type="dxa"/>
            <w:tcBorders/>
            <w:vAlign w:val="center"/>
          </w:tcPr>
          <w:p>
            <w:pPr>
              <w:pStyle w:val="TableContents"/>
              <w:bidi w:val="0"/>
              <w:spacing w:before="0" w:after="283"/>
              <w:jc w:val="left"/>
              <w:rPr/>
            </w:pPr>
            <w:r>
              <w:rPr/>
              <w:t> </w:t>
            </w:r>
          </w:p>
        </w:tc>
        <w:tc>
          <w:tcPr>
            <w:tcW w:w="143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11.02</w:t>
            </w:r>
          </w:p>
        </w:tc>
        <w:tc>
          <w:tcPr>
            <w:tcW w:w="75" w:type="dxa"/>
            <w:tcBorders/>
            <w:vAlign w:val="center"/>
          </w:tcPr>
          <w:p>
            <w:pPr>
              <w:pStyle w:val="TableContents"/>
              <w:bidi w:val="0"/>
              <w:spacing w:before="0" w:after="283"/>
              <w:jc w:val="left"/>
              <w:rPr/>
            </w:pPr>
            <w:r>
              <w:rPr/>
              <w:t> </w:t>
            </w:r>
          </w:p>
        </w:tc>
        <w:tc>
          <w:tcPr>
            <w:tcW w:w="667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Discharge of Obligations</w:t>
            </w:r>
          </w:p>
        </w:tc>
        <w:tc>
          <w:tcPr>
            <w:tcW w:w="51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w:t>
            </w:r>
          </w:p>
        </w:tc>
      </w:tr>
      <w:tr>
        <w:trPr/>
        <w:tc>
          <w:tcPr>
            <w:tcW w:w="94" w:type="dxa"/>
            <w:tcBorders/>
            <w:vAlign w:val="center"/>
          </w:tcPr>
          <w:p>
            <w:pPr>
              <w:pStyle w:val="TableContents"/>
              <w:bidi w:val="0"/>
              <w:spacing w:before="0" w:after="283"/>
              <w:jc w:val="left"/>
              <w:rPr/>
            </w:pPr>
            <w:r>
              <w:rPr/>
              <w:t> </w:t>
            </w:r>
          </w:p>
        </w:tc>
        <w:tc>
          <w:tcPr>
            <w:tcW w:w="143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11.03</w:t>
            </w:r>
          </w:p>
        </w:tc>
        <w:tc>
          <w:tcPr>
            <w:tcW w:w="75" w:type="dxa"/>
            <w:tcBorders/>
            <w:vAlign w:val="center"/>
          </w:tcPr>
          <w:p>
            <w:pPr>
              <w:pStyle w:val="TableContents"/>
              <w:bidi w:val="0"/>
              <w:spacing w:before="0" w:after="283"/>
              <w:jc w:val="left"/>
              <w:rPr/>
            </w:pPr>
            <w:r>
              <w:rPr/>
              <w:t> </w:t>
            </w:r>
          </w:p>
        </w:tc>
        <w:tc>
          <w:tcPr>
            <w:tcW w:w="667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Deposited Moneys to be Held in Trust</w:t>
            </w:r>
          </w:p>
        </w:tc>
        <w:tc>
          <w:tcPr>
            <w:tcW w:w="51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w:t>
            </w:r>
          </w:p>
        </w:tc>
      </w:tr>
      <w:tr>
        <w:trPr/>
        <w:tc>
          <w:tcPr>
            <w:tcW w:w="94" w:type="dxa"/>
            <w:tcBorders/>
            <w:vAlign w:val="center"/>
          </w:tcPr>
          <w:p>
            <w:pPr>
              <w:pStyle w:val="TableContents"/>
              <w:bidi w:val="0"/>
              <w:spacing w:before="0" w:after="283"/>
              <w:jc w:val="left"/>
              <w:rPr/>
            </w:pPr>
            <w:r>
              <w:rPr/>
              <w:t> </w:t>
            </w:r>
          </w:p>
        </w:tc>
        <w:tc>
          <w:tcPr>
            <w:tcW w:w="143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11.04</w:t>
            </w:r>
          </w:p>
        </w:tc>
        <w:tc>
          <w:tcPr>
            <w:tcW w:w="75" w:type="dxa"/>
            <w:tcBorders/>
            <w:vAlign w:val="center"/>
          </w:tcPr>
          <w:p>
            <w:pPr>
              <w:pStyle w:val="TableContents"/>
              <w:bidi w:val="0"/>
              <w:spacing w:before="0" w:after="283"/>
              <w:jc w:val="left"/>
              <w:rPr/>
            </w:pPr>
            <w:r>
              <w:rPr/>
              <w:t> </w:t>
            </w:r>
          </w:p>
        </w:tc>
        <w:tc>
          <w:tcPr>
            <w:tcW w:w="667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Payment of Moneys Held by Paying Agents</w:t>
            </w:r>
          </w:p>
        </w:tc>
        <w:tc>
          <w:tcPr>
            <w:tcW w:w="51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w:t>
            </w:r>
          </w:p>
        </w:tc>
      </w:tr>
      <w:tr>
        <w:trPr/>
        <w:tc>
          <w:tcPr>
            <w:tcW w:w="94" w:type="dxa"/>
            <w:tcBorders/>
            <w:vAlign w:val="center"/>
          </w:tcPr>
          <w:p>
            <w:pPr>
              <w:pStyle w:val="TableContents"/>
              <w:bidi w:val="0"/>
              <w:spacing w:before="0" w:after="283"/>
              <w:jc w:val="left"/>
              <w:rPr/>
            </w:pPr>
            <w:r>
              <w:rPr/>
              <w:t> </w:t>
            </w:r>
          </w:p>
        </w:tc>
        <w:tc>
          <w:tcPr>
            <w:tcW w:w="143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11.05</w:t>
            </w:r>
          </w:p>
        </w:tc>
        <w:tc>
          <w:tcPr>
            <w:tcW w:w="75" w:type="dxa"/>
            <w:tcBorders/>
            <w:vAlign w:val="center"/>
          </w:tcPr>
          <w:p>
            <w:pPr>
              <w:pStyle w:val="TableContents"/>
              <w:bidi w:val="0"/>
              <w:spacing w:before="0" w:after="283"/>
              <w:jc w:val="left"/>
              <w:rPr/>
            </w:pPr>
            <w:r>
              <w:rPr/>
              <w:t> </w:t>
            </w:r>
          </w:p>
        </w:tc>
        <w:tc>
          <w:tcPr>
            <w:tcW w:w="667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Repayment to Company</w:t>
            </w:r>
          </w:p>
        </w:tc>
        <w:tc>
          <w:tcPr>
            <w:tcW w:w="51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w:t>
            </w:r>
          </w:p>
        </w:tc>
      </w:tr>
      <w:tr>
        <w:trPr/>
        <w:tc>
          <w:tcPr>
            <w:tcW w:w="94" w:type="dxa"/>
            <w:tcBorders/>
            <w:vAlign w:val="center"/>
          </w:tcPr>
          <w:p>
            <w:pPr>
              <w:pStyle w:val="TableContents"/>
              <w:bidi w:val="0"/>
              <w:spacing w:before="0" w:after="283"/>
              <w:jc w:val="left"/>
              <w:rPr/>
            </w:pPr>
            <w:r>
              <w:rPr/>
              <w:t> </w:t>
            </w:r>
          </w:p>
        </w:tc>
        <w:tc>
          <w:tcPr>
            <w:tcW w:w="1438"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c>
          <w:tcPr>
            <w:tcW w:w="6676"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 </w:t>
            </w:r>
          </w:p>
        </w:tc>
      </w:tr>
      <w:tr>
        <w:trPr/>
        <w:tc>
          <w:tcPr>
            <w:tcW w:w="8283" w:type="dxa"/>
            <w:gridSpan w:val="4"/>
            <w:tcBorders/>
            <w:vAlign w:val="center"/>
          </w:tcPr>
          <w:p>
            <w:pPr>
              <w:pStyle w:val="TableContents"/>
              <w:bidi w:val="0"/>
              <w:spacing w:before="0" w:after="283"/>
              <w:jc w:val="left"/>
              <w:rPr/>
            </w:pPr>
            <w:r>
              <w:rPr>
                <w:rFonts w:ascii="Times New Roman;Times;Serif" w:hAnsi="Times New Roman;Times;Serif"/>
                <w:caps/>
                <w:sz w:val="20"/>
              </w:rPr>
              <w:t>article 12</w:t>
            </w:r>
            <w:r>
              <w:rPr/>
              <w:t xml:space="preserve"> </w:t>
            </w:r>
            <w:r>
              <w:rPr>
                <w:rFonts w:ascii="Times New Roman;Times;Serif" w:hAnsi="Times New Roman;Times;Serif"/>
                <w:caps/>
                <w:sz w:val="20"/>
              </w:rPr>
              <w:t>IMMUNITY OF INCORPORATORS, STOCKHOLDERS, OFFICERS AND DIRECTORS</w:t>
            </w:r>
          </w:p>
        </w:tc>
        <w:tc>
          <w:tcPr>
            <w:tcW w:w="515" w:type="dxa"/>
            <w:tcBorders/>
            <w:vAlign w:val="center"/>
          </w:tcPr>
          <w:p>
            <w:pPr>
              <w:pStyle w:val="TableContents"/>
              <w:bidi w:val="0"/>
              <w:spacing w:before="0" w:after="283"/>
              <w:jc w:val="right"/>
              <w:rPr>
                <w:rFonts w:ascii="Times New Roman;Times;Serif" w:hAnsi="Times New Roman;Times;Serif"/>
                <w:caps/>
                <w:sz w:val="20"/>
              </w:rPr>
            </w:pPr>
            <w:r>
              <w:rPr>
                <w:rFonts w:ascii="Times New Roman;Times;Serif" w:hAnsi="Times New Roman;Times;Serif"/>
                <w:caps/>
                <w:sz w:val="20"/>
              </w:rPr>
              <w:t>32</w:t>
            </w:r>
          </w:p>
        </w:tc>
      </w:tr>
      <w:tr>
        <w:trPr/>
        <w:tc>
          <w:tcPr>
            <w:tcW w:w="1532" w:type="dxa"/>
            <w:gridSpan w:val="2"/>
            <w:tcBorders/>
            <w:vAlign w:val="center"/>
          </w:tcPr>
          <w:p>
            <w:pPr>
              <w:pStyle w:val="TableContents"/>
              <w:bidi w:val="0"/>
              <w:spacing w:before="0" w:after="283"/>
              <w:jc w:val="left"/>
              <w:rPr/>
            </w:pPr>
            <w:r>
              <w:rPr/>
              <w:t> </w:t>
            </w:r>
          </w:p>
        </w:tc>
        <w:tc>
          <w:tcPr>
            <w:tcW w:w="6751" w:type="dxa"/>
            <w:gridSpan w:val="2"/>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 </w:t>
            </w:r>
          </w:p>
        </w:tc>
      </w:tr>
      <w:tr>
        <w:trPr/>
        <w:tc>
          <w:tcPr>
            <w:tcW w:w="94" w:type="dxa"/>
            <w:tcBorders/>
            <w:vAlign w:val="center"/>
          </w:tcPr>
          <w:p>
            <w:pPr>
              <w:pStyle w:val="TableContents"/>
              <w:bidi w:val="0"/>
              <w:spacing w:before="0" w:after="283"/>
              <w:jc w:val="left"/>
              <w:rPr/>
            </w:pPr>
            <w:r>
              <w:rPr/>
              <w:t> </w:t>
            </w:r>
          </w:p>
        </w:tc>
        <w:tc>
          <w:tcPr>
            <w:tcW w:w="143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12.01</w:t>
            </w:r>
          </w:p>
        </w:tc>
        <w:tc>
          <w:tcPr>
            <w:tcW w:w="75" w:type="dxa"/>
            <w:tcBorders/>
            <w:vAlign w:val="center"/>
          </w:tcPr>
          <w:p>
            <w:pPr>
              <w:pStyle w:val="TableContents"/>
              <w:bidi w:val="0"/>
              <w:spacing w:before="0" w:after="283"/>
              <w:jc w:val="left"/>
              <w:rPr/>
            </w:pPr>
            <w:r>
              <w:rPr/>
              <w:t> </w:t>
            </w:r>
          </w:p>
        </w:tc>
        <w:tc>
          <w:tcPr>
            <w:tcW w:w="667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Recourse</w:t>
            </w:r>
          </w:p>
        </w:tc>
        <w:tc>
          <w:tcPr>
            <w:tcW w:w="51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Table Of Contents</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(continued)</w:t>
      </w:r>
    </w:p>
    <w:p>
      <w:pPr>
        <w:pStyle w:val="TextBody"/>
        <w:bidi w:val="0"/>
        <w:spacing w:before="0" w:after="0"/>
        <w:ind w:left="0" w:right="0" w:hanging="0"/>
        <w:jc w:val="left"/>
        <w:rPr>
          <w:caps w:val="false"/>
          <w:smallCaps w:val="false"/>
        </w:rPr>
      </w:pPr>
      <w:r>
        <w:rPr>
          <w:caps w:val="false"/>
          <w:smallCaps w:val="false"/>
        </w:rPr>
        <w:t> </w:t>
      </w:r>
    </w:p>
    <w:tbl>
      <w:tblPr>
        <w:tblW w:w="6105" w:type="dxa"/>
        <w:jc w:val="left"/>
        <w:tblInd w:w="0" w:type="dxa"/>
        <w:tblLayout w:type="fixed"/>
        <w:tblCellMar>
          <w:top w:w="0" w:type="dxa"/>
          <w:left w:w="0" w:type="dxa"/>
          <w:bottom w:w="0" w:type="dxa"/>
          <w:right w:w="0" w:type="dxa"/>
        </w:tblCellMar>
      </w:tblPr>
      <w:tblGrid>
        <w:gridCol w:w="75"/>
        <w:gridCol w:w="1145"/>
        <w:gridCol w:w="60"/>
        <w:gridCol w:w="4310"/>
        <w:gridCol w:w="515"/>
      </w:tblGrid>
      <w:tr>
        <w:trPr/>
        <w:tc>
          <w:tcPr>
            <w:tcW w:w="75"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31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rFonts w:ascii="Times New Roman;Times;Serif" w:hAnsi="Times New Roman;Times;Serif"/>
                <w:b/>
                <w:smallCaps/>
                <w:sz w:val="20"/>
              </w:rPr>
            </w:pPr>
            <w:r>
              <w:rPr>
                <w:rFonts w:ascii="Times New Roman;Times;Serif" w:hAnsi="Times New Roman;Times;Serif"/>
                <w:b/>
                <w:smallCaps/>
                <w:sz w:val="20"/>
              </w:rPr>
              <w:t>Page</w:t>
            </w:r>
          </w:p>
        </w:tc>
      </w:tr>
      <w:tr>
        <w:trPr/>
        <w:tc>
          <w:tcPr>
            <w:tcW w:w="75"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31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center"/>
              <w:rPr/>
            </w:pPr>
            <w:r>
              <w:rPr/>
              <w:t> </w:t>
            </w:r>
          </w:p>
        </w:tc>
      </w:tr>
      <w:tr>
        <w:trPr/>
        <w:tc>
          <w:tcPr>
            <w:tcW w:w="5590" w:type="dxa"/>
            <w:gridSpan w:val="4"/>
            <w:tcBorders/>
            <w:vAlign w:val="center"/>
          </w:tcPr>
          <w:p>
            <w:pPr>
              <w:pStyle w:val="TableContents"/>
              <w:bidi w:val="0"/>
              <w:spacing w:before="0" w:after="283"/>
              <w:jc w:val="left"/>
              <w:rPr/>
            </w:pPr>
            <w:r>
              <w:rPr>
                <w:rFonts w:ascii="Times New Roman;Times;Serif" w:hAnsi="Times New Roman;Times;Serif"/>
                <w:caps/>
                <w:sz w:val="20"/>
              </w:rPr>
              <w:t>article 13</w:t>
            </w:r>
            <w:r>
              <w:rPr/>
              <w:t xml:space="preserve"> </w:t>
            </w:r>
            <w:r>
              <w:rPr>
                <w:rFonts w:ascii="Times New Roman;Times;Serif" w:hAnsi="Times New Roman;Times;Serif"/>
                <w:caps/>
                <w:sz w:val="20"/>
              </w:rPr>
              <w:t>MISCELLANEOUS PROVISIONS</w:t>
            </w:r>
          </w:p>
        </w:tc>
        <w:tc>
          <w:tcPr>
            <w:tcW w:w="515" w:type="dxa"/>
            <w:tcBorders/>
            <w:vAlign w:val="center"/>
          </w:tcPr>
          <w:p>
            <w:pPr>
              <w:pStyle w:val="TableContents"/>
              <w:bidi w:val="0"/>
              <w:spacing w:before="0" w:after="283"/>
              <w:jc w:val="right"/>
              <w:rPr>
                <w:rFonts w:ascii="Times New Roman;Times;Serif" w:hAnsi="Times New Roman;Times;Serif"/>
                <w:caps/>
                <w:sz w:val="20"/>
              </w:rPr>
            </w:pPr>
            <w:r>
              <w:rPr>
                <w:rFonts w:ascii="Times New Roman;Times;Serif" w:hAnsi="Times New Roman;Times;Serif"/>
                <w:caps/>
                <w:sz w:val="20"/>
              </w:rPr>
              <w:t>32</w:t>
            </w:r>
          </w:p>
        </w:tc>
      </w:tr>
      <w:tr>
        <w:trPr/>
        <w:tc>
          <w:tcPr>
            <w:tcW w:w="1220" w:type="dxa"/>
            <w:gridSpan w:val="2"/>
            <w:tcBorders/>
            <w:vAlign w:val="center"/>
          </w:tcPr>
          <w:p>
            <w:pPr>
              <w:pStyle w:val="TableContents"/>
              <w:bidi w:val="0"/>
              <w:spacing w:before="0" w:after="283"/>
              <w:jc w:val="left"/>
              <w:rPr/>
            </w:pPr>
            <w:r>
              <w:rPr/>
              <w:t> </w:t>
            </w:r>
          </w:p>
        </w:tc>
        <w:tc>
          <w:tcPr>
            <w:tcW w:w="4370" w:type="dxa"/>
            <w:gridSpan w:val="2"/>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283"/>
              <w:jc w:val="right"/>
              <w:rPr/>
            </w:pPr>
            <w:r>
              <w:rPr/>
              <w:t> </w:t>
            </w:r>
          </w:p>
        </w:tc>
      </w:tr>
      <w:tr>
        <w:trPr/>
        <w:tc>
          <w:tcPr>
            <w:tcW w:w="75"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13.01</w:t>
            </w:r>
          </w:p>
        </w:tc>
        <w:tc>
          <w:tcPr>
            <w:tcW w:w="60" w:type="dxa"/>
            <w:tcBorders/>
            <w:vAlign w:val="center"/>
          </w:tcPr>
          <w:p>
            <w:pPr>
              <w:pStyle w:val="TableContents"/>
              <w:bidi w:val="0"/>
              <w:spacing w:before="0" w:after="283"/>
              <w:jc w:val="left"/>
              <w:rPr/>
            </w:pPr>
            <w:r>
              <w:rPr/>
              <w:t> </w:t>
            </w:r>
          </w:p>
        </w:tc>
        <w:tc>
          <w:tcPr>
            <w:tcW w:w="43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Effect on Successors and Assigns</w:t>
            </w:r>
          </w:p>
        </w:tc>
        <w:tc>
          <w:tcPr>
            <w:tcW w:w="51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w:t>
            </w:r>
          </w:p>
        </w:tc>
      </w:tr>
      <w:tr>
        <w:trPr/>
        <w:tc>
          <w:tcPr>
            <w:tcW w:w="75"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13.02</w:t>
            </w:r>
          </w:p>
        </w:tc>
        <w:tc>
          <w:tcPr>
            <w:tcW w:w="60" w:type="dxa"/>
            <w:tcBorders/>
            <w:vAlign w:val="center"/>
          </w:tcPr>
          <w:p>
            <w:pPr>
              <w:pStyle w:val="TableContents"/>
              <w:bidi w:val="0"/>
              <w:spacing w:before="0" w:after="283"/>
              <w:jc w:val="left"/>
              <w:rPr/>
            </w:pPr>
            <w:r>
              <w:rPr/>
              <w:t> </w:t>
            </w:r>
          </w:p>
        </w:tc>
        <w:tc>
          <w:tcPr>
            <w:tcW w:w="43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Actions by Successor</w:t>
            </w:r>
          </w:p>
        </w:tc>
        <w:tc>
          <w:tcPr>
            <w:tcW w:w="51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w:t>
            </w:r>
          </w:p>
        </w:tc>
      </w:tr>
      <w:tr>
        <w:trPr/>
        <w:tc>
          <w:tcPr>
            <w:tcW w:w="75"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13.03</w:t>
            </w:r>
          </w:p>
        </w:tc>
        <w:tc>
          <w:tcPr>
            <w:tcW w:w="60" w:type="dxa"/>
            <w:tcBorders/>
            <w:vAlign w:val="center"/>
          </w:tcPr>
          <w:p>
            <w:pPr>
              <w:pStyle w:val="TableContents"/>
              <w:bidi w:val="0"/>
              <w:spacing w:before="0" w:after="283"/>
              <w:jc w:val="left"/>
              <w:rPr/>
            </w:pPr>
            <w:r>
              <w:rPr/>
              <w:t> </w:t>
            </w:r>
          </w:p>
        </w:tc>
        <w:tc>
          <w:tcPr>
            <w:tcW w:w="43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Surrender of Company Powers</w:t>
            </w:r>
          </w:p>
        </w:tc>
        <w:tc>
          <w:tcPr>
            <w:tcW w:w="51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w:t>
            </w:r>
          </w:p>
        </w:tc>
      </w:tr>
      <w:tr>
        <w:trPr/>
        <w:tc>
          <w:tcPr>
            <w:tcW w:w="75"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13.04</w:t>
            </w:r>
          </w:p>
        </w:tc>
        <w:tc>
          <w:tcPr>
            <w:tcW w:w="60" w:type="dxa"/>
            <w:tcBorders/>
            <w:vAlign w:val="center"/>
          </w:tcPr>
          <w:p>
            <w:pPr>
              <w:pStyle w:val="TableContents"/>
              <w:bidi w:val="0"/>
              <w:spacing w:before="0" w:after="283"/>
              <w:jc w:val="left"/>
              <w:rPr/>
            </w:pPr>
            <w:r>
              <w:rPr/>
              <w:t> </w:t>
            </w:r>
          </w:p>
        </w:tc>
        <w:tc>
          <w:tcPr>
            <w:tcW w:w="43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Notices</w:t>
            </w:r>
          </w:p>
        </w:tc>
        <w:tc>
          <w:tcPr>
            <w:tcW w:w="51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w:t>
            </w:r>
          </w:p>
        </w:tc>
      </w:tr>
      <w:tr>
        <w:trPr/>
        <w:tc>
          <w:tcPr>
            <w:tcW w:w="75"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13.05</w:t>
            </w:r>
          </w:p>
        </w:tc>
        <w:tc>
          <w:tcPr>
            <w:tcW w:w="60" w:type="dxa"/>
            <w:tcBorders/>
            <w:vAlign w:val="center"/>
          </w:tcPr>
          <w:p>
            <w:pPr>
              <w:pStyle w:val="TableContents"/>
              <w:bidi w:val="0"/>
              <w:spacing w:before="0" w:after="283"/>
              <w:jc w:val="left"/>
              <w:rPr/>
            </w:pPr>
            <w:r>
              <w:rPr/>
              <w:t> </w:t>
            </w:r>
          </w:p>
        </w:tc>
        <w:tc>
          <w:tcPr>
            <w:tcW w:w="43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Governing Law; Jury Trial Waiver</w:t>
            </w:r>
          </w:p>
        </w:tc>
        <w:tc>
          <w:tcPr>
            <w:tcW w:w="51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w:t>
            </w:r>
          </w:p>
        </w:tc>
      </w:tr>
      <w:tr>
        <w:trPr/>
        <w:tc>
          <w:tcPr>
            <w:tcW w:w="75"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13.06</w:t>
            </w:r>
          </w:p>
        </w:tc>
        <w:tc>
          <w:tcPr>
            <w:tcW w:w="60" w:type="dxa"/>
            <w:tcBorders/>
            <w:vAlign w:val="center"/>
          </w:tcPr>
          <w:p>
            <w:pPr>
              <w:pStyle w:val="TableContents"/>
              <w:bidi w:val="0"/>
              <w:spacing w:before="0" w:after="283"/>
              <w:jc w:val="left"/>
              <w:rPr/>
            </w:pPr>
            <w:r>
              <w:rPr/>
              <w:t> </w:t>
            </w:r>
          </w:p>
        </w:tc>
        <w:tc>
          <w:tcPr>
            <w:tcW w:w="43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Treatment of Securities as Debt</w:t>
            </w:r>
          </w:p>
        </w:tc>
        <w:tc>
          <w:tcPr>
            <w:tcW w:w="51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w:t>
            </w:r>
          </w:p>
        </w:tc>
      </w:tr>
      <w:tr>
        <w:trPr/>
        <w:tc>
          <w:tcPr>
            <w:tcW w:w="75"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13.07</w:t>
            </w:r>
          </w:p>
        </w:tc>
        <w:tc>
          <w:tcPr>
            <w:tcW w:w="60" w:type="dxa"/>
            <w:tcBorders/>
            <w:vAlign w:val="center"/>
          </w:tcPr>
          <w:p>
            <w:pPr>
              <w:pStyle w:val="TableContents"/>
              <w:bidi w:val="0"/>
              <w:spacing w:before="0" w:after="283"/>
              <w:jc w:val="left"/>
              <w:rPr/>
            </w:pPr>
            <w:r>
              <w:rPr/>
              <w:t> </w:t>
            </w:r>
          </w:p>
        </w:tc>
        <w:tc>
          <w:tcPr>
            <w:tcW w:w="43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Certificates and Opinions as to Conditions Precedent</w:t>
            </w:r>
          </w:p>
        </w:tc>
        <w:tc>
          <w:tcPr>
            <w:tcW w:w="51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w:t>
            </w:r>
          </w:p>
        </w:tc>
      </w:tr>
      <w:tr>
        <w:trPr/>
        <w:tc>
          <w:tcPr>
            <w:tcW w:w="75"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13.08</w:t>
            </w:r>
          </w:p>
        </w:tc>
        <w:tc>
          <w:tcPr>
            <w:tcW w:w="60" w:type="dxa"/>
            <w:tcBorders/>
            <w:vAlign w:val="center"/>
          </w:tcPr>
          <w:p>
            <w:pPr>
              <w:pStyle w:val="TableContents"/>
              <w:bidi w:val="0"/>
              <w:spacing w:before="0" w:after="283"/>
              <w:jc w:val="left"/>
              <w:rPr/>
            </w:pPr>
            <w:r>
              <w:rPr/>
              <w:t> </w:t>
            </w:r>
          </w:p>
        </w:tc>
        <w:tc>
          <w:tcPr>
            <w:tcW w:w="43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Payments on Business Days</w:t>
            </w:r>
          </w:p>
        </w:tc>
        <w:tc>
          <w:tcPr>
            <w:tcW w:w="51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w:t>
            </w:r>
          </w:p>
        </w:tc>
      </w:tr>
      <w:tr>
        <w:trPr/>
        <w:tc>
          <w:tcPr>
            <w:tcW w:w="75"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13.09</w:t>
            </w:r>
          </w:p>
        </w:tc>
        <w:tc>
          <w:tcPr>
            <w:tcW w:w="60" w:type="dxa"/>
            <w:tcBorders/>
            <w:vAlign w:val="center"/>
          </w:tcPr>
          <w:p>
            <w:pPr>
              <w:pStyle w:val="TableContents"/>
              <w:bidi w:val="0"/>
              <w:spacing w:before="0" w:after="283"/>
              <w:jc w:val="left"/>
              <w:rPr/>
            </w:pPr>
            <w:r>
              <w:rPr/>
              <w:t> </w:t>
            </w:r>
          </w:p>
        </w:tc>
        <w:tc>
          <w:tcPr>
            <w:tcW w:w="43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Conflict with Trust Indenture Act</w:t>
            </w:r>
          </w:p>
        </w:tc>
        <w:tc>
          <w:tcPr>
            <w:tcW w:w="51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w:t>
            </w:r>
          </w:p>
        </w:tc>
      </w:tr>
      <w:tr>
        <w:trPr/>
        <w:tc>
          <w:tcPr>
            <w:tcW w:w="75"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13.10</w:t>
            </w:r>
          </w:p>
        </w:tc>
        <w:tc>
          <w:tcPr>
            <w:tcW w:w="60" w:type="dxa"/>
            <w:tcBorders/>
            <w:vAlign w:val="center"/>
          </w:tcPr>
          <w:p>
            <w:pPr>
              <w:pStyle w:val="TableContents"/>
              <w:bidi w:val="0"/>
              <w:spacing w:before="0" w:after="283"/>
              <w:jc w:val="left"/>
              <w:rPr/>
            </w:pPr>
            <w:r>
              <w:rPr/>
              <w:t> </w:t>
            </w:r>
          </w:p>
        </w:tc>
        <w:tc>
          <w:tcPr>
            <w:tcW w:w="43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Counterparts</w:t>
            </w:r>
          </w:p>
        </w:tc>
        <w:tc>
          <w:tcPr>
            <w:tcW w:w="51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w:t>
            </w:r>
          </w:p>
        </w:tc>
      </w:tr>
      <w:tr>
        <w:trPr/>
        <w:tc>
          <w:tcPr>
            <w:tcW w:w="75"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13.11</w:t>
            </w:r>
          </w:p>
        </w:tc>
        <w:tc>
          <w:tcPr>
            <w:tcW w:w="60" w:type="dxa"/>
            <w:tcBorders/>
            <w:vAlign w:val="center"/>
          </w:tcPr>
          <w:p>
            <w:pPr>
              <w:pStyle w:val="TableContents"/>
              <w:bidi w:val="0"/>
              <w:spacing w:before="0" w:after="283"/>
              <w:jc w:val="left"/>
              <w:rPr/>
            </w:pPr>
            <w:r>
              <w:rPr/>
              <w:t> </w:t>
            </w:r>
          </w:p>
        </w:tc>
        <w:tc>
          <w:tcPr>
            <w:tcW w:w="43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Separability</w:t>
            </w:r>
          </w:p>
        </w:tc>
        <w:tc>
          <w:tcPr>
            <w:tcW w:w="51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w:t>
            </w:r>
          </w:p>
        </w:tc>
      </w:tr>
      <w:tr>
        <w:trPr/>
        <w:tc>
          <w:tcPr>
            <w:tcW w:w="75"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13.12</w:t>
            </w:r>
          </w:p>
        </w:tc>
        <w:tc>
          <w:tcPr>
            <w:tcW w:w="60" w:type="dxa"/>
            <w:tcBorders/>
            <w:vAlign w:val="center"/>
          </w:tcPr>
          <w:p>
            <w:pPr>
              <w:pStyle w:val="TableContents"/>
              <w:bidi w:val="0"/>
              <w:spacing w:before="0" w:after="283"/>
              <w:jc w:val="left"/>
              <w:rPr/>
            </w:pPr>
            <w:r>
              <w:rPr/>
              <w:t> </w:t>
            </w:r>
          </w:p>
        </w:tc>
        <w:tc>
          <w:tcPr>
            <w:tcW w:w="43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Compliance Certificates</w:t>
            </w:r>
          </w:p>
        </w:tc>
        <w:tc>
          <w:tcPr>
            <w:tcW w:w="51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w:t>
            </w:r>
          </w:p>
        </w:tc>
      </w:tr>
      <w:tr>
        <w:trPr/>
        <w:tc>
          <w:tcPr>
            <w:tcW w:w="75"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13.13</w:t>
            </w:r>
          </w:p>
        </w:tc>
        <w:tc>
          <w:tcPr>
            <w:tcW w:w="60" w:type="dxa"/>
            <w:tcBorders/>
            <w:vAlign w:val="center"/>
          </w:tcPr>
          <w:p>
            <w:pPr>
              <w:pStyle w:val="TableContents"/>
              <w:bidi w:val="0"/>
              <w:spacing w:before="0" w:after="283"/>
              <w:jc w:val="left"/>
              <w:rPr/>
            </w:pPr>
            <w:r>
              <w:rPr/>
              <w:t> </w:t>
            </w:r>
          </w:p>
        </w:tc>
        <w:tc>
          <w:tcPr>
            <w:tcW w:w="43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Patriot Act</w:t>
            </w:r>
          </w:p>
        </w:tc>
        <w:tc>
          <w:tcPr>
            <w:tcW w:w="51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w:t>
            </w:r>
          </w:p>
        </w:tc>
      </w:tr>
      <w:tr>
        <w:trPr/>
        <w:tc>
          <w:tcPr>
            <w:tcW w:w="75"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13.14</w:t>
            </w:r>
          </w:p>
        </w:tc>
        <w:tc>
          <w:tcPr>
            <w:tcW w:w="60" w:type="dxa"/>
            <w:tcBorders/>
            <w:vAlign w:val="center"/>
          </w:tcPr>
          <w:p>
            <w:pPr>
              <w:pStyle w:val="TableContents"/>
              <w:bidi w:val="0"/>
              <w:spacing w:before="0" w:after="283"/>
              <w:jc w:val="left"/>
              <w:rPr/>
            </w:pPr>
            <w:r>
              <w:rPr/>
              <w:t> </w:t>
            </w:r>
          </w:p>
        </w:tc>
        <w:tc>
          <w:tcPr>
            <w:tcW w:w="43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Force Majeure</w:t>
            </w:r>
          </w:p>
        </w:tc>
        <w:tc>
          <w:tcPr>
            <w:tcW w:w="51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w:t>
            </w:r>
          </w:p>
        </w:tc>
      </w:tr>
      <w:tr>
        <w:trPr/>
        <w:tc>
          <w:tcPr>
            <w:tcW w:w="75"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Section 13.15</w:t>
            </w:r>
          </w:p>
        </w:tc>
        <w:tc>
          <w:tcPr>
            <w:tcW w:w="60" w:type="dxa"/>
            <w:tcBorders/>
            <w:vAlign w:val="center"/>
          </w:tcPr>
          <w:p>
            <w:pPr>
              <w:pStyle w:val="TableContents"/>
              <w:bidi w:val="0"/>
              <w:spacing w:before="0" w:after="283"/>
              <w:jc w:val="left"/>
              <w:rPr/>
            </w:pPr>
            <w:r>
              <w:rPr/>
              <w:t> </w:t>
            </w:r>
          </w:p>
        </w:tc>
        <w:tc>
          <w:tcPr>
            <w:tcW w:w="43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Table of Contents; Headings</w:t>
            </w:r>
          </w:p>
        </w:tc>
        <w:tc>
          <w:tcPr>
            <w:tcW w:w="515"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Indenture</w:t>
      </w:r>
      <w:r>
        <w:rPr>
          <w:rFonts w:ascii="Times New Roman;Times;Serif" w:hAnsi="Times New Roman;Times;Serif"/>
          <w:b w:val="false"/>
          <w:i w:val="false"/>
          <w:caps w:val="false"/>
          <w:smallCaps w:val="false"/>
          <w:sz w:val="20"/>
        </w:rPr>
        <w:t xml:space="preserve">, dated as of [●], 20__, among </w:t>
      </w:r>
      <w:r>
        <w:rPr>
          <w:rFonts w:ascii="Times New Roman;Times;Serif" w:hAnsi="Times New Roman;Times;Serif"/>
          <w:b/>
          <w:i w:val="false"/>
          <w:smallCaps/>
          <w:sz w:val="20"/>
        </w:rPr>
        <w:t>Milestone Pharmaceuticals Inc.</w:t>
      </w:r>
      <w:r>
        <w:rPr>
          <w:rFonts w:ascii="Times New Roman;Times;Serif" w:hAnsi="Times New Roman;Times;Serif"/>
          <w:b w:val="false"/>
          <w:i w:val="false"/>
          <w:caps w:val="false"/>
          <w:smallCaps w:val="false"/>
          <w:sz w:val="20"/>
        </w:rPr>
        <w:t>, a corporation existing under the laws of the province of Québec (the “Company”), and [</w:t>
      </w:r>
      <w:r>
        <w:rPr>
          <w:rFonts w:ascii="Times New Roman;Times;Serif" w:hAnsi="Times New Roman;Times;Serif"/>
          <w:b/>
          <w:i w:val="false"/>
          <w:smallCaps/>
          <w:sz w:val="20"/>
        </w:rPr>
        <w:t>Trustee</w:t>
      </w:r>
      <w:r>
        <w:rPr>
          <w:rFonts w:ascii="Times New Roman;Times;Serif" w:hAnsi="Times New Roman;Times;Serif"/>
          <w:b w:val="false"/>
          <w:i w:val="false"/>
          <w:caps w:val="false"/>
          <w:smallCaps w:val="false"/>
          <w:sz w:val="20"/>
        </w:rPr>
        <w:t>], as trustee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Whereas</w:t>
      </w:r>
      <w:r>
        <w:rPr>
          <w:rFonts w:ascii="Times New Roman;Times;Serif" w:hAnsi="Times New Roman;Times;Serif"/>
          <w:b w:val="false"/>
          <w:i w:val="false"/>
          <w:caps w:val="false"/>
          <w:smallCaps w:val="false"/>
          <w:sz w:val="20"/>
        </w:rPr>
        <w:t>, for its lawful corporate purposes, the Company has duly authorized the execution and delivery of this Indenture to provide for the issuance of debt securities (hereinafter referred to as the “Securities”), in an unlimited aggregate principal amount to be issued from time to time in one or more series as in this Indenture provided, as registered Securities without coupons, to be authenticated by the certificate of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Whereas</w:t>
      </w:r>
      <w:r>
        <w:rPr>
          <w:rFonts w:ascii="Times New Roman;Times;Serif" w:hAnsi="Times New Roman;Times;Serif"/>
          <w:b w:val="false"/>
          <w:i w:val="false"/>
          <w:caps w:val="false"/>
          <w:smallCaps w:val="false"/>
          <w:sz w:val="20"/>
        </w:rPr>
        <w:t>, to provide the terms and conditions upon which the Securities are to be authenticated, issued and delivered, each of the Company and the Trustee has duly authorized the execution of this Indenture;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Whereas</w:t>
      </w:r>
      <w:r>
        <w:rPr>
          <w:rFonts w:ascii="Times New Roman;Times;Serif" w:hAnsi="Times New Roman;Times;Serif"/>
          <w:b w:val="false"/>
          <w:i w:val="false"/>
          <w:caps w:val="false"/>
          <w:smallCaps w:val="false"/>
          <w:sz w:val="20"/>
        </w:rPr>
        <w:t>, all things necessary to make this Indenture a valid agreement of the Company and the Trustee, in accordance with its terms, have been done.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Now, Therefore</w:t>
      </w:r>
      <w:r>
        <w:rPr>
          <w:rFonts w:ascii="Times New Roman;Times;Serif" w:hAnsi="Times New Roman;Times;Serif"/>
          <w:b w:val="false"/>
          <w:i w:val="false"/>
          <w:caps w:val="false"/>
          <w:smallCaps w:val="false"/>
          <w:sz w:val="20"/>
        </w:rPr>
        <w:t>, in consideration of the premises and the purchase of the Securities by the holders thereof, the Company and the Trustee mutually covenant and agree as follows for the equal and ratable benefit of the holders of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DEFINITIONS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1.01 Definitions of Terms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defined in this Section (except as in this Indenture or any indenture supplemental hereto otherwise expressly provided or unless the context otherwise requires) for all purposes of this Indenture and of any indenture supplemental hereto shall have the respective meanings specified in this Section and shall include the plural as well as the singular. All other terms used in this Indenture that are defined in the Trust Indenture Act of 1939, as amended, or that are by reference in such Act defined in the Securities Act of 1933, as amended (except as herein or any indenture supplemental hereto otherwise expressly provided or unless the context otherwise requires), shall have the meanings assigned to such terms in said Trust Indenture Act and in said Securities Act as in force at the date of the execution of this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Authenticating Agent</w:t>
      </w:r>
      <w:r>
        <w:rPr>
          <w:rFonts w:ascii="Times New Roman;Times;Serif" w:hAnsi="Times New Roman;Times;Serif"/>
          <w:b w:val="false"/>
          <w:i w:val="false"/>
          <w:caps w:val="false"/>
          <w:smallCaps w:val="false"/>
          <w:sz w:val="20"/>
        </w:rPr>
        <w:t>” means the Trustee or an authenticating agent with respect to all or any of the series of Securities appointed by the Trustee pursuant to Section 2.10.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Bankruptcy Law</w:t>
      </w:r>
      <w:r>
        <w:rPr>
          <w:rFonts w:ascii="Times New Roman;Times;Serif" w:hAnsi="Times New Roman;Times;Serif"/>
          <w:b w:val="false"/>
          <w:i w:val="false"/>
          <w:caps w:val="false"/>
          <w:smallCaps w:val="false"/>
          <w:sz w:val="20"/>
        </w:rPr>
        <w:t>” means Title 11, U.S. Code, any similar federal or state law for the relief of debtors</w:t>
      </w:r>
      <w:r>
        <w:rPr>
          <w:rFonts w:ascii="Times New Roman;Times;Serif" w:hAnsi="Times New Roman;Times;Serif"/>
          <w:b/>
          <w:i w:val="false"/>
          <w:caps w:val="false"/>
          <w:smallCaps w:val="false"/>
          <w:sz w:val="20"/>
        </w:rPr>
        <w:t xml:space="preserve">, the </w:t>
      </w:r>
      <w:r>
        <w:rPr>
          <w:rFonts w:ascii="Times New Roman;Times;Serif" w:hAnsi="Times New Roman;Times;Serif"/>
          <w:b/>
          <w:i/>
          <w:caps w:val="false"/>
          <w:smallCaps w:val="false"/>
          <w:sz w:val="20"/>
        </w:rPr>
        <w:t>Bankruptcy and Insolvency Act</w:t>
      </w:r>
      <w:r>
        <w:rPr>
          <w:rFonts w:ascii="Times New Roman;Times;Serif" w:hAnsi="Times New Roman;Times;Serif"/>
          <w:b/>
          <w:i w:val="false"/>
          <w:caps w:val="false"/>
          <w:smallCaps w:val="false"/>
          <w:sz w:val="20"/>
        </w:rPr>
        <w:t xml:space="preserve"> (Canada) or the </w:t>
      </w:r>
      <w:r>
        <w:rPr>
          <w:rFonts w:ascii="Times New Roman;Times;Serif" w:hAnsi="Times New Roman;Times;Serif"/>
          <w:b/>
          <w:i/>
          <w:caps w:val="false"/>
          <w:smallCaps w:val="false"/>
          <w:sz w:val="20"/>
        </w:rPr>
        <w:t>Companies’ Creditors Arrangement Act</w:t>
      </w:r>
      <w:r>
        <w:rPr>
          <w:rFonts w:ascii="Times New Roman;Times;Serif" w:hAnsi="Times New Roman;Times;Serif"/>
          <w:b/>
          <w:i w:val="false"/>
          <w:caps w:val="false"/>
          <w:smallCaps w:val="false"/>
          <w:sz w:val="20"/>
        </w:rPr>
        <w:t xml:space="preserve"> (Canada), in each case if applicable or as amended or replaced from time to time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Board of Directors</w:t>
      </w:r>
      <w:r>
        <w:rPr>
          <w:rFonts w:ascii="Times New Roman;Times;Serif" w:hAnsi="Times New Roman;Times;Serif"/>
          <w:b w:val="false"/>
          <w:i w:val="false"/>
          <w:caps w:val="false"/>
          <w:smallCaps w:val="false"/>
          <w:sz w:val="20"/>
        </w:rPr>
        <w:t>” means the board of directors (or the functional equivalent thereof) of the Company or any duly authorized committee of such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Board Resolution</w:t>
      </w:r>
      <w:r>
        <w:rPr>
          <w:rFonts w:ascii="Times New Roman;Times;Serif" w:hAnsi="Times New Roman;Times;Serif"/>
          <w:b w:val="false"/>
          <w:i w:val="false"/>
          <w:caps w:val="false"/>
          <w:smallCaps w:val="false"/>
          <w:sz w:val="20"/>
        </w:rPr>
        <w:t>” means a copy of a resolution certified by the secretary or an assistant secretary of the Company to have been duly adopted by the Board of Directors (or duly authorized committee thereof) and to be in full force and effect on the date of such certification.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Business Day</w:t>
      </w:r>
      <w:r>
        <w:rPr>
          <w:rFonts w:ascii="Times New Roman;Times;Serif" w:hAnsi="Times New Roman;Times;Serif"/>
          <w:b w:val="false"/>
          <w:i w:val="false"/>
          <w:caps w:val="false"/>
          <w:smallCaps w:val="false"/>
          <w:sz w:val="20"/>
        </w:rPr>
        <w:t>” means, with respect to any series of Securities, any day other than a day on which federal or state banking institutions in the Borough of Manhattan, the City of New York, or in the city of the Corporate Trust Office of the Trustee, are authorized or obligated by law, executive order or regulation to close.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Commission</w:t>
      </w:r>
      <w:r>
        <w:rPr>
          <w:rFonts w:ascii="Times New Roman;Times;Serif" w:hAnsi="Times New Roman;Times;Serif"/>
          <w:b w:val="false"/>
          <w:i w:val="false"/>
          <w:caps w:val="false"/>
          <w:smallCaps w:val="false"/>
          <w:sz w:val="20"/>
        </w:rPr>
        <w:t>” means the Securities and Exchange Commission, as from time to time constituted, created under the Exchange Act, or, if at any time after the execution of this instrument such Commission is not existing and performing the duties now assigned to it under the Trust Indenture Act, then the body performing such duties at such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means Milestone Pharmaceuticals Inc., a corporation existing under the laws of the province of Québec and, subject to the provisions of Article Ten hereof, shall also include its successors and assigns.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Corporate Trust Office</w:t>
      </w:r>
      <w:r>
        <w:rPr>
          <w:rFonts w:ascii="Times New Roman;Times;Serif" w:hAnsi="Times New Roman;Times;Serif"/>
          <w:b w:val="false"/>
          <w:i w:val="false"/>
          <w:caps w:val="false"/>
          <w:smallCaps w:val="false"/>
          <w:sz w:val="20"/>
        </w:rPr>
        <w:t>” means the office of the Trustee at which, at any particular time, its corporate trust business shall be principally administered, which office at the date hereof is located at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Custodian</w:t>
      </w:r>
      <w:r>
        <w:rPr>
          <w:rFonts w:ascii="Times New Roman;Times;Serif" w:hAnsi="Times New Roman;Times;Serif"/>
          <w:b w:val="false"/>
          <w:i w:val="false"/>
          <w:caps w:val="false"/>
          <w:smallCaps w:val="false"/>
          <w:sz w:val="20"/>
        </w:rPr>
        <w:t>” means any receiver, receiver manager, interim receiver, trustee, monitor, assignee, sequestrator, liquidator or similar official under any Bankruptcy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Defaulted Interest</w:t>
      </w:r>
      <w:r>
        <w:rPr>
          <w:rFonts w:ascii="Times New Roman;Times;Serif" w:hAnsi="Times New Roman;Times;Serif"/>
          <w:b w:val="false"/>
          <w:i w:val="false"/>
          <w:caps w:val="false"/>
          <w:smallCaps w:val="false"/>
          <w:sz w:val="20"/>
        </w:rPr>
        <w:t>” has the meaning set forth in Section 2.03.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Depositary</w:t>
      </w:r>
      <w:r>
        <w:rPr>
          <w:rFonts w:ascii="Times New Roman;Times;Serif" w:hAnsi="Times New Roman;Times;Serif"/>
          <w:b w:val="false"/>
          <w:i w:val="false"/>
          <w:caps w:val="false"/>
          <w:smallCaps w:val="false"/>
          <w:sz w:val="20"/>
        </w:rPr>
        <w:t>” means, with respect to Securities of any series for which the Company shall determine that such Securities will be issued as a Global Security, The Depository Trust Company, another clearing agency, or any successor registered as a clearing agency under the Exchange Act, or other applicable statute or regulation, which, in each case, shall be designated by the Company pursuant to either Section 2.01 or 2.11.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Event of Default</w:t>
      </w:r>
      <w:r>
        <w:rPr>
          <w:rFonts w:ascii="Times New Roman;Times;Serif" w:hAnsi="Times New Roman;Times;Serif"/>
          <w:b w:val="false"/>
          <w:i w:val="false"/>
          <w:caps w:val="false"/>
          <w:smallCaps w:val="false"/>
          <w:sz w:val="20"/>
        </w:rPr>
        <w:t>” means, with respect to Securities of a particular series, any event specified in Section 6.01, continued for the period of time, if any, therein designated.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Exchange Act</w:t>
      </w:r>
      <w:r>
        <w:rPr>
          <w:rFonts w:ascii="Times New Roman;Times;Serif" w:hAnsi="Times New Roman;Times;Serif"/>
          <w:b w:val="false"/>
          <w:i w:val="false"/>
          <w:caps w:val="false"/>
          <w:smallCaps w:val="false"/>
          <w:sz w:val="20"/>
        </w:rPr>
        <w:t>” means the United States Securities and Exchange Act of 1934, as amended, and the rules and regulations promulgated by the Commission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w:t>
      </w:r>
      <w:r>
        <w:rPr>
          <w:rFonts w:ascii="Times New Roman;Times;Serif" w:hAnsi="Times New Roman;Times;Serif"/>
          <w:b/>
          <w:i/>
          <w:caps w:val="false"/>
          <w:smallCaps w:val="false"/>
          <w:sz w:val="20"/>
        </w:rPr>
        <w:t>given</w:t>
      </w:r>
      <w:r>
        <w:rPr>
          <w:rFonts w:ascii="Times New Roman;Times;Serif" w:hAnsi="Times New Roman;Times;Serif"/>
          <w:b w:val="false"/>
          <w:i w:val="false"/>
          <w:caps w:val="false"/>
          <w:smallCaps w:val="false"/>
          <w:sz w:val="20"/>
        </w:rPr>
        <w:t>”, “</w:t>
      </w:r>
      <w:r>
        <w:rPr>
          <w:rFonts w:ascii="Times New Roman;Times;Serif" w:hAnsi="Times New Roman;Times;Serif"/>
          <w:b/>
          <w:i/>
          <w:caps w:val="false"/>
          <w:smallCaps w:val="false"/>
          <w:sz w:val="20"/>
        </w:rPr>
        <w:t>mailed</w:t>
      </w:r>
      <w:r>
        <w:rPr>
          <w:rFonts w:ascii="Times New Roman;Times;Serif" w:hAnsi="Times New Roman;Times;Serif"/>
          <w:b w:val="false"/>
          <w:i w:val="false"/>
          <w:caps w:val="false"/>
          <w:smallCaps w:val="false"/>
          <w:sz w:val="20"/>
        </w:rPr>
        <w:t>”, “</w:t>
      </w:r>
      <w:r>
        <w:rPr>
          <w:rFonts w:ascii="Times New Roman;Times;Serif" w:hAnsi="Times New Roman;Times;Serif"/>
          <w:b/>
          <w:i/>
          <w:caps w:val="false"/>
          <w:smallCaps w:val="false"/>
          <w:sz w:val="20"/>
        </w:rPr>
        <w:t>notify</w:t>
      </w:r>
      <w:r>
        <w:rPr>
          <w:rFonts w:ascii="Times New Roman;Times;Serif" w:hAnsi="Times New Roman;Times;Serif"/>
          <w:b w:val="false"/>
          <w:i w:val="false"/>
          <w:caps w:val="false"/>
          <w:smallCaps w:val="false"/>
          <w:sz w:val="20"/>
        </w:rPr>
        <w:t>” or “</w:t>
      </w:r>
      <w:r>
        <w:rPr>
          <w:rFonts w:ascii="Times New Roman;Times;Serif" w:hAnsi="Times New Roman;Times;Serif"/>
          <w:b/>
          <w:i/>
          <w:caps w:val="false"/>
          <w:smallCaps w:val="false"/>
          <w:sz w:val="20"/>
        </w:rPr>
        <w:t>sent</w:t>
      </w:r>
      <w:r>
        <w:rPr>
          <w:rFonts w:ascii="Times New Roman;Times;Serif" w:hAnsi="Times New Roman;Times;Serif"/>
          <w:b w:val="false"/>
          <w:i w:val="false"/>
          <w:caps w:val="false"/>
          <w:smallCaps w:val="false"/>
          <w:sz w:val="20"/>
        </w:rPr>
        <w:t>” with respect to any notice to be given to a Securityholder pursuant to this Indenture, shall mean notice (x) given to the Depositary (or its designee) pursuant to the standing instructions from the Depositary or its designee, including by electronic mail in accordance with accepted practices or procedures at the Depositary (in the case of a Global Security) or (y) mailed to such Securityholder by first class mail, postage prepaid, at its address as it appears on the Security Register (in the case of a definitive Security). Notice so “given” shall be deemed to include any notice to be “mailed” or “delivered,” as applicable, under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Global Security</w:t>
      </w:r>
      <w:r>
        <w:rPr>
          <w:rFonts w:ascii="Times New Roman;Times;Serif" w:hAnsi="Times New Roman;Times;Serif"/>
          <w:b w:val="false"/>
          <w:i w:val="false"/>
          <w:caps w:val="false"/>
          <w:smallCaps w:val="false"/>
          <w:sz w:val="20"/>
        </w:rPr>
        <w:t>” means a Security issued to evidence all or a part of any series of Securities which is executed by the Company and authenticated and delivered by the Trustee to the Depositary or pursuant to the Depositary’s instruction, all in accordance with the Indenture, which shall be registered in the name of the Depositary or its nominee.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Governmental Obligations</w:t>
      </w:r>
      <w:r>
        <w:rPr>
          <w:rFonts w:ascii="Times New Roman;Times;Serif" w:hAnsi="Times New Roman;Times;Serif"/>
          <w:b w:val="false"/>
          <w:i w:val="false"/>
          <w:caps w:val="false"/>
          <w:smallCaps w:val="false"/>
          <w:sz w:val="20"/>
        </w:rPr>
        <w:t>” means securities that are (a) direct obligations of the United States of America for the payment of which its full faith and credit is pledged or (b) obligations of a Person controlled or supervised by and acting as an agency or instrumentality of the United States of America, the payment of which is unconditionally guaranteed as a full faith and credit obligation by the United States of America that, in either case, are not callable or redeemable at the option of the issuer thereof at any time prior to the stated maturity of the Securities, and shall also include a depositary receipt issued by a bank or trust company as custodian with respect to any such Governmental Obligation or a specific payment of principal of or interest on any such Governmental Obligation held by such custodian for the account of the holder of such depositary receipt; provided, however, that (except as required by law) such custodian is not authorized to make any deduction from the amount payable to the holder of such depositary receipt from any amount received by the custodian in respect of the Governmental Obligation or the specific payment of principal of or interest on the Governmental Obligation evidenced by such depositary receipt.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herein</w:t>
      </w:r>
      <w:r>
        <w:rPr>
          <w:rFonts w:ascii="Times New Roman;Times;Serif" w:hAnsi="Times New Roman;Times;Serif"/>
          <w:b w:val="false"/>
          <w:i w:val="false"/>
          <w:caps w:val="false"/>
          <w:smallCaps w:val="false"/>
          <w:sz w:val="20"/>
        </w:rPr>
        <w:t>”, “</w:t>
      </w:r>
      <w:r>
        <w:rPr>
          <w:rFonts w:ascii="Times New Roman;Times;Serif" w:hAnsi="Times New Roman;Times;Serif"/>
          <w:b/>
          <w:i/>
          <w:caps w:val="false"/>
          <w:smallCaps w:val="false"/>
          <w:sz w:val="20"/>
        </w:rPr>
        <w:t>hereof</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and “</w:t>
      </w:r>
      <w:r>
        <w:rPr>
          <w:rFonts w:ascii="Times New Roman;Times;Serif" w:hAnsi="Times New Roman;Times;Serif"/>
          <w:b/>
          <w:i/>
          <w:caps w:val="false"/>
          <w:smallCaps w:val="false"/>
          <w:sz w:val="20"/>
        </w:rPr>
        <w:t>hereunder</w:t>
      </w:r>
      <w:r>
        <w:rPr>
          <w:rFonts w:ascii="Times New Roman;Times;Serif" w:hAnsi="Times New Roman;Times;Serif"/>
          <w:b w:val="false"/>
          <w:i w:val="false"/>
          <w:caps w:val="false"/>
          <w:smallCaps w:val="false"/>
          <w:sz w:val="20"/>
        </w:rPr>
        <w:t>”, and other words of similar import, refer to this Indenture as a whole and not to any particular Article, Section or other subdivision.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Indenture</w:t>
      </w:r>
      <w:r>
        <w:rPr>
          <w:rFonts w:ascii="Times New Roman;Times;Serif" w:hAnsi="Times New Roman;Times;Serif"/>
          <w:b w:val="false"/>
          <w:i w:val="false"/>
          <w:caps w:val="false"/>
          <w:smallCaps w:val="false"/>
          <w:sz w:val="20"/>
        </w:rPr>
        <w:t>” means this instrument as originally executed or as it may from time to time be supplemented or amended by one or more indentures supplemental hereto entered into in accordance with the terms hereof and shall include the terms of particular series of Securities established as contemplated by Section 2.01.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Interest Payment Date</w:t>
      </w:r>
      <w:r>
        <w:rPr>
          <w:rFonts w:ascii="Times New Roman;Times;Serif" w:hAnsi="Times New Roman;Times;Serif"/>
          <w:b w:val="false"/>
          <w:i w:val="false"/>
          <w:caps w:val="false"/>
          <w:smallCaps w:val="false"/>
          <w:sz w:val="20"/>
        </w:rPr>
        <w:t>”, when used with respect to any installment of interest on a Security of a particular series, means the date specified in such Security or in a Board Resolution or in an indenture supplemental hereto with respect to such series as the fixed date on which an installment of interest with respect to Securities of that series is due and payable.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Officer</w:t>
      </w:r>
      <w:r>
        <w:rPr>
          <w:rFonts w:ascii="Times New Roman;Times;Serif" w:hAnsi="Times New Roman;Times;Serif"/>
          <w:b w:val="false"/>
          <w:i w:val="false"/>
          <w:caps w:val="false"/>
          <w:smallCaps w:val="false"/>
          <w:sz w:val="20"/>
        </w:rPr>
        <w:t>” means, with respect to the Company, the chairman of the Board of Directors, a chief executive officer, a president, a chief financial officer, a chief operating officer, any executive vice president, any senior vice president, any vice president, the treasurer or any assistant treasurer, the controller or any assistant controller or the secretary or any assistant secretary.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Officer’s Certificate</w:t>
      </w:r>
      <w:r>
        <w:rPr>
          <w:rFonts w:ascii="Times New Roman;Times;Serif" w:hAnsi="Times New Roman;Times;Serif"/>
          <w:b w:val="false"/>
          <w:i w:val="false"/>
          <w:caps w:val="false"/>
          <w:smallCaps w:val="false"/>
          <w:sz w:val="20"/>
        </w:rPr>
        <w:t>” means a certificate signed by any Officer. Each such certificate shall include the statements provided for in Section 13.07, if and to the extent required by the provisions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Opinion of Counsel</w:t>
      </w:r>
      <w:r>
        <w:rPr>
          <w:rFonts w:ascii="Times New Roman;Times;Serif" w:hAnsi="Times New Roman;Times;Serif"/>
          <w:b w:val="false"/>
          <w:i w:val="false"/>
          <w:caps w:val="false"/>
          <w:smallCaps w:val="false"/>
          <w:sz w:val="20"/>
        </w:rPr>
        <w:t>” means an opinion in writing subject to customary exceptions of legal counsel, who may be an employee of or counsel for the Company, that is delivered to the Trustee in accordance with the terms hereof. Each such opinion shall include the statements provided for in Section 13.07, if and to the extent required by the provisions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Outstanding</w:t>
      </w:r>
      <w:r>
        <w:rPr>
          <w:rFonts w:ascii="Times New Roman;Times;Serif" w:hAnsi="Times New Roman;Times;Serif"/>
          <w:b w:val="false"/>
          <w:i w:val="false"/>
          <w:caps w:val="false"/>
          <w:smallCaps w:val="false"/>
          <w:sz w:val="20"/>
        </w:rPr>
        <w:t>”, when used with reference to Securities of any series, means, subject to the provisions of Section 8.04, as of any particular time, all Securities of that series theretofore authenticated and delivered by the Trustee under this Indenture, except (a) Securities theretofore canceled by the Trustee or any paying agent, or delivered to the Trustee or any paying agent for cancellation or that have previously been canceled; (b) Securities or portions thereof for the payment or redemption of which moneys or Governmental Obligations in the necessary amount shall have been deposited in trust with the Trustee or with any paying agent (other than the Company) or shall have been set aside and segregated in trust by the Company (if the Company shall act as its own paying agent); provided, however, that if such Securities or portions of such Securities are to be redeemed prior to the maturity thereof, notice of such redemption shall have been given as provided in Article Three, or provision satisfactory to the Trustee shall have been made for giving such notice; and (c) Securities in lieu of or in substitution for which other Securities shall have been authenticated and delivered pursuant to the terms of Section 2.07.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Person</w:t>
      </w:r>
      <w:r>
        <w:rPr>
          <w:rFonts w:ascii="Times New Roman;Times;Serif" w:hAnsi="Times New Roman;Times;Serif"/>
          <w:b w:val="false"/>
          <w:i w:val="false"/>
          <w:caps w:val="false"/>
          <w:smallCaps w:val="false"/>
          <w:sz w:val="20"/>
        </w:rPr>
        <w:t>” means any individual, corporation, partnership, joint venture, joint-stock company, limited liability company, association, trust, unincorporated organization, any other entity or organization, including a government or political subdivision or an agency or instrumentality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Predecessor Security</w:t>
      </w:r>
      <w:r>
        <w:rPr>
          <w:rFonts w:ascii="Times New Roman;Times;Serif" w:hAnsi="Times New Roman;Times;Serif"/>
          <w:b w:val="false"/>
          <w:i w:val="false"/>
          <w:caps w:val="false"/>
          <w:smallCaps w:val="false"/>
          <w:sz w:val="20"/>
        </w:rPr>
        <w:t>” of any particular Security means every previous Security evidencing all or a portion of the same debt as that evidenced by such particular Security; and, for the purposes of this definition, any Security authenticated and delivered under Section 2.07 in lieu of a mutilated</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lost, destroyed or stolen Security shall be deemed to evidence the same debt as the mutilated, lost, destroyed or stolen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Responsible Officer</w:t>
      </w:r>
      <w:r>
        <w:rPr>
          <w:rFonts w:ascii="Times New Roman;Times;Serif" w:hAnsi="Times New Roman;Times;Serif"/>
          <w:b w:val="false"/>
          <w:i w:val="false"/>
          <w:caps w:val="false"/>
          <w:smallCaps w:val="false"/>
          <w:sz w:val="20"/>
        </w:rPr>
        <w:t>” when used with respect to the Trustee means any officer within the Corporate Trust Office of the Trustee (or any successor group of the Trustee) or any other officer of the Trustee customarily performing functions similar to those performed by any of the above designated officers and also means, with respect to a particular corporate trust matter, any other officer to whom such matter is referred because of his or her knowledge of and familiarity with the particular subject and in each case who shall have direct responsibility for the administration of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Securities</w:t>
      </w:r>
      <w:r>
        <w:rPr>
          <w:rFonts w:ascii="Times New Roman;Times;Serif" w:hAnsi="Times New Roman;Times;Serif"/>
          <w:b w:val="false"/>
          <w:i w:val="false"/>
          <w:caps w:val="false"/>
          <w:smallCaps w:val="false"/>
          <w:sz w:val="20"/>
        </w:rPr>
        <w:t>” has the meaning stated in the first recital of this Indenture and more particularly means any Securities authenticated and delivered under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w:t>
      </w:r>
      <w:r>
        <w:rPr>
          <w:rFonts w:ascii="Times New Roman;Times;Serif" w:hAnsi="Times New Roman;Times;Serif"/>
          <w:b/>
          <w:i/>
          <w:caps w:val="false"/>
          <w:smallCaps w:val="false"/>
          <w:sz w:val="20"/>
        </w:rPr>
        <w:t>Securities Act</w:t>
      </w:r>
      <w:r>
        <w:rPr>
          <w:rFonts w:ascii="Times New Roman;Times;Serif" w:hAnsi="Times New Roman;Times;Serif"/>
          <w:b w:val="false"/>
          <w:i w:val="false"/>
          <w:caps w:val="false"/>
          <w:smallCaps w:val="false"/>
          <w:sz w:val="20"/>
        </w:rPr>
        <w:t>” means the Securities Act of 1933,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Securityholder</w:t>
      </w:r>
      <w:r>
        <w:rPr>
          <w:rFonts w:ascii="Times New Roman;Times;Serif" w:hAnsi="Times New Roman;Times;Serif"/>
          <w:b w:val="false"/>
          <w:i w:val="false"/>
          <w:caps w:val="false"/>
          <w:smallCaps w:val="false"/>
          <w:sz w:val="20"/>
        </w:rPr>
        <w:t>”, “</w:t>
      </w:r>
      <w:r>
        <w:rPr>
          <w:rFonts w:ascii="Times New Roman;Times;Serif" w:hAnsi="Times New Roman;Times;Serif"/>
          <w:b/>
          <w:i/>
          <w:caps w:val="false"/>
          <w:smallCaps w:val="false"/>
          <w:sz w:val="20"/>
        </w:rPr>
        <w:t>holder of Securities</w:t>
      </w:r>
      <w:r>
        <w:rPr>
          <w:rFonts w:ascii="Times New Roman;Times;Serif" w:hAnsi="Times New Roman;Times;Serif"/>
          <w:b w:val="false"/>
          <w:i w:val="false"/>
          <w:caps w:val="false"/>
          <w:smallCaps w:val="false"/>
          <w:sz w:val="20"/>
        </w:rPr>
        <w:t>”, “</w:t>
      </w:r>
      <w:r>
        <w:rPr>
          <w:rFonts w:ascii="Times New Roman;Times;Serif" w:hAnsi="Times New Roman;Times;Serif"/>
          <w:b/>
          <w:i/>
          <w:caps w:val="false"/>
          <w:smallCaps w:val="false"/>
          <w:sz w:val="20"/>
        </w:rPr>
        <w:t>registered holder</w:t>
      </w:r>
      <w:r>
        <w:rPr>
          <w:rFonts w:ascii="Times New Roman;Times;Serif" w:hAnsi="Times New Roman;Times;Serif"/>
          <w:b w:val="false"/>
          <w:i w:val="false"/>
          <w:caps w:val="false"/>
          <w:smallCaps w:val="false"/>
          <w:sz w:val="20"/>
        </w:rPr>
        <w:t>”, or other similar term, means the Person or Persons in whose name or names a particular Security is registered on the Security Register kept for that purpose in accordance with the terms of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Security Register</w:t>
      </w:r>
      <w:r>
        <w:rPr>
          <w:rFonts w:ascii="Times New Roman;Times;Serif" w:hAnsi="Times New Roman;Times;Serif"/>
          <w:b w:val="false"/>
          <w:i w:val="false"/>
          <w:caps w:val="false"/>
          <w:smallCaps w:val="false"/>
          <w:sz w:val="20"/>
        </w:rPr>
        <w:t>” and “</w:t>
      </w:r>
      <w:r>
        <w:rPr>
          <w:rFonts w:ascii="Times New Roman;Times;Serif" w:hAnsi="Times New Roman;Times;Serif"/>
          <w:b/>
          <w:i/>
          <w:caps w:val="false"/>
          <w:smallCaps w:val="false"/>
          <w:sz w:val="20"/>
        </w:rPr>
        <w:t>Security Registrar</w:t>
      </w:r>
      <w:r>
        <w:rPr>
          <w:rFonts w:ascii="Times New Roman;Times;Serif" w:hAnsi="Times New Roman;Times;Serif"/>
          <w:b w:val="false"/>
          <w:i w:val="false"/>
          <w:caps w:val="false"/>
          <w:smallCaps w:val="false"/>
          <w:sz w:val="20"/>
        </w:rPr>
        <w:t>” shall have the meanings as set forth in Section 2.05.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Subsidiary</w:t>
      </w:r>
      <w:r>
        <w:rPr>
          <w:rFonts w:ascii="Times New Roman;Times;Serif" w:hAnsi="Times New Roman;Times;Serif"/>
          <w:b w:val="false"/>
          <w:i w:val="false"/>
          <w:caps w:val="false"/>
          <w:smallCaps w:val="false"/>
          <w:sz w:val="20"/>
        </w:rPr>
        <w:t>” means, with respect to any Person, any corporation, association, partnership or other business entity of which more than 50% of the total voting power of shares of capital stock or other interests (including partnership interests) entitled (without regard to the occurrence of any contingency) to vote in the election of directors, managers, general partners or trustees thereof is at the time owned or controlled, directly or indirectly, by (i) such Person; (ii) such Person and one or more Subsidiaries of such Person; or (iii) one or more Subsidiaries of such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Trustee</w:t>
      </w:r>
      <w:r>
        <w:rPr>
          <w:rFonts w:ascii="Times New Roman;Times;Serif" w:hAnsi="Times New Roman;Times;Serif"/>
          <w:b w:val="false"/>
          <w:i w:val="false"/>
          <w:caps w:val="false"/>
          <w:smallCaps w:val="false"/>
          <w:sz w:val="20"/>
        </w:rPr>
        <w:t xml:space="preserve">” means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 and, subject to the provisions of Article Seven, shall also include its successors and assigns, and, if at any time there is more than one Person acting in such capacity hereunder, “Trustee” shall mean each such Person. The term “Trustee” as used with respect to a particular series of the Securities shall mean the trustee with respect to that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Trust Indenture Act</w:t>
      </w:r>
      <w:r>
        <w:rPr>
          <w:rFonts w:ascii="Times New Roman;Times;Serif" w:hAnsi="Times New Roman;Times;Serif"/>
          <w:b w:val="false"/>
          <w:i w:val="false"/>
          <w:caps w:val="false"/>
          <w:smallCaps w:val="false"/>
          <w:sz w:val="20"/>
        </w:rPr>
        <w:t>” means the Trust Indenture Act of 1939,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i/>
          <w:caps w:val="false"/>
          <w:smallCaps w:val="false"/>
          <w:sz w:val="20"/>
        </w:rPr>
        <w:t>U.S.A. Patriot Act”</w:t>
      </w:r>
      <w:r>
        <w:rPr>
          <w:rFonts w:ascii="Times New Roman;Times;Serif" w:hAnsi="Times New Roman;Times;Serif"/>
          <w:b w:val="false"/>
          <w:i w:val="false"/>
          <w:caps w:val="false"/>
          <w:smallCaps w:val="false"/>
          <w:sz w:val="20"/>
        </w:rPr>
        <w:t xml:space="preserve"> means the Uniting and Strengthening America by Providing Appropriate Tools Required to Intercept and Obstruct Terrorism Act of 2001, Pub. L. 107-56, as amended and signed into law October 26, 2001.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ISSUE, DESCRIPTION, TERMS, EXECUTION, REGISTRATION AND EXCHANGE OF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2.01 Designation and Terms of Securities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The aggregate principal amount of Securities that may be authenticated and delivered under this Indenture is unlimited. The Securities may be issued in one or more series up to the aggregate principal amount of Securities of that series from time to time authorized by or pursuant to a Board Resolution or pursuant to one or more indentures supplemental hereto. Prior to the initial issuance of Securities of any series, there shall be established in or pursuant to a Board Resolution, and set forth in an Officer’s Certificate, or established in one or more indentures supplemental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 </w:t>
      </w:r>
      <w:r>
        <w:rPr>
          <w:rFonts w:ascii="Times New Roman;Times;Serif" w:hAnsi="Times New Roman;Times;Serif"/>
          <w:b w:val="false"/>
          <w:i w:val="false"/>
          <w:caps w:val="false"/>
          <w:smallCaps w:val="false"/>
          <w:sz w:val="20"/>
        </w:rPr>
        <w:t>the title of the Securities of the series (which shall distinguish the Securities of that series from all other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 </w:t>
      </w:r>
      <w:r>
        <w:rPr>
          <w:rFonts w:ascii="Times New Roman;Times;Serif" w:hAnsi="Times New Roman;Times;Serif"/>
          <w:b w:val="false"/>
          <w:i w:val="false"/>
          <w:caps w:val="false"/>
          <w:smallCaps w:val="false"/>
          <w:sz w:val="20"/>
        </w:rPr>
        <w:t>any limit upon the aggregate principal amount of the Securities of that series that may be authenticated and delivered under this Indenture (except for Securities authenticated and delivered upon registration of transfer of, or in exchange for, or in lieu of, other Securities of that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 </w:t>
      </w:r>
      <w:r>
        <w:rPr>
          <w:rFonts w:ascii="Times New Roman;Times;Serif" w:hAnsi="Times New Roman;Times;Serif"/>
          <w:b w:val="false"/>
          <w:i w:val="false"/>
          <w:caps w:val="false"/>
          <w:smallCaps w:val="false"/>
          <w:sz w:val="20"/>
        </w:rPr>
        <w:t>the maturity date or dates on which the principal of the Securities of the series is payable;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 </w:t>
      </w:r>
      <w:r>
        <w:rPr>
          <w:rFonts w:ascii="Times New Roman;Times;Serif" w:hAnsi="Times New Roman;Times;Serif"/>
          <w:b w:val="false"/>
          <w:i w:val="false"/>
          <w:caps w:val="false"/>
          <w:smallCaps w:val="false"/>
          <w:sz w:val="20"/>
        </w:rPr>
        <w:t>the form of the Securities of the series including the form of the certificate of authentication for such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 </w:t>
      </w:r>
      <w:r>
        <w:rPr>
          <w:rFonts w:ascii="Times New Roman;Times;Serif" w:hAnsi="Times New Roman;Times;Serif"/>
          <w:b w:val="false"/>
          <w:i w:val="false"/>
          <w:caps w:val="false"/>
          <w:smallCaps w:val="false"/>
          <w:sz w:val="20"/>
        </w:rPr>
        <w:t>the applicability of any guarantees;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(6) </w:t>
      </w:r>
      <w:r>
        <w:rPr>
          <w:rFonts w:ascii="Times New Roman;Times;Serif" w:hAnsi="Times New Roman;Times;Serif"/>
          <w:b w:val="false"/>
          <w:i w:val="false"/>
          <w:caps w:val="false"/>
          <w:smallCaps w:val="false"/>
          <w:sz w:val="20"/>
        </w:rPr>
        <w:t>whether or not the Securities will be secured or unsecured, and the terms of any secured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(7) </w:t>
      </w:r>
      <w:r>
        <w:rPr>
          <w:rFonts w:ascii="Times New Roman;Times;Serif" w:hAnsi="Times New Roman;Times;Serif"/>
          <w:b w:val="false"/>
          <w:i w:val="false"/>
          <w:caps w:val="false"/>
          <w:smallCaps w:val="false"/>
          <w:sz w:val="20"/>
        </w:rPr>
        <w:t>whether the Securities rank as senior debt, senior subordinated debt, subordinated debt or any combination thereof, and the terms of any subordination;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(8) </w:t>
      </w:r>
      <w:r>
        <w:rPr>
          <w:rFonts w:ascii="Times New Roman;Times;Serif" w:hAnsi="Times New Roman;Times;Serif"/>
          <w:b w:val="false"/>
          <w:i w:val="false"/>
          <w:caps w:val="false"/>
          <w:smallCaps w:val="false"/>
          <w:sz w:val="20"/>
        </w:rPr>
        <w:t>if the price (expressed as a percentage of the aggregate principal amount thereof) at which such Securities will be issued is a price other than the principal amount thereof, the portion of the principal amount thereof payable upon declaration of acceleration of the maturity thereof, or if applicable, the portion of the principal amount of such Securities that is convertible into another security or the method by which any such portion shall be determined;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(9) </w:t>
      </w:r>
      <w:r>
        <w:rPr>
          <w:rFonts w:ascii="Times New Roman;Times;Serif" w:hAnsi="Times New Roman;Times;Serif"/>
          <w:b w:val="false"/>
          <w:i w:val="false"/>
          <w:caps w:val="false"/>
          <w:smallCaps w:val="false"/>
          <w:sz w:val="20"/>
        </w:rPr>
        <w:t>the interest rate or rates, which may be fixed or variable, or the method for determining the rate and the date interest will begin to accrue, the dates interest will be payable and the regular record dates for interest payment dates or the method for determining such 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(10) </w:t>
      </w:r>
      <w:r>
        <w:rPr>
          <w:rFonts w:ascii="Times New Roman;Times;Serif" w:hAnsi="Times New Roman;Times;Serif"/>
          <w:b w:val="false"/>
          <w:i w:val="false"/>
          <w:caps w:val="false"/>
          <w:smallCaps w:val="false"/>
          <w:sz w:val="20"/>
        </w:rPr>
        <w:t>the Company’s right, if any, to defer the payment of interest and the maximum length of any such deferral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(11) </w:t>
      </w:r>
      <w:r>
        <w:rPr>
          <w:rFonts w:ascii="Times New Roman;Times;Serif" w:hAnsi="Times New Roman;Times;Serif"/>
          <w:b w:val="false"/>
          <w:i w:val="false"/>
          <w:caps w:val="false"/>
          <w:smallCaps w:val="false"/>
          <w:sz w:val="20"/>
        </w:rPr>
        <w:t>if applicable, the date or dates after which, or the period or periods during which, and the price or prices at which, the Company may at its option, redeem the series of Securities pursuant to any optional or provisional redemption provisions and the terms of those redemption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(12) </w:t>
      </w:r>
      <w:r>
        <w:rPr>
          <w:rFonts w:ascii="Times New Roman;Times;Serif" w:hAnsi="Times New Roman;Times;Serif"/>
          <w:b w:val="false"/>
          <w:i w:val="false"/>
          <w:caps w:val="false"/>
          <w:smallCaps w:val="false"/>
          <w:sz w:val="20"/>
        </w:rPr>
        <w:t>the date or dates, if any, on which, and the price or prices at which the Company is obligated, pursuant to any mandatory sinking fund or analogous fund provisions or otherwise, to redeem, or at the Securityholder’s option to purchase, the series of Securities and the currency or currency unit in which the Securities are payable;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(13) </w:t>
      </w:r>
      <w:r>
        <w:rPr>
          <w:rFonts w:ascii="Times New Roman;Times;Serif" w:hAnsi="Times New Roman;Times;Serif"/>
          <w:b w:val="false"/>
          <w:i w:val="false"/>
          <w:caps w:val="false"/>
          <w:smallCaps w:val="false"/>
          <w:sz w:val="20"/>
        </w:rPr>
        <w:t>the denominations in which the Securities of the series shall be issuable, if other than denominations of one thousand U.S. dollars ($1,000) or any integral multiple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(14) </w:t>
      </w:r>
      <w:r>
        <w:rPr>
          <w:rFonts w:ascii="Times New Roman;Times;Serif" w:hAnsi="Times New Roman;Times;Serif"/>
          <w:b w:val="false"/>
          <w:i w:val="false"/>
          <w:caps w:val="false"/>
          <w:smallCaps w:val="false"/>
          <w:sz w:val="20"/>
        </w:rPr>
        <w:t>any and all terms, if applicable, relating to any auction or remarketing of the Securities of that series and any security for the obligations of the Company with respect to such Securities and any other terms which may be advisable in connection with the marketing of Securities of that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(15) </w:t>
      </w:r>
      <w:r>
        <w:rPr>
          <w:rFonts w:ascii="Times New Roman;Times;Serif" w:hAnsi="Times New Roman;Times;Serif"/>
          <w:b w:val="false"/>
          <w:i w:val="false"/>
          <w:caps w:val="false"/>
          <w:smallCaps w:val="false"/>
          <w:sz w:val="20"/>
        </w:rPr>
        <w:t>whether the Securities of the series shall be issued in whole or in part in the form of a Global Security or Securities; the terms and conditions, if any, upon which such Global Security or Securities may be exchanged in whole or in part for other individual Securities; and the Depositary for such Global Security or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(16) </w:t>
      </w:r>
      <w:r>
        <w:rPr>
          <w:rFonts w:ascii="Times New Roman;Times;Serif" w:hAnsi="Times New Roman;Times;Serif"/>
          <w:b w:val="false"/>
          <w:i w:val="false"/>
          <w:caps w:val="false"/>
          <w:smallCaps w:val="false"/>
          <w:sz w:val="20"/>
        </w:rPr>
        <w:t>if applicable, the provisions relating to conversion or exchange of any Securities of the series and the terms and conditions upon which such Securities will be so convertible or exchangeable, including the conversion or exchange price, as applicable, or how it will be calculated and may be adjusted, any automatic, mandatory or optional (at the Company’s option or the holders’ option) conversion or exchange features, the applicable conversion or exchange period and the manner of settlement for any conversion or exchange, which may, without limitation, include the payment of cash as well as the delivery of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(17) </w:t>
      </w:r>
      <w:r>
        <w:rPr>
          <w:rFonts w:ascii="Times New Roman;Times;Serif" w:hAnsi="Times New Roman;Times;Serif"/>
          <w:b w:val="false"/>
          <w:i w:val="false"/>
          <w:caps w:val="false"/>
          <w:smallCaps w:val="false"/>
          <w:sz w:val="20"/>
        </w:rPr>
        <w:t>if other than the full principal amount thereof, the portion of the principal amount of Securities of the series which shall be payable upon declaration of acceleration of the maturity thereof pursuant to Section 6.01;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(18) </w:t>
      </w:r>
      <w:r>
        <w:rPr>
          <w:rFonts w:ascii="Times New Roman;Times;Serif" w:hAnsi="Times New Roman;Times;Serif"/>
          <w:b w:val="false"/>
          <w:i w:val="false"/>
          <w:caps w:val="false"/>
          <w:smallCaps w:val="false"/>
          <w:sz w:val="20"/>
        </w:rPr>
        <w:t>additions to or changes in the covenants applicable to the series of Securities being issued, including, among others, the consolidation, arrangement, amalgamation, merger or sale covenant;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(19) </w:t>
      </w:r>
      <w:r>
        <w:rPr>
          <w:rFonts w:ascii="Times New Roman;Times;Serif" w:hAnsi="Times New Roman;Times;Serif"/>
          <w:b w:val="false"/>
          <w:i w:val="false"/>
          <w:caps w:val="false"/>
          <w:smallCaps w:val="false"/>
          <w:sz w:val="20"/>
        </w:rPr>
        <w:t>additions to or changes in the Events of Default with respect to the Securities and any change in the right of the Trustee or the Securityholders to declare the principal, premium, if any, and interest, if any, with respect to such Securities to be due and payable;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(20) </w:t>
      </w:r>
      <w:r>
        <w:rPr>
          <w:rFonts w:ascii="Times New Roman;Times;Serif" w:hAnsi="Times New Roman;Times;Serif"/>
          <w:b w:val="false"/>
          <w:i w:val="false"/>
          <w:caps w:val="false"/>
          <w:smallCaps w:val="false"/>
          <w:sz w:val="20"/>
        </w:rPr>
        <w:t>additions to or changes in or deletions of the provisions relating to covenant defeasance and legal defeasance;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(21) </w:t>
      </w:r>
      <w:r>
        <w:rPr>
          <w:rFonts w:ascii="Times New Roman;Times;Serif" w:hAnsi="Times New Roman;Times;Serif"/>
          <w:b w:val="false"/>
          <w:i w:val="false"/>
          <w:caps w:val="false"/>
          <w:smallCaps w:val="false"/>
          <w:sz w:val="20"/>
        </w:rPr>
        <w:t>additions to or changes in the provisions relating to satisfaction and discharge of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(22) </w:t>
      </w:r>
      <w:r>
        <w:rPr>
          <w:rFonts w:ascii="Times New Roman;Times;Serif" w:hAnsi="Times New Roman;Times;Serif"/>
          <w:b w:val="false"/>
          <w:i w:val="false"/>
          <w:caps w:val="false"/>
          <w:smallCaps w:val="false"/>
          <w:sz w:val="20"/>
        </w:rPr>
        <w:t>additions to or changes in the provisions relating to the modification of this Indenture both with and without the consent of Securityholders of Securities issued under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(23) </w:t>
      </w:r>
      <w:r>
        <w:rPr>
          <w:rFonts w:ascii="Times New Roman;Times;Serif" w:hAnsi="Times New Roman;Times;Serif"/>
          <w:b w:val="false"/>
          <w:i w:val="false"/>
          <w:caps w:val="false"/>
          <w:smallCaps w:val="false"/>
          <w:sz w:val="20"/>
        </w:rPr>
        <w:t>the currency of payment of Securities if other than U.S. dollars and the manner of determining the equivalent amount in U.S. dollars;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(24) </w:t>
      </w:r>
      <w:r>
        <w:rPr>
          <w:rFonts w:ascii="Times New Roman;Times;Serif" w:hAnsi="Times New Roman;Times;Serif"/>
          <w:b w:val="false"/>
          <w:i w:val="false"/>
          <w:caps w:val="false"/>
          <w:smallCaps w:val="false"/>
          <w:sz w:val="20"/>
        </w:rPr>
        <w:t>whether interest will be payable in cash or additional Securities at the Company’s or the Securityholders’ option and the terms and conditions upon which the election may be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(25) </w:t>
      </w:r>
      <w:r>
        <w:rPr>
          <w:rFonts w:ascii="Times New Roman;Times;Serif" w:hAnsi="Times New Roman;Times;Serif"/>
          <w:b w:val="false"/>
          <w:i w:val="false"/>
          <w:caps w:val="false"/>
          <w:smallCaps w:val="false"/>
          <w:sz w:val="20"/>
        </w:rPr>
        <w:t>the terms and conditions, if any, upon which the Company shall pay amounts in addition to the stated interest, premium, if any and principal amounts of the Securities of the series to any Securityholder that is not a “United States person” for federal tax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(26) </w:t>
      </w:r>
      <w:r>
        <w:rPr>
          <w:rFonts w:ascii="Times New Roman;Times;Serif" w:hAnsi="Times New Roman;Times;Serif"/>
          <w:b w:val="false"/>
          <w:i w:val="false"/>
          <w:caps w:val="false"/>
          <w:smallCaps w:val="false"/>
          <w:sz w:val="20"/>
        </w:rPr>
        <w:t>any restrictions on transfer, sale or assignment of the Securities of the series;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(27) </w:t>
      </w:r>
      <w:r>
        <w:rPr>
          <w:rFonts w:ascii="Times New Roman;Times;Serif" w:hAnsi="Times New Roman;Times;Serif"/>
          <w:b w:val="false"/>
          <w:i w:val="false"/>
          <w:caps w:val="false"/>
          <w:smallCaps w:val="false"/>
          <w:sz w:val="20"/>
        </w:rPr>
        <w:t>any other specific terms, preferences, rights or limitations of, or restrictions on, the Securities, any other additions or changes in the provisions of this Indenture, and any terms that may be required by us or advisable under applicable laws or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Securities of any one series shall be substantially identical except as may otherwise be provided in or pursuant to any such Board Resolution or in any indentures supplemental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terms of the series are established by action taken pursuant to a Board Resolution of the Company, a copy of an appropriate record of such action shall be certified by the secretary or an assistant secretary of the Company and delivered to the Trustee at or prior to the delivery of the Officer’s Certificate of the Company setting forth the terms of the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of any particular series may be issued at various times, with different dates on which the principal or any installment of principal is payable, with different rates of interest, if any, or different methods by which rates of interest may be determined, with different dates on which such interest may be payable and with different redemption 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2.02 Form of Securities and Trustee’s Certificate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of any series and the Trustee’s certificate of authentication to be borne by such Securities shall be substantially of the tenor and purport as set forth in one or more indentures supplemental hereto or as provided in a Board Resolution, and set forth in an Officer’s Certificate, and they may have such letters, numbers or other marks of identification or designation and such legends or endorsements printed, lithographed or engraved thereon as the Company may deem appropriate and as are not inconsistent with the provisions of this Indenture, or as may be required to comply with any law or with any rule or regulation made pursuant thereto or with any rule or regulation of any securities exchange on which Securities of that series may be listed, or to conform to usage.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2.03 Denominations: Provisions for Payment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shall be issuable as registered Securities and in the denominations of one thousand U.S. dollars ($1,000) or any integral multiple thereof, subject to Section 2.01(a)(13). The Securities of a particular series shall bear interest payable on the dates and at the rate specified with respect to that series. Subject to Section 2.01(a)(23), the principal of and the interest on the Securities of any series, as well as any premium thereon in case of redemption or repurchase thereof prior to maturity, and any cash amount due upon conversion or exchange thereof, shall be payable in the coin or currency of the United States of America that at the time is legal tender for public and private debt, at the office or agency of the Company maintained for that purpose. Each Security shall be dated the date of its authentication in accordance with Section 2.04. Interest on the Securities shall be computed on the basis of a 360-day year composed of twelve 30-day months.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interest installment on any Security that is payable, and is punctually paid or duly provided for, on any Interest Payment Date for Securities of that series shall be paid to the Person in whose name said Security (or one or more Predecessor Securities) is registered at the close of business on the regular record date for such interest installment. In the event that any Security of a particular series or portion thereof is called for redemption and the redemption date is subsequent to a regular record date with respect to any Interest Payment Date and prior to such Interest Payment Date, interest on such Security will be paid upon presentation and surrender of such Security as provided in Section 3.03.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interest on any Security that is payable, but is not punctually paid or duly provided for, on any Interest Payment Date for Securities of the same series (herein called “Defaulted Interest”) shall forthwith cease to be payable to the registered holder on the relevant regular record date by virtue of having been such holder; and such Defaulted Interest shall be paid by the Company, at its election, as provided in clause (1) or clause (2)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 </w:t>
      </w:r>
      <w:r>
        <w:rPr>
          <w:rFonts w:ascii="Times New Roman;Times;Serif" w:hAnsi="Times New Roman;Times;Serif"/>
          <w:b w:val="false"/>
          <w:i w:val="false"/>
          <w:caps w:val="false"/>
          <w:smallCaps w:val="false"/>
          <w:sz w:val="20"/>
        </w:rPr>
        <w:t>The Company may make payment of any Defaulted Interest on Securities to the Persons in whose names such Securities (or their respective Predecessor Securities) are registered in the Security Register at the close of business on a special record date for the payment of such Defaulted Interest, which shall be fixed in the following manner: the Company shall notify the Trustee in writing of the amount of Defaulted Interest proposed to be paid on each such Security and the date of the proposed payment, and at the same time the Company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provided. Thereupon the Trustee shall fix a special record date for the payment of such Defaulted Interest which shall not be more than 15 nor less than 10 days prior to the date of the proposed payment and not less than 10 days after the receipt by the Trustee of the notice of the proposed payment. The Trustee shall promptly notify in writing the Company of such special record date and, in the name and at the expense of the Company, shall cause notice of the proposed payment of such Defaulted Interest and the special record date therefor to be sent, to each Securityholder not less than 10 days prior to such special record date. Notice of the proposed payment of such Defaulted Interest and the special record date therefor having been sent as aforesaid, such Defaulted Interest shall be paid to the Persons in whose names such Securities (or their respective Predecessor Securities) are registered in the Security Register on such special record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 </w:t>
      </w:r>
      <w:r>
        <w:rPr>
          <w:rFonts w:ascii="Times New Roman;Times;Serif" w:hAnsi="Times New Roman;Times;Serif"/>
          <w:b w:val="false"/>
          <w:i w:val="false"/>
          <w:caps w:val="false"/>
          <w:smallCaps w:val="false"/>
          <w:sz w:val="20"/>
        </w:rPr>
        <w:t>The Company may make payment of any Defaulted Interest on any Securities in any other lawful manner not inconsistent with the requirements of any securities exchange on which such Securities may be listed, and upon such notice as may be required by such exchange, if, after notice given by the Company to the Trustee of the proposed payment pursuant to this clause, such manner of payment shall be deemed practicable by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set forth in a Board Resolution or one or more indentures supplemental hereto establishing the terms of any series of Securities pursuant to Section 2.01 hereof, the term “regular record date” as used in this Section with respect to a series of Securities and any Interest Payment Date for such series shall mean either the fifteenth day of the month immediately preceding the month in which an Interest Payment Date established for such series pursuant to Section 2.01 hereof shall occur, if such Interest Payment Date is the first day of a month, or the first day of the month in which an Interest Payment Date established for such series pursuant to Section 2.01 hereof shall occur, if such Interest Payment Date is the fifteenth day of a month, whether or not such date is a Business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foregoing provisions of this Section, each Security of a series delivered under this Indenture upon transfer of or in exchange for or in lieu of any other Security of such series shall carry the rights to interest accrued and unpaid, and to accrue, that were carried by such other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2.04 Execution and Authentications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shall be signed on behalf of the Company by one of its Officers. Signatures may be in the form of a manual or facsimile 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use the facsimile signature of any Person who shall have been an Officer (at the time of execution), notwithstanding the fact that at the time the Securities shall be authenticated and delivered or disposed of such Person shall have ceased to be such an officer of the Company for any reason. The Securities may contain such notations, legends or endorsements required by law, stock exchange rule or usage. Each Security shall be dated the date of its authentication by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Security shall not be valid until authenticated manually by an authorized signatory of the Trustee, or by an Authenticating Agent. Such signature shall be conclusive evidence that the Security so authenticated has been duly authenticated and delivered hereunder and that the holder is entitled to the benefits of this Indenture. At any time and from time to time after the execution and delivery of this Indenture, the Company may deliver Securities of any series executed by the Company to the Trustee for authentication, together with a written order of the Company for the authentication and delivery of such Securities, signed by an Officer, and the Trustee in accordance with such written order shall authenticate and deliver such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Company’s delivery of any such authentication order to the Trustee at any time after the initial issuance of Securities under this Indenture, the Trustee shall be provided with, and (subject to Sections 315(a) through 315(d) of the Trust Indenture Act) shall be fully protected in relying upon, (1) an Opinion of Counsel or reliance letter and (2) an Officer’s Certificate stating that all conditions precedent to the execution, authentication and delivery of such Securities are in conformity with the provisions of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not be required to authenticate such Securities if the issue of such Securities pursuant to this Indenture will affect the Trustee’s own rights, duties or immunities under the Securities and this Indenture or otherwise in a manner that is not reasonably acceptable to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2.05 Registration of Transfer and Exchange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Securities of any series may be exchanged upon presentation thereof at the office or agency of the Company designated for such purpose, for other Securities of such series of authorized denominations, and for a like aggregate principal amount, upon payment of a sum sufficient to cover any tax or other governmental charge in relation thereto, all as provided in this Section. In respect of any Securities so surrendered for exchange, the Company shall execute, the Trustee shall authenticate and such office or agency shall deliver in exchange therefor the Security or Securities of the same series that the Securityholder making the exchange shall be entitled to receive, bearing numbers not contemporaneously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The Company shall keep, or cause to be kept, at its office or agency designated for such purpose a register or registers (herein referred to as the “Security Register”) in which, subject to such reasonable regulations as it may prescribe, the Company shall register the Securities and the transfers of Securities as in this Article provided and which at all reasonable times shall be open for inspection by the Trustee. The registrar for the purpose of registering Securities and transfer of Securities as herein provided shall be appointed as authorized by Board Resolution or Supplemental Indenture (the “Security Registrar”).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surrender for transfer of any Security at the office or agency of the Company designated for such purpose, the Company shall execute, the Trustee shall authenticate and such office or agency shall deliver in the name of the transferee or transferees a new Security or Securities of the same series as the Security presented for a like aggregate principal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initially appoints the Trustee as Security Registrar for each series of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Securities presented or surrendered for exchange or registration of transfer, as provided in this Section, shall be accompanied (if so required by the Company or the Security Registrar) by a written instrument or instruments of transfer, in form satisfactory to the Company or the Security Registrar, duly executed by the registered holder or by such holder’s duly authorized attorney in writing.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w:t>
      </w:r>
      <w:r>
        <w:rPr>
          <w:rFonts w:ascii="Times New Roman;Times;Serif" w:hAnsi="Times New Roman;Times;Serif"/>
          <w:b w:val="false"/>
          <w:i w:val="false"/>
          <w:caps w:val="false"/>
          <w:smallCaps w:val="false"/>
          <w:sz w:val="20"/>
        </w:rPr>
        <w:t>Except as provided pursuant to Section 2.01 pursuant to a Board Resolution, and set forth in an Officer’s Certificate, or established in one or more indentures supplemental to this Indenture, no service charge shall be made for any exchange or registration of transfer of Securities, or issue of new Securities in case of partial redemption of any series or repurchase, conversion or exchange of less than the entire principal amount of a Security, but the Company may require payment of a sum sufficient to cover any tax or other governmental charge in relation thereto, other than exchanges pursuant to Section 2.06, Section 3.03(b) and Section 9.04 not involving any transfer.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 </w:t>
      </w:r>
      <w:r>
        <w:rPr>
          <w:rFonts w:ascii="Times New Roman;Times;Serif" w:hAnsi="Times New Roman;Times;Serif"/>
          <w:b w:val="false"/>
          <w:i w:val="false"/>
          <w:caps w:val="false"/>
          <w:smallCaps w:val="false"/>
          <w:sz w:val="20"/>
        </w:rPr>
        <w:t>The Company and the Security Registrar shall not be required (i) to issue, exchange or register the transfer of any Securities during a period beginning at the opening of business 15 days before the day of the sending of a notice of redemption of less than all the Outstanding Securities of the same series and ending at the close of business on the day of such sending, nor (ii) to register the transfer of or exchange any Securities of any series or portions thereof called for redemption or surrendered for repurchase, but not validly withdrawn, other than the unredeemed portion of any such Securities being redeemed in part or not surrendered for repurchase, as the case may be. The provisions of this Section 2.05 are, with respect to any Global Security, subject to Section 2.11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have no obligation or duty to monitor, determine or inquire as to compliance with any restrictions on transfer imposed under this Indenture or under applicable law with respect to any transfer of any interest in any Security (including any transfers between or among Depositary participants or beneficial owners of interests in any Global Security)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2.06 Temporary Securities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Pending the preparation of definitive Securities of any series, the Company may execute, and the Trustee shall authenticate and deliver, temporary Securities (printed, lithographed or typewritten) of any authorized denomination. Such temporary Securities shall be substantially in the form of the definitive Securities in lieu of which they are issued, but with such omissions, insertions and variations as may be appropriate for temporary Securities, all as may be determined by the Company. Every temporary Security of any series shall be executed by the Company and be authenticated by the Trustee upon the same conditions and in substantially the same manner, and with like effect, as the definitive Securities of such series. Without unnecessary delay the Company will execute and will furnish definitive Securities of such series and thereupon any or all temporary Securities of such series may be surrendered in exchange therefor (without charge to the Securityholders), at the office or agency of the Company designated for the purpose, and the Trustee shall authenticate and such office or agency shall deliver in exchange for such temporary Securities an equal aggregate principal amount of definitive Securities of such series, unless the Company advises the Trustee to the effect that definitive Securities need not be executed and furnished until further written notice from the Company. Until so exchanged, the temporary Securities of such series shall be entitled to the same benefits under this Indenture as definitive Securities of such series authenticated and delivered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2.07 Mutilated, Destroyed, Lost or Stolen Securities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any temporary or definitive Security shall become mutilated or be destroyed, lost or stolen, the Company (subject to the next succeeding sentence) shall execute, and upon the Company’s request the Trustee (subject as aforesaid) shall authenticate and deliver, a new Security of the same series, bearing a number not contemporaneously outstanding, in exchange and substitution for the mutilated Security, or in lieu of and in substitution for the Security so destroyed, lost or stolen. In every case the applicant for a substituted Security shall furnish to the Company and the Trustee such security or indemnity as may be required by them to save each of them harmless, and, in every case of destruction, loss or theft, the applicant shall also furnish to the Company and the Trustee evidence to their satisfaction of the destruction, loss or theft of the applicant’s Security and of the ownership thereof. The Trustee may authenticate any such substituted Security and deliver the same upon the written request or authorization of any officer of the Company. Upon the issuance of any substituted Security, the Company may require the payment of a sum sufficient to cover any tax or other governmental charge that may be imposed in relation thereto and any other expenses (including the fees and expenses of the Trustee) connected therewith.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any Security that has matured or is about to mature shall become mutilated or be destroyed, lost or stolen, the Company may, instead of issuing a substitute Security, pay or authorize the payment of the same (without surrender thereof except in the case of a mutilated Security) if the applicant for such payment shall furnish to the Company and the Trustee such security or indemnity as they may require to save them harmless, and, in case of destruction, loss or theft, evidence to the satisfaction of the Company and the Trustee of the destruction, loss or theft of such Security and of the ownership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Every replacement Security issued pursuant to the provisions of this Section shall constitute an additional contractual obligation of the Company whether or not the mutilated, destroyed, lost or stolen Security shall be found at any time, or be enforceable by anyone, and shall be entitled to all the benefits of this Indenture equally and proportionately with any and all other Securities of the same series duly issued hereunder. All Securities shall be held and owned upon the express condition that the foregoing provisions are exclusive with respect to the replacement or payment of mutilated, destroyed, lost or stolen Securities, and shall preclude (to the extent lawful) any and all other rights or remedies, notwithstanding any law or statute existing or hereafter enacted to the contrary with respect to the replacement or payment of negotiable instruments or other securities without their surrender.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2.08 Cancellation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Securities surrendered for the purpose of payment, redemption, repurchase, exchange (including in accordance with Section 2.07), registration of transfer or conversion shall, if surrendered to the Company or any paying agent (or any other applicable agent), be delivered to the Trustee for cancellation, or, if surrendered to the Trustee, shall be cancelled by it, and no Securities shall be issued in lieu thereof except as expressly required or permitted by any of the provisions of this Indenture. On request of the Company at the time of such surrender, the Trustee shall deliver to the Company canceled Securities held by the Trustee. In the absence of such request the Trustee may dispose of canceled Securities in accordance with its standard procedures and deliver a certificate of disposition to the Company. If the Company shall otherwise acquire any of the Securities, however, such acquisition shall not operate as a redemption or satisfaction of the indebtedness represented by such Securities unless and until the same are delivered to the Trustee for cancellation.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2.09 Benefits of Indenture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in this Indenture or in the Securities, express or implied, shall give or be construed to give to any Person, other than the parties hereto and the holders of the Securities any legal or equitable right, remedy or claim under or in respect of this Indenture, or under any covenant, condition or provision herein contained; all such covenants, conditions and provisions being for the sole benefit of the parties hereto and of the holders of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2.10 Authenticating Agent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 long as any of the Securities of any series remain Outstanding, there may be an Authenticating Agent for any or all such series of Securities which the Trustee shall have the right to appoint. Said Authenticating Agent shall be authorized to act on behalf of the Trustee to authenticate Securities of such series issued upon exchange, transfer or partial redemption, repurchase or conversion thereof, and Securities so authenticated shall be entitled to the benefits of this Indenture and shall be valid and obligatory for all purposes as if authenticated by the Trustee hereunder. All references in this Indenture to the authentication of Securities by the Trustee shall be deemed to include authentication by an Authenticating Agent for such series. Each Authenticating Agent shall be acceptable to the Company and shall be a corporation that has a combined capital and surplus, as most recently reported or determined by it, sufficient under the laws of any jurisdiction under which it is organized or in which it is doing business to conduct a trust business, and that is otherwise authorized under such laws to conduct such business and is subject to supervision or examination by federal or state authorities. If at any time any Authenticating Agent shall cease to be eligible in accordance with these provisions, it shall resign immediately.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Authenticating Agent may at any time resign by giving written notice of resignation to the Trustee and to the Company. The Trustee may at any time (and upon request by the Company shall) terminate the agency of any Authenticating Agent by giving written notice of termination to such Authenticating Agent and to the Company. Upon resignation, termination or cessation of eligibility of any Authenticating Agent, the Trustee may appoint an eligible successor Authenticating Agent acceptable to the Company. Any successor Authenticating Agent, upon acceptance of its appointment hereunder, shall become vested with all the rights, powers and duties of its predecessor hereunder as if originally named as an Authenticating Agent pursuant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2.11 Global Securities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If the Company shall establish pursuant to Section 2.01 that the Securities of a particular series are to be issued as a Global Security, then the Company shall execute and the Trustee shall, in accordance with Section 2.04, authenticate and deliver, a Global Security that (i) shall represent, and shall be denominated in an amount equal to the aggregate principal amount of, all of the Outstanding Securities of such series, (ii) shall be registered in the name of the Depositary or its nominee, (iii) shall be delivered by the Trustee to the Depositary or pursuant to the Depositary’s instruction (or if the Depositary names the Trustee as its custodian, retained by the Trustee), and (iv) shall bear a legend substantially to the following effect: “Except as otherwise provided in Section 2.11 of the Indenture, this Security may be transferred, in whole but not in part, only to another nominee of the Depositary or to a successor Depositary or to a nominee of such successor Depositary.”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Notwithstanding the provisions of Section 2.05, the Global Security of a series may be transferred, in whole but not in part and in the manner provided in Section 2.05, only to another nominee of the Depositary for such series, or to a successor Depositary for such series selected or approved by the Company or to a nominee of such successor Depositary.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w:t>
      </w:r>
      <w:r>
        <w:rPr>
          <w:rFonts w:ascii="Times New Roman;Times;Serif" w:hAnsi="Times New Roman;Times;Serif"/>
          <w:b w:val="false"/>
          <w:i w:val="false"/>
          <w:caps w:val="false"/>
          <w:smallCaps w:val="false"/>
          <w:sz w:val="20"/>
        </w:rPr>
        <w:t>If at any time the Depositary for a series of the Securities notifies the Company that it is unwilling or unable to continue as Depositary for such series or if at any time the Depositary for such series shall no longer be registered or in good standing under the Exchange Act, or other applicable statute or regulation, and a successor Depositary for such series is not appointed by the Company within 90 days after the Company receives such notice or becomes aware of such condition, as the case may be, or if an Event of Default has occurred and is continuing and the Company has received a request from the Depositary or from the Trustee, this Section 2.11 shall no longer be applicable to the Securities of such series and the Company will execute, and subject to Section 2.04, the Trustee will authenticate and deliver the Securities of such series in definitive registered form without coupons, in authorized denominations, and in an aggregate principal amount equal to the principal amount of the Global Security of such series in exchange for such Global Security. In addition, the Company may at any time determine that the Securities of any series shall no longer be represented by a Global Security and that the provisions of this Section 2.11 shall no longer apply to the Securities of such series. In such event the Company will execute and, subject to Section 2.04, the Trustee, upon receipt of an Officer’s Certificate evidencing such determination by the Company, will authenticate and deliver the Securities of such series in definitive registered form without coupons, in authorized denominations, and in an aggregate principal amount equal to the principal amount of the Global Security of such series in exchange for such Global Security. Upon the exchange of the Global Security for such Securities in definitive registered form without coupons, in authorized denominations, the Global Security shall be canceled by the Trustee. Such Securities in definitive registered form issued in exchange for the Global Security pursuant to this Section 2.11(c) shall be registered in such names and in such authorized denominations as the Depositary, pursuant to instructions from its direct or indirect participants or otherwise, shall instruct the Trustee. The Trustee shall deliver such Securities to the Depositary for delivery to the Persons in whose names such Securities are so registered.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2.12 CUSIP Numbers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 issuing the Securities may use “CUSIP” numbers (if then generally in use), and, if so, the Trustee shall use “CUSIP” numbers in notices of redemption as a convenience to Securityholders; provided that any such notice may state that no representation is made as to the correctness of such numbers either as printed on the Securities or as contained in any notice of a redemption and that reliance may be placed only on the other elements of identification printed on the Securities, and any such redemption shall not be affected by any defect in or omission of such numbers. The Company will promptly notify the Trustee of any change in the “CUSIP” numbers.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REDEMPTION OF SECURITIES AND SINKING FUND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3.01 Redemption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redeem the Securities of any series issued hereunder on and after the dates and in accordance with the terms established for such series pursuant to Section 2.01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3.02 Notice of Redemption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In case the Company shall desire to exercise such right to redeem all or, as the case may be, a portion of the Securities of any series in accordance with any right the Company reserved for itself to do so pursuant to Section 2.01 hereof, the Company shall, or shall cause the Trustee to, give written notice of such redemption to holders of the Securities of such series to be redeemed by mailing (or with regard to any Global Security held in book entry form, by electronic mail in accordance with the applicable procedures of the Depositary), a notice of such redemption not less than 30 days and not more than 90 days before the date fixed for redemption of that series to such Securityholders, unless a shorter period is specified in the Securities to be redeemed. Any notice that is mailed in the manner herein provided shall be conclusively presumed to have been duly given, whether or not the registered holder receives the notice. In any case, failure duly to give such notice to the holder of any Security of any series designated for redemption in whole or in part, or any defect in the notice, shall not affect the validity of the proceedings for the redemption of any other Securities of such series or any other series. In the case of any redemption of Securities prior to the expiration of any restriction on such redemption provided in the terms of such Securities or elsewhere in this Indenture, the Company shall furnish the Trustee with an Officer’s Certificate evidencing compliance with any such restriction.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such notice of redemption shall identify the Securities to be redeemed (including CUSIP numbers, if any), specify the date fixed for redemption and the redemption price at which Securities of that series are to be redeemed, and shall state that payment of the redemption price of such Securities to be redeemed will be made at the office or agency of the Company, upon presentation and surrender of such Securities, that interest accrued to the date fixed for redemption will be paid as specified in said notice, that from and after said date interest will cease to accrue and that the redemption is from a sinking fund, if such is the case. If less than all the Securities of a series are to be redeemed, the notice to the holders of Securities of that series to be redeemed in part shall specify the particular Securities to be so redeemed.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any Security is to be redeemed in part only, the notice that relates to such Security shall state the portion of the principal amount thereof to be redeemed, and shall state that on and after the redemption date, upon surrender of such Security, a new Security or Securities of such series in principal amount equal to the unredeemed portion thereof will be issued.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If less than all the Securities of a series are to be redeemed, the Company shall give the Trustee at least 45 days’ notice (unless a shorter notice shall be satisfactory to the Trustee) in advance of the date fixed for redemption as to the aggregate principal amount of Securities of the series to be redeemed, and thereupon the Securities to be redeemed shall be selected, by lot, on a pro rata basis, or in such other manner as the Company shall deem appropriate and fair in its discretion and that may provide for the selection of a portion or portions (equal to one thousand U.S. dollars ($1,000) or any integral multiple thereof) of the principal amount of such Securities of a denomination larger than $1,000, the Securities to be redeemed and shall thereafter promptly notify the Company in writing of the numbers of the Securities to be redeemed, in whole or in part. The Company may, if and whenever it shall so elect, by delivery of instructions signed on its behalf by an Officer, instruct the Trustee or any paying agent to call all or any part of the Securities of a particular series for redemption and to give notice of redemption in the manner set forth in this Section, such notice to be in the name of the Company or its own name as the Trustee or such paying agent may deem advisable. In any case in which notice of redemption is to be given by the Trustee or any such paying agent, the Company shall deliver or cause to be delivered to, or permit to remain with, the Trustee or such paying agent, as the case may be, such Security Register, transfer books or other records, or suitable copies or extracts therefrom, sufficient to enable the Trustee or such paying agent to give any notice by mail that may be required under the provisions of this Section.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3.03 Payment Upon Redemption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If the giving of notice of redemption shall have been completed as provided in Section 3.02, the Securities or portions of Securities of the series to be redeemed specified in such notice shall become due and payable on the date and at the place stated in such notice at the applicable redemption price, together with interest accrued to, but excluding, the date fixed for redemption and interest on such Securities or portions of Securities shall cease to accrue on and after the date fixed for redemption, unless the Company shall default in the payment of such redemption price and accrued interest with respect to any such Security or portion thereof. On presentation and surrender of such Securities on or after the date fixed for redemption at the place of payment specified in the notice, said Securities shall be paid and redeemed at the applicable redemption price for such series, together with interest accrued thereon to, but excluding, the date fixed for redemption (but if the date fixed for redemption is an Interest Payment Date, the interest installment payable on such date shall be payable to the registered holder at the close of business on the applicable record date pursuant to Section 2.03).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Upon presentation of any Security of such series that is to be redeemed in part only, the Company shall execute and the Trustee shall authenticate and the office or agency where the Security is presented shall deliver to the Securityholder thereof, at the expense of the Company, a new Security of the same series of authorized denominations in principal amount equal to the unredeemed portion of the Security so presented.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3.04 Sinking Fund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of Sections 3.04, 3.05 and 3.06 shall be applicable to any sinking fund for the retirement of Securities of a series, except as otherwise specified as contemplated by Section 2.01 for Securities of such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minimum amount of any sinking fund payment provided for by the terms of Securities of any series is herein referred to as a “mandatory sinking fund payment,” and any payment in excess of such minimum amount provided for by the terms of Securities of any series is herein referred to as an “optional sinking fund payment”. If provided for by the terms of Securities of any series, the cash amount of any sinking fund payment may be subject to reduction as provided in Section 3.05. Each sinking fund payment shall be applied to the redemption of Securities of any series as provided for by the terms of Securities of such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3.05 Satisfaction of Sinking Fund Payments with Securities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 may deliver Outstanding Securities of a series and (ii) may apply as a credit Securities of a series that have been redeemed either at the election of the Company pursuant to the terms of such Securities or through the application of permitted optional sinking fund payments pursuant to the terms of such Securities, in each case in satisfaction of all or any part of any sinking fund payment with respect to the Securities of such series required to be made pursuant to the terms of such Securities as provided for by the terms of such series, provided that such Securities have not been previously so credited. Such Securities shall be received and credited for such purpose by the Trustee at the redemption price specified in such Securities for redemption through operation of the sinking fund and the amount of such sinking fund payment shall be reduced accordingly.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3.06 Redemption of Securities for Sinking Fund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less than 45 days prior to each sinking fund payment date for any series of Securities (unless a shorter period shall be satisfactory to the Trustee), the Company will deliver to the Trustee an Officer’s Certificate specifying the amount of the next ensuing sinking fund payment for that series pursuant to the terms of the series, the portion thereof, if any, that is to be satisfied by delivering and crediting Securities of that series pursuant to Section 3.05 and the basis for such credit and will, together with such Officer’s Certificate, deliver to the Trustee any Securities to be so delivered. Not less than 30 days before each such sinking fund payment date the Securities to be redeemed upon such sinking fund payment date shall be selected in the manner specified in Section 3.02, and the Company shall cause notice of the redemption thereof to be given in the name of and at the expense of the Company in the manner provided in Section 3.02. Such notice having been duly given, the redemption of such Securities shall be made upon the terms and in the manner stated in Section 3.03.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COVENANTS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4.01 Payment of Principal, Premium and Interest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duly and punctually pay or cause to be paid the principal of (and premium, if any) and interest on the Securities of that series at the time and place and in the manner provided herein and established with respect to such Securities. Payments of principal on the Securities may be made at the time provided herein and established with respect to such Securities by U.S. dollar check drawn on and mailed to the address of the Securityholder entitled thereto as such address shall appear in the Security Register, or U.S. dollar wire transfer to, a U.S. dollar account if such Securityholder shall have furnished wire instructions to the Trustee no later than 15 days prior to the relevant payment date. Payments of interest on the Securities may be made at the time provided herein and established with respect to such Securities by U.S. dollar check mailed to the address of the Securityholder entitled thereto as such address shall appear in the Security Register, or U.S. dollar wire transfer to, a U.S. dollar account if such Securityholder shall have furnished wire instructions in writing to the Security Registrar and the Trustee no later than 15 days prior to the relevant payment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4.02 Maintenance of Office or Agency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 long as any series of the Securities remain Outstanding, the Company agrees to maintain an office or agency with respect to each such series and at such other location or locations as may be designated as provided in this Section 4.02, where (i) Securities of that series may be presented for payment, (ii) Securities of that series may be presented as herein above authorized for registration of transfer and exchange, and (iii) notices and demands to or upon the Company in respect of the Securities of that series and this Indenture may be given or served, such designation to continue with respect to such office or agency until the Company shall, by written notice signed by any officer authorized to sign an Officer’s Certificate and delivered to the Trustee, designate some other office or agency for such purposes or any of them. If at any time the Company shall fail to maintain any such required office or agency or shall fail to furnish the Trustee with the address thereof, such presentations, notices and demands may be made or served at the Corporate Trust Office of the Trustee, and the Company hereby appoints the Trustee as its agent to receive all such presentations, notices and demands. The Company initially appoints the Corporate Trust Office of the Trustee as its paying agent with respect to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4.03 Paying Agents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If the Company shall appoint one or more paying agents for all or any series of the Securities, other than the Trustee, the Company will cause each such paying agent to execute and deliver to the Trustee an instrument in which such agent shall agree with the Trustee, subject to the provisions of this Section: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 </w:t>
      </w:r>
      <w:r>
        <w:rPr>
          <w:rFonts w:ascii="Times New Roman;Times;Serif" w:hAnsi="Times New Roman;Times;Serif"/>
          <w:b w:val="false"/>
          <w:i w:val="false"/>
          <w:caps w:val="false"/>
          <w:smallCaps w:val="false"/>
          <w:sz w:val="20"/>
        </w:rPr>
        <w:t>that it will hold all sums held by it as such agent for the payment of the principal of (and premium, if any) or interest on the Securities of that series (whether such sums have been paid to it by the Company or by any other obligor of such Securities) in trust for the benefit of the Persons entitled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 </w:t>
      </w:r>
      <w:r>
        <w:rPr>
          <w:rFonts w:ascii="Times New Roman;Times;Serif" w:hAnsi="Times New Roman;Times;Serif"/>
          <w:b w:val="false"/>
          <w:i w:val="false"/>
          <w:caps w:val="false"/>
          <w:smallCaps w:val="false"/>
          <w:sz w:val="20"/>
        </w:rPr>
        <w:t>that it will give the Trustee notice of any failure by the Company (or by any other obligor of such Securities) to make any payment of the principal of (and premium, if any) or interest on the Securities of that series when the same shall be due and payable;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 </w:t>
      </w:r>
      <w:r>
        <w:rPr>
          <w:rFonts w:ascii="Times New Roman;Times;Serif" w:hAnsi="Times New Roman;Times;Serif"/>
          <w:b w:val="false"/>
          <w:i w:val="false"/>
          <w:caps w:val="false"/>
          <w:smallCaps w:val="false"/>
          <w:sz w:val="20"/>
        </w:rPr>
        <w:t>that it will, at any time during the continuance of any failure referred to in the preceding paragraph (a)(2) above, upon the written request of the Trustee, forthwith pay to the Trustee all sums so held in trust by such paying agent;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 </w:t>
      </w:r>
      <w:r>
        <w:rPr>
          <w:rFonts w:ascii="Times New Roman;Times;Serif" w:hAnsi="Times New Roman;Times;Serif"/>
          <w:b w:val="false"/>
          <w:i w:val="false"/>
          <w:caps w:val="false"/>
          <w:smallCaps w:val="false"/>
          <w:sz w:val="20"/>
        </w:rPr>
        <w:t>that it will perform all other duties of paying agent as set forth in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If the Company shall act as its own paying agent with respect to any series of the Securities, it will on or before each due date of the principal of (and premium, if any) or interest on Securities of that series, set aside, segregate and hold in trust for the benefit of the Persons entitled thereto a sum sufficient to pay such principal (and premium, if any) or interest so becoming due on Securities of that series until such sums shall be paid to such Persons or otherwise disposed of as herein provided and will promptly notify the Trustee of such action, or any failure (by it or any other obligor on such Securities) to take such action. Whenever the Company shall have one or more paying agents for any series of Securities, it will, prior to each due date of the principal of (and premium, if any) or interest on any Securities of that series, deposit with the paying agent a sum sufficient to pay the principal (and premium, if any) or interest so becoming due, such sum to be held in trust for the benefit of the Persons entitled to such principal, premium or interest, and (unless such paying agent is the Trustee) the Company will promptly notify the Trustee of this action or failure so to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w:t>
      </w:r>
      <w:r>
        <w:rPr>
          <w:rFonts w:ascii="Times New Roman;Times;Serif" w:hAnsi="Times New Roman;Times;Serif"/>
          <w:b w:val="false"/>
          <w:i w:val="false"/>
          <w:caps w:val="false"/>
          <w:smallCaps w:val="false"/>
          <w:sz w:val="20"/>
        </w:rPr>
        <w:t>Notwithstanding anything in this Section to the contrary, (i) the agreement to hold sums in trust as provided in this Section is subject to the provisions of Section 11.05, and (ii) the Company may at any time, for the purpose of obtaining the satisfaction and discharge of this Indenture or for any other purpose, pay, or direct any paying agent to pay, to the Trustee all sums held in trust by the Company or such paying agent, such sums to be held by the Trustee upon the same terms and conditions as those upon which such sums were held by the Company or such paying agent; and, upon such payment by the Company or any paying agent to the Trustee, the Company or such paying agent shall be released from all further liability with respect to such money.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4.04 Appointment to Fill Vacancy in Office of Trustee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whenever necessary to avoid or fill a vacancy in the office of Trustee, will appoint, in the manner provided in Section 7.10, a Trustee, so that there shall at all times be a Trustee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SECURITYHOLDERS’ LISTS AND REPORTS BY THE COMPANY AND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5.01 Company to Furnish Trustee Names and Addresses of Securityholders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furnish or cause to be furnished to the Trustee (a) within 15 days after each regular record date (as defined in Section 2.03) a list, in such form as the Trustee may reasonably require, of the names and addresses of the holders of each series of Securities as of such regular record date, provided that the Company shall not be obligated to furnish or cause to furnish such list at any time that the list shall not differ in any respect from the most recent list furnished to the Trustee by the Company and (b) at such other times as the Trustee may request in writing within 30 days after the receipt by the Company of any such request, a list of similar form and content as of a date not more than 15 days prior to the time such list is furnished; provided, however, that, in either case, no such list need be furnished for any series for which the Trustee shall be the Security Registrar.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5.02 Preservation Of Information; Communications With Securityholders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The Trustee shall preserve, in as current a form as is reasonably practicable, all information as to the names and addresses of the holders of Securities contained in the most recent list furnished to it as provided in Section 5.01 and as to the names and addresses of holders of Securities received by the Trustee in its capacity as Security Registrar (if acting in such capacity).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The Trustee may destroy any list furnished to it as provided in Section 5.01 upon receipt of a new list so furnished.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w:t>
      </w:r>
      <w:r>
        <w:rPr>
          <w:rFonts w:ascii="Times New Roman;Times;Serif" w:hAnsi="Times New Roman;Times;Serif"/>
          <w:b w:val="false"/>
          <w:i w:val="false"/>
          <w:caps w:val="false"/>
          <w:smallCaps w:val="false"/>
          <w:sz w:val="20"/>
        </w:rPr>
        <w:t>Securityholders may communicate as provided in Section 312(b) of the Trust Indenture Act with other Securityholders with respect to their rights under this Indenture or under the Securities, and, in connection with any such communications, the Trustee shall satisfy its obligations under Section 312(b) of the Trust Indenture Act in accordance with the provisions of Section 312(b) of the Trust Indenture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5.03 Reports by the Company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The Company will at all times comply with Section 314(a) of the Trust Indenture Act. The Company covenants and agrees to provide (which delivery may be via electronic mail) to the Trustee within 30 days, after the Company files the same with the Commission, copies of the annual reports and of the information, documents and other reports (or copies of such portions of any of the foregoing as the Commission may from time to time by rules and regulations prescribe) that the Company is required to file with the Commission pursuant to Section 13 or Section 15(d) of the Exchange Act; provided, however, the Company shall not be required to deliver to the Trustee any correspondence filed with the Commission or any materials for which the Company has sought and received confidential treatment by the Commission; and provided further, that so long as such filings by the Company are available on the Commission’s Electronic Data Gathering, Analysis and Retrieval System (EDGAR), or any successor system, such filings shall be deemed to have been filed with the Trustee for purposes hereof without any further action required by the Company. For the avoidance of doubt, a failure by the Company to file annual reports, information and other reports with the Commission within the time period prescribed thereof by the Commission shall not be deemed a breach of this Section 5.03.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Delivery of reports, information and documents to the Trustee under Section 5.03 is for informational purposes only and the information and the Trustee’s receipt of the foregoing shall not constitute constructive notice of any information contained therein, or determinable from information contained therein including the Company’s compliance with any of their covenants thereunder (as to which the Trustee is entitled to rely exclusively on an Officer’s Certificate). The Trustee is under no duty to examine any such reports, information or documents delivered to the Trustee or filed with the Commission via EDGAR to ensure compliance with the provision of this Indenture or to ascertain the correctness or otherwise of the information or the statements contained therein. The Trustee shall have no responsibility or duty whatsoever to ascertain or determine whether the above referenced filings with the Commission on EDGAR (or any successor system) has occurred.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5.04 Reports by the Trustee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If required by Section 313(a) of the Trust Indenture Act, the Trustee, within sixty (60) days after each May 1, shall send to the Securityholders a brief report dated as of such May 1, which complies with Section 313(a) of the Trust Indenture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The Trustee shall comply with Section 313(b) and 313(c) of the Trust Indenture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w:t>
      </w:r>
      <w:r>
        <w:rPr>
          <w:rFonts w:ascii="Times New Roman;Times;Serif" w:hAnsi="Times New Roman;Times;Serif"/>
          <w:b w:val="false"/>
          <w:i w:val="false"/>
          <w:caps w:val="false"/>
          <w:smallCaps w:val="false"/>
          <w:sz w:val="20"/>
        </w:rPr>
        <w:t>A copy of each such report shall, at the time of such transmission to Securityholders, be filed by the Trustee with the Company, with each securities exchange upon which any Securities are listed (if so listed) and also with the Commission. The Company agrees to notify the Trustee when any Securities become listed on any securities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REMEDIES OF THE TRUSTEE AND SECURITYHOLDERS ON EVENT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6.01 Events of Default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Whenever used herein with respect to Securities of a particular series, “Event of Default” means any one or more of the following events that has occurred and is continuing: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(1) </w:t>
      </w:r>
      <w:r>
        <w:rPr>
          <w:rFonts w:ascii="Times New Roman;Times;Serif" w:hAnsi="Times New Roman;Times;Serif"/>
          <w:b w:val="false"/>
          <w:i w:val="false"/>
          <w:caps w:val="false"/>
          <w:smallCaps w:val="false"/>
          <w:sz w:val="20"/>
        </w:rPr>
        <w:t>the Company defaults in the payment of any installment of interest upon any of the Securities of that series, as and when the same shall become due and payable, and such default continues for a period of 90 days; provided, however, that a valid extension of an interest payment period by the Company in accordance with the terms of any indenture supplemental hereto shall not constitute a default in the payment of interest for this purpose;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 </w:t>
      </w:r>
      <w:r>
        <w:rPr>
          <w:rFonts w:ascii="Times New Roman;Times;Serif" w:hAnsi="Times New Roman;Times;Serif"/>
          <w:b w:val="false"/>
          <w:i w:val="false"/>
          <w:caps w:val="false"/>
          <w:smallCaps w:val="false"/>
          <w:sz w:val="20"/>
        </w:rPr>
        <w:t>the Company defaults in the payment of the principal of (or premium, if any, on) any of the Securities of that series as and when the same shall become due and payable whether at maturity, upon redemption, by declaration or otherwise, or in any payment required by any sinking or analogous fund established with respect to that series; provided, however, that a valid extension of the maturity of such Securities in accordance with the terms of any indenture supplemental hereto shall not constitute a default in the payment of principal or premium, if 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 </w:t>
      </w:r>
      <w:r>
        <w:rPr>
          <w:rFonts w:ascii="Times New Roman;Times;Serif" w:hAnsi="Times New Roman;Times;Serif"/>
          <w:b w:val="false"/>
          <w:i w:val="false"/>
          <w:caps w:val="false"/>
          <w:smallCaps w:val="false"/>
          <w:sz w:val="20"/>
        </w:rPr>
        <w:t>the Company fails to observe or perform any other of its covenants or agreements with respect to that series contained in this Indenture or otherwise established with respect to that series of Securities pursuant to Section 2.01 hereof (other than a covenant or agreement that has been expressly included in this Indenture solely for the benefit of one or more series of Securities other than such series) for a period of 90 days after the date on which written notice of such failure, requiring the same to be remedied and stating that such notice is a “Notice of Default” hereunder, shall have been given to the Company by the Trustee, by registered or certified mail, or to the Company and the Trustee by the holders of at least 25% in principal amount of the Securities of that series at the time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(4) </w:t>
      </w:r>
      <w:r>
        <w:rPr>
          <w:rFonts w:ascii="Times New Roman;Times;Serif" w:hAnsi="Times New Roman;Times;Serif"/>
          <w:b w:val="false"/>
          <w:i w:val="false"/>
          <w:caps w:val="false"/>
          <w:smallCaps w:val="false"/>
          <w:sz w:val="20"/>
        </w:rPr>
        <w:t>the Company pursuant to or within the meaning of any Bankruptcy Law (i) commences a voluntary case, (ii) consents to the entry of an order for relief against it in an involuntary case, (iii) consents to the appointment of a Custodian of it or for all or substantially all of its property or (iv) makes a general assignment for the benefit of its creditors;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 </w:t>
      </w:r>
      <w:r>
        <w:rPr>
          <w:rFonts w:ascii="Times New Roman;Times;Serif" w:hAnsi="Times New Roman;Times;Serif"/>
          <w:b w:val="false"/>
          <w:i w:val="false"/>
          <w:caps w:val="false"/>
          <w:smallCaps w:val="false"/>
          <w:sz w:val="20"/>
        </w:rPr>
        <w:t>a court of competent jurisdiction enters an order under any Bankruptcy Law that (i) is for relief against the Company in an involuntary case or proceeding, (ii) appoints a Custodian of the Company for all or substantially all of its property or (iii) orders the liquidation of the Company, and the order or decree remains unstayed and in effect for 90 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In each and every such case (other than an Event of Default specified in clause (4) or clause (5) above), unless the principal of all the Securities of that series shall have already become due and payable, either the Trustee or the holders of not less than 25% in aggregate principal amount of the Securities of that series then Outstanding hereunder, by notice in writing to the Company (and to the Trustee if given by such Securityholders), may declare the principal of (and premium, if any, on) and accrued and unpaid interest on all the Securities of that series to be due and payable immediately, and upon any such declaration the same shall become and shall be immediately due and payable. If an Event of Default specified in clause (4) or clause (5) above occurs, the principal of and accrued and unpaid interest on all the Securities of that series shall automatically be immediately due and payable without any declaration or other act on the part of the Trustee or the holders of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w:t>
      </w:r>
      <w:r>
        <w:rPr>
          <w:rFonts w:ascii="Times New Roman;Times;Serif" w:hAnsi="Times New Roman;Times;Serif"/>
          <w:b w:val="false"/>
          <w:i w:val="false"/>
          <w:caps w:val="false"/>
          <w:smallCaps w:val="false"/>
          <w:sz w:val="20"/>
        </w:rPr>
        <w:t>At any time after the principal of (and premium, if any, on) and accrued and unpaid interest on the Securities of that series shall have been so declared due and payable, and before any judgment or decree for the payment of the moneys due shall have been obtained or entered as hereinafter provided, the holders of a majority in aggregate principal amount of the Securities of that series then Outstanding hereunder, by written notice to the Company and the Trustee, may rescind and annul such declaration and its consequences if: (i) the Company has paid or deposited with the Trustee a sum sufficient to pay all matured installments of interest upon all the Securities of that series and the principal of (and premium, if any, on) any and all Securities of that series that shall have become due otherwise than by acceleration (with interest upon such principal and premium, if any, and, to the extent that such payment is enforceable under applicable law, upon overdue installments of interest, at the rate per annum expressed in the Securities of that series to the date of such payment or deposit) and the amount payable to the Trustee under Section 7.06, and (ii) any and all Events of Default under the Indenture with respect to such series, other than the nonpayment of principal on (and premium, if any, on) and accrued and unpaid interest on Securities of that series that shall not have become due by their terms, shall have been remedied or waived as provided in Section 6.06.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such rescission and annulment shall extend to or shall affect any subsequent default or impair any right consequent thereon.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 </w:t>
      </w:r>
      <w:r>
        <w:rPr>
          <w:rFonts w:ascii="Times New Roman;Times;Serif" w:hAnsi="Times New Roman;Times;Serif"/>
          <w:b w:val="false"/>
          <w:i w:val="false"/>
          <w:caps w:val="false"/>
          <w:smallCaps w:val="false"/>
          <w:sz w:val="20"/>
        </w:rPr>
        <w:t>In case the Trustee shall have proceeded to enforce any right with respect to Securities of that series under this Indenture and such proceedings shall have been discontinued or abandoned because of such rescission or annulment or for any other reason or shall have been determined adversely to the Trustee, then and in every such case, subject to any determination in such proceedings, the Company and the Trustee shall be restored respectively to their former positions and rights hereunder, and all rights, remedies and powers of the Company and the Trustee shall continue as though no such proceedings had been taken.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6.02 Collection of Indebtedness and Suits for Enforcement by Trustee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The Company covenants that (i) in case it shall default in the payment of any installment of interest on any of the Securities of a series, or in any payment required by any sinking or analogous fund established with respect to that series as and when the same shall have become due and payable, and such default shall have continued for a period of 90 days, or (ii) in case it shall default in the payment of the principal of (or premium, if any, on) any of the Securities of a series when the same shall have become due and payable, whether upon maturity of the Securities of a series or upon redemption or upon declaration or otherwise then, upon demand of the Trustee, the Company will pay to the Trustee, for the benefit of the holders of the Securities of that series, the whole amount that then shall have been become due and payable on all such Securities for principal (and premium, if any) or interest, or both, as the case may be, with interest upon the overdue principal (and premium, if any) and (to the extent that payment of such interest is enforceable under applicable law) upon overdue installments of interest at the rate per annum expressed in the Securities of that series; and, in addition thereto, such further amount as shall be sufficient to cover the costs and expenses of collection, and the amount payable to the Trustee under Section 7.06.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If the Company shall fail to pay such amounts forthwith upon such demand, the Trustee, in its own name and as trustee of an express trust, shall be entitled and empowered to institute any action or proceedings at law or in equity for the collection of the sums so due and unpaid, and may prosecute any such action or proceeding to judgment or final decree, and may enforce any such judgment or final decree against the Company or other obligor upon the Securities of that series and collect the moneys adjudged or decreed to be payable in the manner provided by law or equity out of the property of the Company or other obligor upon the Securities of that series, wherever situated.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w:t>
      </w:r>
      <w:r>
        <w:rPr>
          <w:rFonts w:ascii="Times New Roman;Times;Serif" w:hAnsi="Times New Roman;Times;Serif"/>
          <w:b w:val="false"/>
          <w:i w:val="false"/>
          <w:caps w:val="false"/>
          <w:smallCaps w:val="false"/>
          <w:sz w:val="20"/>
        </w:rPr>
        <w:t>In case of any receivership, insolvency, liquidation, bankruptcy, reorganization, readjustment, arrangement, composition or judicial proceedings affecting the Company, or its creditors or property, the Trustee shall have power to intervene in such proceedings and take any action therein that may be permitted by the court and shall (except as may be otherwise provided by law) be entitled to file such proofs of claim and other papers and documents as may be necessary or advisable in order to have the claims of the Trustee and of the holders of Securities of such series allowed for the entire amount due and payable by the Company under the Indenture at the date of institution of such proceedings and for any additional amount that may become due and payable by the Company after such date, and to collect and receive any moneys or other property payable or deliverable on any such claim, and to distribute the same after the deduction of the amount payable to the Trustee under Section 7.06; and any receiver, assignee or trustee in bankruptcy or reorganization is hereby authorized by each of the holders of Securities of such series to make such payments to the Trustee, and, in the event that the Trustee shall consent to the making of such payments directly to such Securityholders, to pay to the Trustee any amount due it under Section 7.06.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 </w:t>
      </w:r>
      <w:r>
        <w:rPr>
          <w:rFonts w:ascii="Times New Roman;Times;Serif" w:hAnsi="Times New Roman;Times;Serif"/>
          <w:b w:val="false"/>
          <w:i w:val="false"/>
          <w:caps w:val="false"/>
          <w:smallCaps w:val="false"/>
          <w:sz w:val="20"/>
        </w:rPr>
        <w:t>All rights of action and of asserting claims under this Indenture, or under any of the terms established with respect to Securities of that series, may be enforced by the Trustee without the possession of any of such Securities, or the production thereof at any trial or other proceeding relative thereto, and any such suit or proceeding instituted by the Trustee shall be brought in its own name as trustee of an express trust, and any recovery of judgment shall, after provision for payment to the Trustee of any amounts due under Section 7.06, be for the ratable benefit of the holders of the Securities of such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of an Event of Default hereunder, the Trustee may in its discretion proceed to protect and enforce the rights vested in it by this Indenture by such appropriate judicial proceedings as the Trustee shall deem most effectual to protect and enforce any of such rights, either at law or in equity or in bankruptcy or otherwise, whether for the specific enforcement of any covenant or agreement contained in the Indenture or in aid of the exercise of any power granted in this Indenture, or to enforce any other legal or equitable right vested in the Trustee by this Indenture or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contained herein shall be deemed to authorize the Trustee to authorize or consent to or accept or adopt on behalf of any Securityholder any plan of reorganization, arrangement, adjustment or composition affecting the Securities of that series or the rights of any Securityholder thereof or to authorize the Trustee to vote in respect of the claim of any Securityholder in any such proceeding.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6.03 Application of Moneys Collected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moneys collected by the Trustee pursuant to this Article with respect to a particular series of Securities shall be applied in the following order, at the date or dates fixed by the Trustee and, in case of the distribution of such moneys on account of principal (or premium, if any) or interest, upon presentation of the Securities of that series, and notation thereon of the payment, if only partially paid, and upon surrender thereof if fully paid: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FIRST: To the payment of costs and expenses of collection and of all amounts payable to the Trustee under Section 7.06;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SECOND: To the payment of the amounts then due and unpaid upon Securities of such series for principal (and premium, if any) and interest, in respect of which or for the benefit of which such money has been collected, ratably, without preference or priority of any kind, according to the amounts due and payable on such Securities for principal (and premium, if any) and interest, respectively;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THIRD: To the payment of the remainder, if any, to the Company or any other Person lawfully entitled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6.04 Limitation on Suits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holder of any Security of any series shall have any right by virtue or by availing of any provision of this Indenture to institute any suit, action or proceeding in equity or at law upon or under or with respect to this Indenture or for the appointment of a receiver or trustee, or for any other remedy hereunder, unless (i) such Securityholder previously shall have given to the Trustee written notice of an Event of Default and of the continuance thereof with respect to the Securities of such series specifying such Event of Default, as hereinbefore provided; (ii) the holders of not less than 25% in aggregate principal amount of the Securities of such series then Outstanding shall have made written request upon the Trustee to institute such action, suit or proceeding in its own name as Trustee hereunder; (iii) such Securityholder or Securityholders shall have offered to the Trustee indemnity satisfactory to it against the costs, expenses and liabilities to be incurred in compliance with such request; (iv) the Trustee for 90 days after its receipt of such notice, request and offer of indemnity, shall have failed to institute any such action, suit or proceeding and (v) during such 90 day period, the holders of a majority in principal amount of the Securities of that series do not give the Trustee a direction inconsistent with the request.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contained herein to the contrary or any other provisions of this Indenture, the right of any holder of any Security to receive payment of the principal of (and premium, if any) and interest on such Security, as therein provided, on or after the respective due dates expressed in such Security (or in the case of redemption, on the redemption date), or to institute suit for the enforcement of any such payment on or after such respective dates or redemption date, shall not be impaired or affected without the consent of such holder and by accepting a Security hereunder it is expressly understood, intended and covenanted by the taker and holder of every Security of such series with every other such taker and holder and the Trustee, that no one or more holders of Securities of such series shall have any right in any manner whatsoever by virtue or by availing of any provision of this Indenture to affect, disturb or prejudice the rights of the holders of any other of such Securities, or to obtain or seek to obtain priority over or preference to any other such holder, or to enforce any right under this Indenture, except in the manner herein provided and for the equal, ratable and common benefit of all holders of Securities of such series. For the protection and enforcement of the provisions of this Section, each and every Securityholder and the Trustee shall be entitled to such relief as can be given either at law or in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6.05 Rights and Remedies Cumulative; Delay or Omission Not Waiver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Except as otherwise provided in Section 2.07, all powers and remedies given by this Article to the Trustee or to the Securityholders shall, to the extent permitted by law, be deemed cumulative and not exclusive of any other powers and remedies available to the Trustee or the holders of the Securities, by judicial proceedings or otherwise, to enforce the performance or observance of the covenants and agreements contained in this Indenture or otherwise established with respect to such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No delay or omission of the Trustee or of any holder of any of the Securities to exercise any right or power accruing upon any Event of Default occurring and continuing as aforesaid shall impair any such right or power, or shall be construed to be a waiver of any such default or an acquiescence therein; and, subject to the provisions of Section 6.04, every power and remedy given by this Article or by law to the Trustee or the Securityholders may be exercised from time to time, and as often as shall be deemed expedient, by the Trustee or by the Securityholders.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6.06 Control by Securityholders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a majority in aggregate principal amount of the Securities of any series at the time Outstanding, determined in accordance with Section 8.04, shall have the right to direct the time, method and place of conducting any proceeding for any remedy available to the Trustee, or exercising any trust or power conferred on the Trustee with respect to such series; provided, however, that such direction shall not be in conflict with any rule of law or with this Indenture or subject the Trustee in its sole discretion to personal liability. Subject to the provisions of Section 7.01, the Trustee shall have the right to decline to follow any such direction if the Trustee in good faith shall, by a Responsible Officer or officers of the Trustee, determine that the proceeding so directed, subject to the Trustee’s duties under the Trust Indenture Act, would involve the Trustee in personal liability or might be unduly prejudicial to the Securityholders not involved in the proceeding. The holders of a majority in aggregate principal amount of the Securities of any series at the time Outstanding affected thereby, determined in accordance with Section 8.04, may on behalf of the holders of all of the Securities of such series waive any past default in the performance of any of the covenants contained herein or established pursuant to Section 2.01 with respect to such series and its consequences, except a default in the payment of the principal of, or premium, if any, or interest on, any of the Securities of that series as and when the same shall become due by the terms of such Securities otherwise than by acceleration (unless such default has been cured and a sum sufficient to pay all matured installments of interest and principal and any premium has been deposited with the Trustee (in accordance with Section 6.01(c)). Upon any such waiver, the default covered thereby shall be deemed to be cured for all purposes of this Indenture and the Company, the Trustee and the holders of the Securities of such series shall be restored to their former positions and rights hereunder, respectively; but no such waiver shall extend to any subsequent or other default or impair any right consequent thereon.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6.07 Undertaking to Pay Costs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parties to this Indenture agree, and each holder of any Securities by such holder’s acceptance thereof shall be deemed to have agreed, that any court may in its discretion require, in any suit for the enforcement of any right or remedy under this Indenture, or in any suit against the Trustee for any action taken or omitted by it as Trustee, the filing by any party litigant in such suit of an undertaking to pay the costs of such suit, and that such court may in its discretion assess reasonable costs, including reasonable attorneys’ fees and expenses, against any party litigant in such suit, having due regard to the merits and good faith of the claims or defenses made by such party litigant; but the provisions of this Section shall not apply to any suit instituted by the Trustee, to any suit instituted by any Securityholder, or group of Securityholders, holding more than 10% in aggregate principal amount of the Outstanding Securities of any series, or to any suit instituted by any Securityholder for the enforcement of the payment of the principal of (or premium, if any) or interest on any Security of such series, on or after the respective due dates expressed in such Security or established pursuant to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CONCERNING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7.01 Certain Duties and Responsibilities of Trustee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The Trustee, prior to the occurrence of an Event of Default with respect to the Securities of a series and after the curing of all Events of Default with respect to the Securities of that series that may have occurred, shall undertake to perform with respect to the Securities of such series such duties and only such duties as are specifically set forth in this Indenture, and no implied covenants shall be read into this Indenture against the Trustee. In case an Event of Default with respect to the Securities of a series has occurred (that has not been cured or waived), the Trustee shall exercise with respect to Securities of that series such of the rights and powers vested in it by this Indenture, and use the same degree of care and skill in their exercise, as a prudent man would exercise or use under the circumstances in the conduct of his or her own affairs.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No provision of this Indenture shall be construed to relieve the Trustee from liability for its own negligent action, its own negligent failure to act, or its own willful misconduct, except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 </w:t>
      </w:r>
      <w:r>
        <w:rPr>
          <w:rFonts w:ascii="Times New Roman;Times;Serif" w:hAnsi="Times New Roman;Times;Serif"/>
          <w:b w:val="false"/>
          <w:i w:val="false"/>
          <w:caps w:val="false"/>
          <w:smallCaps w:val="false"/>
          <w:sz w:val="20"/>
        </w:rPr>
        <w:t>prior to the occurrence of an Event of Default with respect to the Securities of a series and after the curing or waiving of all such Events of Default with respect to that series that may have occurred: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the duties and obligations of the Trustee shall with respect to the Securities of such series be determined solely by the express provisions of this Indenture, and the Trustee shall not be liable with respect to the Securities of such series except for the performance of such duties and obligations as are specifically set forth in this Indenture, and no implied covenants or obligations shall be read into this Indenture against the Trustee;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in the absence of bad faith on the part of the Trustee, the Trustee may with respect to the Securities of such series conclusively rely, as to the truth of the statements and the correctness of the opinions expressed therein, upon any certificates or opinions furnished to the Trustee and conforming to the requirements of this Indenture; but in the case of any such certificates or opinions that by any provision hereof are specifically required to be furnished to the Trustee, the Trustee shall be under a duty to examine the same to determine whether or not they conform to the requirements of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(ii) </w:t>
      </w:r>
      <w:r>
        <w:rPr>
          <w:rFonts w:ascii="Times New Roman;Times;Serif" w:hAnsi="Times New Roman;Times;Serif"/>
          <w:b w:val="false"/>
          <w:i w:val="false"/>
          <w:caps w:val="false"/>
          <w:smallCaps w:val="false"/>
          <w:sz w:val="20"/>
        </w:rPr>
        <w:t>the Trustee shall not be liable to any Securityholder or to any other Person for any error of judgment made in good faith by a Responsible Officer or Responsible Officers of the Trustee, unless it shall be proved that the Trustee was negligent in ascertaining the pertinent facts;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(iii) </w:t>
      </w:r>
      <w:r>
        <w:rPr>
          <w:rFonts w:ascii="Times New Roman;Times;Serif" w:hAnsi="Times New Roman;Times;Serif"/>
          <w:b w:val="false"/>
          <w:i w:val="false"/>
          <w:caps w:val="false"/>
          <w:smallCaps w:val="false"/>
          <w:sz w:val="20"/>
        </w:rPr>
        <w:t>the Trustee shall not be liable with respect to any action taken or omitted to be taken by it in good faith in accordance with the direction of the holders of not less than a majority in principal amount of the Securities of any series at the time Outstanding relating to the time, method and place of conducting any proceeding for any remedy available to the Trustee, or exercising any trust or power conferred upon the Trustee under this Indenture with respect to the Securities of that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(iv) </w:t>
      </w:r>
      <w:r>
        <w:rPr>
          <w:rFonts w:ascii="Times New Roman;Times;Serif" w:hAnsi="Times New Roman;Times;Serif"/>
          <w:b w:val="false"/>
          <w:i w:val="false"/>
          <w:caps w:val="false"/>
          <w:smallCaps w:val="false"/>
          <w:sz w:val="20"/>
        </w:rPr>
        <w:t>none of the provisions contained in this Indenture shall require the Trustee to expend or risk its own funds or otherwise incur personal financial liability in the performance of any of its duties or in the exercise of any of its rights or powers if there is reasonable ground for believing that the repayment of such funds or liability is not reasonably assured to it under the terms of this Indenture or adequate indemnity against such risk is not reasonably assured to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(v) </w:t>
      </w:r>
      <w:r>
        <w:rPr>
          <w:rFonts w:ascii="Times New Roman;Times;Serif" w:hAnsi="Times New Roman;Times;Serif"/>
          <w:b w:val="false"/>
          <w:i w:val="false"/>
          <w:caps w:val="false"/>
          <w:smallCaps w:val="false"/>
          <w:sz w:val="20"/>
        </w:rPr>
        <w:t>The Trustee shall not be required to give any bond or surety in respect of the performance of its powers or duties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(vi) </w:t>
      </w:r>
      <w:r>
        <w:rPr>
          <w:rFonts w:ascii="Times New Roman;Times;Serif" w:hAnsi="Times New Roman;Times;Serif"/>
          <w:b w:val="false"/>
          <w:i w:val="false"/>
          <w:caps w:val="false"/>
          <w:smallCaps w:val="false"/>
          <w:sz w:val="20"/>
        </w:rPr>
        <w:t>The permissive right of the Trustee to do things enumerated in this Indenture shall not be construed as a duty of the Trustee;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(vii) </w:t>
      </w:r>
      <w:r>
        <w:rPr>
          <w:rFonts w:ascii="Times New Roman;Times;Serif" w:hAnsi="Times New Roman;Times;Serif"/>
          <w:b w:val="false"/>
          <w:i w:val="false"/>
          <w:caps w:val="false"/>
          <w:smallCaps w:val="false"/>
          <w:sz w:val="20"/>
        </w:rPr>
        <w:t>No Trustee shall have any duty or responsibility for any act or omission of any other Trustee appointed with respect to a series of Securities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7.02 Certain Rights of Trustee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provided in Section 7.01: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The Trustee may conclusively rely and shall be protected in acting or refraining from acting upon any resolution, certificate, statement, instrument, opinion, report, notice, request, consent, order, approval, bond, security or other paper or document believed by it to be genuine and to have been signed or presented by the proper party or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Any request, direction, order or demand of the Company mentioned herein shall be sufficiently evidenced by a Board Resolution or an instrument signed in the name of the Company by any authorized Officer of the Company (unless other evidence in respect thereof is specifically prescribed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w:t>
      </w:r>
      <w:r>
        <w:rPr>
          <w:rFonts w:ascii="Times New Roman;Times;Serif" w:hAnsi="Times New Roman;Times;Serif"/>
          <w:b w:val="false"/>
          <w:i w:val="false"/>
          <w:caps w:val="false"/>
          <w:smallCaps w:val="false"/>
          <w:sz w:val="20"/>
        </w:rPr>
        <w:t>The Trustee may consult with counsel and the opinion or written advice of such counsel or, if requested, any Opinion of Counsel shall be full and complete authorization and protection in respect of any action taken or suffered or omitted hereunder in good faith and in reliance thereon;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 </w:t>
      </w:r>
      <w:r>
        <w:rPr>
          <w:rFonts w:ascii="Times New Roman;Times;Serif" w:hAnsi="Times New Roman;Times;Serif"/>
          <w:b w:val="false"/>
          <w:i w:val="false"/>
          <w:caps w:val="false"/>
          <w:smallCaps w:val="false"/>
          <w:sz w:val="20"/>
        </w:rPr>
        <w:t>The Trustee shall be under no obligation to exercise any of the rights or powers vested in it by this Indenture at the request, order or direction of any of the Securityholders pursuant to the provisions of this Indenture, unless such Securityholders shall have offered to the Trustee security or indemnity reasonably acceptable to the Trustee against the costs, expenses and liabilities that may be incurred therein or thereby; nothing contained herein shall, however, relieve the Trustee of the obligation, upon the occurrence of an Event of Default with respect to a series of the Securities (that has not been cured or waived), to exercise with respect to Securities of that series such of the rights and powers vested in it by this Indenture, and to use the same degree of care and skill in their exercise, as a prudent man would exercise or use under the circumstances in the conduct of his or her own affairs;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 </w:t>
      </w:r>
      <w:r>
        <w:rPr>
          <w:rFonts w:ascii="Times New Roman;Times;Serif" w:hAnsi="Times New Roman;Times;Serif"/>
          <w:b w:val="false"/>
          <w:i w:val="false"/>
          <w:caps w:val="false"/>
          <w:smallCaps w:val="false"/>
          <w:sz w:val="20"/>
        </w:rPr>
        <w:t>The Trustee shall not be liable for any action taken or omitted to be taken by it in good faith and believed by it to be authorized or within the discretion or rights or powers conferred upon it by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 </w:t>
      </w:r>
      <w:r>
        <w:rPr>
          <w:rFonts w:ascii="Times New Roman;Times;Serif" w:hAnsi="Times New Roman;Times;Serif"/>
          <w:b w:val="false"/>
          <w:i w:val="false"/>
          <w:caps w:val="false"/>
          <w:smallCaps w:val="false"/>
          <w:sz w:val="20"/>
        </w:rPr>
        <w:t>The Trustee shall not be bound to make any investigation into the facts or matters stated in any resolution, certificate, statement, instrument, opinion, report, notice, request, consent, order, approval, bond, security, or other papers or documents or inquire as to the performance by the Company of one of its covenants under this Indenture, unless requested in writing so to do by the holders of not less than a majority in principal amount of the Outstanding Securities of the particular series affected thereby (determined as provided in Section 8.04); provided, however, that if the payment within a reasonable time to the Trustee of the costs, expenses or liabilities likely to be incurred by it in the making of such investigation is, in the opinion of the Trustee, not reasonably assured to the Trustee by the security afforded to it by the terms of this Indenture, the Trustee may require security or indemnity reasonably acceptable to the Trustee against such costs, expenses or liabilities as a condition to so proceeding. The reasonable expense of every such examination shall be paid by the Company or, if paid by the Trustee, shall be repaid by the Company upon demand;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 </w:t>
      </w:r>
      <w:r>
        <w:rPr>
          <w:rFonts w:ascii="Times New Roman;Times;Serif" w:hAnsi="Times New Roman;Times;Serif"/>
          <w:b w:val="false"/>
          <w:i w:val="false"/>
          <w:caps w:val="false"/>
          <w:smallCaps w:val="false"/>
          <w:sz w:val="20"/>
        </w:rPr>
        <w:t>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(h) </w:t>
      </w:r>
      <w:r>
        <w:rPr>
          <w:rFonts w:ascii="Times New Roman;Times;Serif" w:hAnsi="Times New Roman;Times;Serif"/>
          <w:b w:val="false"/>
          <w:i w:val="false"/>
          <w:caps w:val="false"/>
          <w:smallCaps w:val="false"/>
          <w:sz w:val="20"/>
        </w:rPr>
        <w:t>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it being understood that the Trustee shall use reasonable efforts which are consistent with accepted practices in the banking industry to resume performance as soon as practicable under the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 </w:t>
      </w:r>
      <w:r>
        <w:rPr>
          <w:rFonts w:ascii="Times New Roman;Times;Serif" w:hAnsi="Times New Roman;Times;Serif"/>
          <w:b w:val="false"/>
          <w:i w:val="false"/>
          <w:caps w:val="false"/>
          <w:smallCaps w:val="false"/>
          <w:sz w:val="20"/>
        </w:rPr>
        <w:t>In no event shall the Trustee be responsible or liable for special, indirect, punitive or consequential loss or damage of any kind whatsoever (including, but not limited to, loss of profit) irrespective of whether the Trustee has been advised of the likelihood of such loss or damage and regardless of the form of action;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(j) </w:t>
      </w:r>
      <w:r>
        <w:rPr>
          <w:rFonts w:ascii="Times New Roman;Times;Serif" w:hAnsi="Times New Roman;Times;Serif"/>
          <w:b w:val="false"/>
          <w:i w:val="false"/>
          <w:caps w:val="false"/>
          <w:smallCaps w:val="false"/>
          <w:sz w:val="20"/>
        </w:rPr>
        <w:t>The Trustee agrees to accept and act upon instructions or directions pursuant to this Indenture sent by unsecured e-mail, facsimile transmission or other similar unsecured electronic methods; provided, however, that such instructions or directions shall be signed by an authorized representative of the party providing such instructions or directions. If the party elects to give the Trustee e-mail or facsimile instructions (or instructions by a similar electronic method) and the Trustee in its discretion elects to act upon such instructions, the Trustee’s understanding of such instructions shall be deemed controlling. The Trustee shall not be liable for any losses, costs or expenses arising directly or indirectly from the Trustee’s reliance upon and compliance with such instructions notwithstanding such instructions conflict or are inconsistent with a subsequent written instruction. The party providing electronic instructions agrees to assume all risks arising out of the use of such electronic methods to submit instructions and directions to the Trustee, including without limitation the risk of the Trustee acting on unauthorized instructions, and the risk or interception and misuse by third parties. The Trustee may request that the Company deliver an Officer’s Certificate setting forth the names of individuals and/or titles of officers authorized at such time to furnish the Trustee with Officer’s Certificates, Company Orders and any other matters or directions pursuant to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(k) </w:t>
      </w:r>
      <w:r>
        <w:rPr>
          <w:rFonts w:ascii="Times New Roman;Times;Serif" w:hAnsi="Times New Roman;Times;Serif"/>
          <w:b w:val="false"/>
          <w:i w:val="false"/>
          <w:caps w:val="false"/>
          <w:smallCaps w:val="false"/>
          <w:sz w:val="20"/>
        </w:rPr>
        <w:t>The rights, privileges, protections, immunities and benefits given to the Trustee, including, without limitation, its right to be indemnified, are extended to, and shall be enforceable by, the Trustee in each of its capacities hereunder and under the Securities, and each agent, custodian or other person employed to act under this Indenture;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 </w:t>
      </w:r>
      <w:r>
        <w:rPr>
          <w:rFonts w:ascii="Times New Roman;Times;Serif" w:hAnsi="Times New Roman;Times;Serif"/>
          <w:b w:val="false"/>
          <w:i w:val="false"/>
          <w:caps w:val="false"/>
          <w:smallCaps w:val="false"/>
          <w:sz w:val="20"/>
        </w:rPr>
        <w:t>The Trustee shall not be deemed to have knowledge of any Default or Event of Default (other than an Event of Default constituting the failure to pay the interest on, or the principal of, the Securities if the Trustee also serves as the paying agent for such Securities) until the Trustee shall have received written notification in the manner set forth in this Indenture or a Responsible Officer of the Trustee shall have obtained actual knowledge.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7.03 Trustee Not Responsible for Recitals or Issuance or Securities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The recitals contained herein and in the Securities shall be taken as the statements of the Company, and the Trustee assumes no responsibility for the correctness of the same. The Trustee shall not be responsible for any statement in any registration statement, prospectus, or any other document in connection with the sale of Securities. The Trustee shall not be responsible for any rating on the Securities or any action or omission of any rating agency.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The Trustee makes no representations as to the validity or sufficiency of this Indenture or of the Securities, except, as applicable in each case, in connection with the Trustee’s signature thereon.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w:t>
      </w:r>
      <w:r>
        <w:rPr>
          <w:rFonts w:ascii="Times New Roman;Times;Serif" w:hAnsi="Times New Roman;Times;Serif"/>
          <w:b w:val="false"/>
          <w:i w:val="false"/>
          <w:caps w:val="false"/>
          <w:smallCaps w:val="false"/>
          <w:sz w:val="20"/>
        </w:rPr>
        <w:t>The Trustee shall not be accountable for the use or application by the Company of any of the Securities or of the proceeds of such Securities, or for the use or application of any moneys paid over by the Trustee in accordance with any provision of this Indenture or established pursuant to Section 2.01, or for the use or application of any moneys received by any paying agent other than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7.04 May Hold Securities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or any paying agent or Security Registrar, in its individual or any other capacity, may become the owner or pledgee of Securities with the same rights it would have if it were not Trustee, paying agent or Security Registrar.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7.05 Moneys Held in Trust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Section 11.05, all moneys received by the Trustee shall, until used or applied as herein provided, be held in trust for the purposes for which they were received, but need not be segregated from other funds except to the extent required by law. The Trustee shall be under no liability for interest on any moneys received by it hereunder except such as it may agree with the Company to pay thereon.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7.06 Compensation and Reimbursement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The Company shall pay to the Trustee for each of its capacities hereunder from time to time compensation for its services as the Company and the Trustee shall from time to time agree upon in writing. The Trustee’s compensation shall not be limited by any law on compensation of a trustee of an express trust. The Company shall reimburse the Trustee upon request for all reasonable out-of-pocket expenses incurred by it. Such expenses shall include the reasonable compensation and expenses of the Trustee’s agents and counsel.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The Company shall indemnify each of the Trustee in each of its capacities hereunder against any loss, liability or expense (including the cost of defending itself and including the reasonable compensation and expenses of the Trustee’s agents and counsel) incurred by it except as set forth in Section 7.06(c) in the exercise or performance of its powers, rights or duties under this Indenture as Trustee or Agent. The Trustee shall notify in writing the Company promptly of any claim for which it may seek indemnity. The Company shall defend the claim and the Trustee shall cooperate in the defense. The Trustee may have one separate counsel and the Company shall pay the reasonable fees and expenses of such counsel. The Company need not pay for any settlement made without its consent, which consent shall not be unreasonably withheld. This indemnification shall apply to officers, directors, employees, shareholders and agents of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w:t>
      </w:r>
      <w:r>
        <w:rPr>
          <w:rFonts w:ascii="Times New Roman;Times;Serif" w:hAnsi="Times New Roman;Times;Serif"/>
          <w:b w:val="false"/>
          <w:i w:val="false"/>
          <w:caps w:val="false"/>
          <w:smallCaps w:val="false"/>
          <w:sz w:val="20"/>
        </w:rPr>
        <w:t>The Company need not reimburse any expense or indemnify against any loss or liability incurred by the Trustee or by any officer, director, employee, shareholder or agent of the Trustee through negligence or bad faith.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 </w:t>
      </w:r>
      <w:r>
        <w:rPr>
          <w:rFonts w:ascii="Times New Roman;Times;Serif" w:hAnsi="Times New Roman;Times;Serif"/>
          <w:b w:val="false"/>
          <w:i w:val="false"/>
          <w:caps w:val="false"/>
          <w:smallCaps w:val="false"/>
          <w:sz w:val="20"/>
        </w:rPr>
        <w:t>To ensure the Company’s payment obligations in this Section, the Trustee shall have a lien prior to the Securities on all funds or property held or collected by the Trustee, except that held in trust to pay principal of or interest on particular Securities. When the Trustee incurs expenses or renders services in connection with an Event of Default specified in Section 6.01(4) or (5), the expenses (including the reasonable fees and expenses of its counsel) and the compensation for services in connection therewith are to constitute expenses of administration under any Bankruptcy Law. The provisions of this Section 7.06 shall survive the termination of this Indenture and the resignation or removal of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23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7.07 Reliance on Officer’s Certificate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provided in Section 7.01, whenever in the administration of the provisions of this Indenture the Trustee shall deem it reasonably necessary or desirable that a matter be proved or established prior to taking or suffering or omitting to take any action hereunder, such matter (unless other evidence in respect thereof be herein specifically prescribed) may, in the absence of negligence or bad faith on the part of the Trustee, be deemed to be conclusively proved and established by an Officer’s Certificate delivered to the Trustee and such certificate, in the absence of negligence or bad faith on the part of the Trustee, shall be full warrant to the Trustee for any action taken, suffered or omitted to be taken by it under the provisions of this Indenture upon the faith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7.08 Disqualification; Conflicting Interests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Trustee has or shall acquire any “conflicting interest” within the meaning of Section 310(b) of the Trust Indenture Act, the Trustee and the Company shall in all respects comply with the provisions of Section 310(b) of the Trust Indenture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7.09 Corporate Trustee Required; Eligibility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shall at all times be a Trustee with respect to the Securities issued hereunder which shall at all times be a corporation organized and doing business under the laws of the United States of America or any state or territory thereof or of the District of Columbia, or a corporation or other Person permitted to act as trustee by the Commission, authorized under such laws to exercise corporate trust powers, having a combined capital and surplus of at least fifty million U.S. dollars ($50,000,000), and subject to supervision or examination by federal, state, territorial, or District of Columbia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such corporation or other Person publishes reports of condition at least annually, pursuant to law or to the requirements of the aforesaid supervising or examining authority, then for the purposes of this Section, the combined capital and surplus of such corporation or other Person shall be deemed to be its combined capital and surplus as set forth in its most recent report of condition so published. The Company may not, nor may any Person directly or indirectly controlling, controlled by, or under common control with the Company, serve as Trustee. In case at any time the Trustee shall cease to be eligible in accordance with the provisions of this Section, the Trustee shall resign immediately in the manner and with the effect specified in Section 7.10.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7.10 Resignation and Removal; Appointment of Successor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The Trustee or any successor hereafter appointed may at any time resign with respect to the Securities of one or more series by giving written notice thereof to the Company and the Securityholders of such series. Upon receiving such notice of resignation, the Company shall promptly appoint a successor trustee with respect to Securities of such series by written instrument, in duplicate, executed by order of the Board of Directors, one copy of which instrument shall be delivered to the resigning Trustee and one copy to the successor trustee. If no successor trustee shall have been so appointed and have accepted appointment within 30 days after the sending of such notice of resignation, the resigning Trustee may petition any court of competent jurisdiction for the appointment of a successor trustee with respect to Securities of such series, or any Securityholder of that series who has been a bona fide holder of a Security or Securities for at least six months may on behalf of himself and all others similarly situated, petition any such court for the appointment of a successor trustee. Such court may thereupon after such notice, if any, as it may deem proper and prescribe, appoint a successor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In case at any time any one of the following shall occur: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 </w:t>
      </w:r>
      <w:r>
        <w:rPr>
          <w:rFonts w:ascii="Times New Roman;Times;Serif" w:hAnsi="Times New Roman;Times;Serif"/>
          <w:b w:val="false"/>
          <w:i w:val="false"/>
          <w:caps w:val="false"/>
          <w:smallCaps w:val="false"/>
          <w:sz w:val="20"/>
        </w:rPr>
        <w:t>the Trustee shall fail to comply with the provisions of Section 7.08 after written request therefor by the Company or by any Securityholder who has been a bona fide holder of a Security or Securities for at least six months;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24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(ii) </w:t>
      </w:r>
      <w:r>
        <w:rPr>
          <w:rFonts w:ascii="Times New Roman;Times;Serif" w:hAnsi="Times New Roman;Times;Serif"/>
          <w:b w:val="false"/>
          <w:i w:val="false"/>
          <w:caps w:val="false"/>
          <w:smallCaps w:val="false"/>
          <w:sz w:val="20"/>
        </w:rPr>
        <w:t>the Trustee shall cease to be eligible in accordance with the provisions of Section 7.09 and shall fail to resign after written request therefor by the Company or by any such Securityholder;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(iii) </w:t>
      </w:r>
      <w:r>
        <w:rPr>
          <w:rFonts w:ascii="Times New Roman;Times;Serif" w:hAnsi="Times New Roman;Times;Serif"/>
          <w:b w:val="false"/>
          <w:i w:val="false"/>
          <w:caps w:val="false"/>
          <w:smallCaps w:val="false"/>
          <w:sz w:val="20"/>
        </w:rPr>
        <w:t>the Trustee shall become incapable of acting, or shall be adjudged a bankrupt or insolvent, or commence a voluntary bankruptcy proceeding, or a receiver of the Trustee or of its property shall be appointed or consented to, or any public officer shall take charge or control of the Trustee or of its property or affairs for the purpose of rehabilitation, conservation or liquidation;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then, in any such case, the Company may remove the Trustee with respect to all Securities and appoint a successor trustee by written instrument, in duplicate, executed by order of the Board of Directors, one copy of which instrument shall be delivered to the Trustee so removed and one copy to the successor trustee, or any Securityholder who has been a bona fide holder of a Security or Securities for at least six months may, on behalf of that holder and all others similarly situated, petition any court of competent jurisdiction for the removal of the Trustee and the appointment of a successor trustee. Such court may thereupon after such notice of resignation, if any, as it may deem proper and prescribe, remove the Trustee and appoint a successor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w:t>
      </w:r>
      <w:r>
        <w:rPr>
          <w:rFonts w:ascii="Times New Roman;Times;Serif" w:hAnsi="Times New Roman;Times;Serif"/>
          <w:b w:val="false"/>
          <w:i w:val="false"/>
          <w:caps w:val="false"/>
          <w:smallCaps w:val="false"/>
          <w:sz w:val="20"/>
        </w:rPr>
        <w:t>The holders of a majority in aggregate principal amount of the Securities of any series at the time Outstanding may at any time remove the Trustee with respect to such series by so notifying in writing each of the Trustee and the Company and may appoint a successor Trustee for such series with the prior written consent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 </w:t>
      </w:r>
      <w:r>
        <w:rPr>
          <w:rFonts w:ascii="Times New Roman;Times;Serif" w:hAnsi="Times New Roman;Times;Serif"/>
          <w:b w:val="false"/>
          <w:i w:val="false"/>
          <w:caps w:val="false"/>
          <w:smallCaps w:val="false"/>
          <w:sz w:val="20"/>
        </w:rPr>
        <w:t>Any resignation or removal of the Trustee and appointment of a successor trustee with respect to the Securities of a series pursuant to any of the provisions of this Section shall become effective upon acceptance of appointment by the successor trustee as provided in Section 7.11.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 </w:t>
      </w:r>
      <w:r>
        <w:rPr>
          <w:rFonts w:ascii="Times New Roman;Times;Serif" w:hAnsi="Times New Roman;Times;Serif"/>
          <w:b w:val="false"/>
          <w:i w:val="false"/>
          <w:caps w:val="false"/>
          <w:smallCaps w:val="false"/>
          <w:sz w:val="20"/>
        </w:rPr>
        <w:t>Any successor trustee appointed pursuant to this Section may be appointed with respect to the Securities of one or more series or all of such series, and at any time there shall be only one Trustee with respect to the Securities of any particular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7.11 Acceptance of Appointment by Successor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In case of the appointment hereunder of a successor trustee with respect to all Securities, every such successor trustee so appointed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request of the Company or the successor trustee, such retiring Trustee shall, upon payment of any amounts due to it pursuant to the provisions of Section 7.06, promptly execute and deliver an instrument transferring to such successor trustee all the rights, powers, and trusts of the retiring Trustee and shall promptly and duly assign, transfer and deliver to such successor trustee all property and money held by such retiring Trustee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In case of the appointment hereunder of a successor trustee with respect to the Securities of one or more (but not all) series, the Company, the retiring Trustee and each successor trustee with respect to the Securities of one or more series shall promptly execute and deliver an indenture supplemental hereto wherein each successor trustee shall accept such appointment and which (i)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(ii)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(iii)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that each such Trustee shall be trustee of a trust or trusts hereunder separate and apart from any trust or trusts hereunder administered by any other such Trustee and that no Trustee shall be responsible for any act or failure to act on the part of any other Trustee hereunder; and upon the execution and delivery of such supplemental indenture the resignation or removal of the retiring Trustee shall become effective to the extent provided therein, such retiring Trustee shall with respect to the Securities of that or those series to which the appointment of such successor trustee relates have no further responsibility for the exercise of rights and powers or for the performance of the duties and obligations vested in the Trustee under this Indenture,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promptly and duly assign, transfer and deliver to such successor trustee, to the extent contemplated by such supplemental indenture, the property and money held by such retiring Trustee hereunder with respect to the Securities of that or those series to which the appointment of such successor trustee relates.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25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w:t>
      </w:r>
      <w:r>
        <w:rPr>
          <w:rFonts w:ascii="Times New Roman;Times;Serif" w:hAnsi="Times New Roman;Times;Serif"/>
          <w:b w:val="false"/>
          <w:i w:val="false"/>
          <w:caps w:val="false"/>
          <w:smallCaps w:val="false"/>
          <w:sz w:val="20"/>
        </w:rPr>
        <w:t>Upon request of any such successor trustee, the Company shall execute any and all instruments for more fully and certainly vesting in and confirming to such successor trustee all such rights, powers and trusts referred to in paragraph (a) or (b) of this Section,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 </w:t>
      </w:r>
      <w:r>
        <w:rPr>
          <w:rFonts w:ascii="Times New Roman;Times;Serif" w:hAnsi="Times New Roman;Times;Serif"/>
          <w:b w:val="false"/>
          <w:i w:val="false"/>
          <w:caps w:val="false"/>
          <w:smallCaps w:val="false"/>
          <w:sz w:val="20"/>
        </w:rPr>
        <w:t>No successor trustee shall accept its appointment unless at the time of such acceptance such successor trustee shall be qualified and eligible under this Article.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 </w:t>
      </w:r>
      <w:r>
        <w:rPr>
          <w:rFonts w:ascii="Times New Roman;Times;Serif" w:hAnsi="Times New Roman;Times;Serif"/>
          <w:b w:val="false"/>
          <w:i w:val="false"/>
          <w:caps w:val="false"/>
          <w:smallCaps w:val="false"/>
          <w:sz w:val="20"/>
        </w:rPr>
        <w:t>Upon acceptance of appointment by a successor trustee as provided in this Section, the Company shall send written notice of the succession of such trustee hereunder to the Securityholders. If the Company fails to send such notice within ten days after acceptance of appointment by the successor trustee, the successor trustee shall cause such notice to be sent at the expense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7.12 Merger, Amalgamation, Conversion, Consolidation or Succession to Business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corporation into which the Trustee may be merged, amalgamated or converted or with which it may be consolidated, or any corporation resulting from any merger, amalgamation, conversion or consolidation to which the Trustee shall be a party, or any corporation succeeding to all or substantially all the corporate trust business of the Trustee, including the administration of the trust created by this Indenture, shall be the successor of the Trustee hereunder, provided that such corporation shall be qualified under the provisions of Section 7.08 and eligible under the provisions of Section 7.09, without the execution or filing of any paper or any further act on the part of any of the parties hereto, anything herein to the contrary notwithstanding. In case any Securities shall have been authenticated, but not delivered, by the Trustee then in office, any successor by merger, amalgamation, conversion or consolidation to such authenticating Trustee may adopt such authentication and deliver the Securities so authenticated with the same effect as if such successor Trustee had itself authenticated such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7.13 Preferential Collection of Claims Against the Company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shall comply with Section 311(a) of the Trust Indenture Act, excluding any creditor relationship described in Section 311(b) of the Trust Indenture Act. A Trustee who has resigned or been removed shall be subject to Section 311(a) of the Trust Indenture Act to the extent included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7.14 Notice of Default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any Event of Default occurs and is continuing and if such Event of Default is known to a Responsible Officer of the Trustee, the Trustee shall send to each Securityholder in the manner and to the extent provided in Section 313(c) of the Trust Indenture Act notice of the Event of Default within the earlier of 90 days after it occurs and 30 days after it is known to a Responsible Officer of the Trustee or written notice of it is received by the Trustee, unless such Event of Default has been cured; </w:t>
      </w: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except in the case of a default in the payment of the principal of (or premium, if any) or interest on any Security, the Trustee shall be protected in withholding such notice if and so long as the Responsible Officers of the Trustee in good faith determine that the withholding of such notice is in the interest of the Securityholders.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26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CONCERNING THE SECURITYHOLDERS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8.01 Evidence of Action by Securityholders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Whenever in this Indenture it is provided that the holders of a majority or specified percentage in aggregate principal amount of the Securities of a particular series may take any action (including the making of any demand or request, the giving of any notice, consent or waiver or the taking of any other action), the fact that at the time of taking any such action the holders of such majority or specified percentage of that series have joined therein may be evidenced by any instrument or any number of instruments of similar tenor executed by such holders of Securities of that series in person or by agent or proxy appointed in writing.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shall solicit from the Securityholders of any series any request, demand, authorization, direction, notice, consent, waiver or other action, the Company may, at its option, as evidenced by an Officer’s Certificate, fix in advance a record date for such series for the determination of Securityholders entitled to give such request, demand, authorization, direction, notice, consent, waiver or other action, but the Company shall have no obligation to do so. If such a record date is fixed, such request, demand, authorization, direction, notice, consent, waiver or other action may be given before or after the record date, but only the Securityholders of record at the close of business on the record date shall be deemed to be Securityholders for the purposes of determining whether Securityholders of the requisite proportion of Outstanding Securities of that series have authorized or agreed or consented to such request, demand, authorization, direction, notice, consent, waiver or other action, and for that purpose the Outstanding Securities of that series shall be computed as of the record date; provided, however, that no such authorization, agreement or consent by such Securityholders on the record date shall be deemed effective unless it shall become effective pursuant to the provisions of this Indenture not later than six months after the record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8.02 Proof of Execution by Securityholders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provisions of Section 7.01, proof of the execution of any instrument by a Securityholder (such proof will not require notarization) or his or her agent or proxy and proof of the holding by any Person of any of the Securities shall be sufficient if made in the following manner: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The fact and date of the execution by any such Person of any instrument may be proved in any reasonable manner acceptable to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The ownership of Securities shall be proved by the Security Register of such Securities or by a certificate of the Security Registrar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may require such additional proof of any matter referred to in this Section as it shall deem necessary.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8.03 Who May be Deemed Owners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due presentment for registration of transfer of any Security, the Company, the Trustee, any paying agent and any Security Registrar may deem and treat the Person in whose name such Security shall be registered upon the books of the Security Registrar as the absolute owner of such Security (whether or not such Security shall be overdue and notwithstanding any notice of ownership or writing thereon made by anyone other than the Security Registrar) for the purpose of receiving payment of or on account of the principal of, premium, if any, and (subject to Section 2.03) interest on such Security and for all other purposes; and neither the Company nor the Trustee nor any paying agent nor any Security Registrar shall be affected by any notice to the contrary.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8.04 Certain Securities Owned by Company Disregarded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determining whether the holders of the requisite aggregate principal amount of Securities of a particular series have concurred in any direction, consent or waiver under this Indenture, the Securities of that series that are owned by the Company or any other obligor on the Securities of that series or by any Person directly or indirectly controlling or controlled by or under common control with the Company or any other obligor on the Securities of that series shall be disregarded and deemed not to be Outstanding for the purpose of any such determination, except that for the purpose of determining whether the Trustee shall be protected in relying on any such direction, consent or waiver, only Securities of such series that the Trustee actually knows are so owned shall be so disregarded. The Securities so owned that have been pledged in good faith may be regarded as Outstanding for the purposes of this Section, if the pledgee shall establish to the satisfaction of the Trustee the pledgee’s right so to act with respect to such Securities and that the pledgee is not a Person directly or indirectly controlling or controlled by or under direct or indirect common control with the Company or any such other obligor. In case of a dispute as to such right, any decision by the Trustee taken upon the advice of counsel shall be full protection to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27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8.05 Actions Binding on Future Securityholders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time prior to (but not after) the evidencing to the Trustee, as provided in Section 8.01, of the taking of any action by the holders of the majority or percentage in aggregate principal amount of the Securities of a particular series specified in this Indenture in connection with such action, any holder of a Security of that series that is shown by the evidence to be included in the Securities the holders of which have consented to such action may, by filing written notice with the Trustee, and upon proof of holding as provided in Section 8.02, revoke such action so far as concerns such Security. Except as aforesaid any such action taken by the holder of any Security shall be conclusive and binding upon such holder and upon all future holders and owners of such Security, and of any Security issued in exchange therefor, on registration of transfer thereof or in place thereof, irrespective of whether or not any notation in regard thereto is made upon such Security. Any action taken by the holders of the majority or percentage in aggregate principal amount of the Securities of a particular series specified in this Indenture in connection with such action shall be conclusively binding upon the Company, the Trustee and the holders of all the Securities of that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SUPPLEMENTAL INDENTURES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9.01 Supplemental Indentures Without the Consent of Securityholders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any supplemental indenture otherwise authorized by this Indenture, the Company and the Trustee may from time to time and at any time enter into an indenture or indentures supplemental hereto (which shall conform to the provisions of the Trust Indenture Act as then in effect), without the consent of the Securityholders, for one or more of the following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to cure any ambiguity, defect, or inconsistency herein or in the Securities of any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to comply with Article Ten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w:t>
      </w:r>
      <w:r>
        <w:rPr>
          <w:rFonts w:ascii="Times New Roman;Times;Serif" w:hAnsi="Times New Roman;Times;Serif"/>
          <w:b w:val="false"/>
          <w:i w:val="false"/>
          <w:caps w:val="false"/>
          <w:smallCaps w:val="false"/>
          <w:sz w:val="20"/>
        </w:rPr>
        <w:t>to provide for uncertificated Securities in addition to or in place of certificated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 </w:t>
      </w:r>
      <w:r>
        <w:rPr>
          <w:rFonts w:ascii="Times New Roman;Times;Serif" w:hAnsi="Times New Roman;Times;Serif"/>
          <w:b w:val="false"/>
          <w:i w:val="false"/>
          <w:caps w:val="false"/>
          <w:smallCaps w:val="false"/>
          <w:sz w:val="20"/>
        </w:rPr>
        <w:t>to add to the covenants, restrictions, conditions or provisions relating to the Company for the benefit of the holders of all or any series of Securities (and if such covenants, restrictions, conditions or provisions are to be for the benefit of less than all series of Securities, stating that such covenants, restrictions, conditions or provisions are expressly being included solely for the benefit of such series), to make the occurrence, or the occurrence and the continuance, of a default in any such additional covenants, restrictions, conditions or provisions an Event of Default, or to surrender any right or power herein conferred upon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 </w:t>
      </w:r>
      <w:r>
        <w:rPr>
          <w:rFonts w:ascii="Times New Roman;Times;Serif" w:hAnsi="Times New Roman;Times;Serif"/>
          <w:b w:val="false"/>
          <w:i w:val="false"/>
          <w:caps w:val="false"/>
          <w:smallCaps w:val="false"/>
          <w:sz w:val="20"/>
        </w:rPr>
        <w:t>to add to, delete from, or revise the conditions, limitations, and restrictions on the authorized amount, terms, or purposes of issue, authentication, and delivery of Securities, as herein set forth;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 </w:t>
      </w:r>
      <w:r>
        <w:rPr>
          <w:rFonts w:ascii="Times New Roman;Times;Serif" w:hAnsi="Times New Roman;Times;Serif"/>
          <w:b w:val="false"/>
          <w:i w:val="false"/>
          <w:caps w:val="false"/>
          <w:smallCaps w:val="false"/>
          <w:sz w:val="20"/>
        </w:rPr>
        <w:t>to make any change that does not adversely affect the rights of any Securityholder in any material respect;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 </w:t>
      </w:r>
      <w:r>
        <w:rPr>
          <w:rFonts w:ascii="Times New Roman;Times;Serif" w:hAnsi="Times New Roman;Times;Serif"/>
          <w:b w:val="false"/>
          <w:i w:val="false"/>
          <w:caps w:val="false"/>
          <w:smallCaps w:val="false"/>
          <w:sz w:val="20"/>
        </w:rPr>
        <w:t>to provide for the issuance of and establish the form and terms and conditions of the Securities of any series as provided in Section 2.01, to establish the form of any certifications required to be furnished pursuant to the terms of this Indenture or any series of Securities, or to add to the rights of the holders of any series of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(h) </w:t>
      </w:r>
      <w:r>
        <w:rPr>
          <w:rFonts w:ascii="Times New Roman;Times;Serif" w:hAnsi="Times New Roman;Times;Serif"/>
          <w:b w:val="false"/>
          <w:i w:val="false"/>
          <w:caps w:val="false"/>
          <w:smallCaps w:val="false"/>
          <w:sz w:val="20"/>
        </w:rPr>
        <w:t>to evidence and provide for the acceptance of appointment hereunder by a successor trustee;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28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 </w:t>
      </w:r>
      <w:r>
        <w:rPr>
          <w:rFonts w:ascii="Times New Roman;Times;Serif" w:hAnsi="Times New Roman;Times;Serif"/>
          <w:b w:val="false"/>
          <w:i w:val="false"/>
          <w:caps w:val="false"/>
          <w:smallCaps w:val="false"/>
          <w:sz w:val="20"/>
        </w:rPr>
        <w:t>to comply with any requirements of the Commission or any successor in connection with the qualification of this Indenture under the Trust Indenture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Trustee is hereby authorized to join with the Company in the execution of any such supplemental indenture, and to make any further appropriate agreements and stipulations that may be therein contained, but the Trustee shall not be obligated to enter into any such supplemental indenture that affects the Trustee’s own rights, duties or immunities under this Indenture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supplemental indenture authorized by the provisions of this Section may be executed by the Company and the Trustee without the consent of the holders of any of the Securities at the time Outstanding, notwithstanding any of the provisions of Section 9.02.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9.02 Supplemental Indentures With Consent of Securityholders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the consent (evidenced as provided in Section 8.01) of the holders of not less than a majority in aggregate principal amount of the Securities of each series affected by such supplemental indenture or indentures at the time Outstanding, the Company, when authorized by a Board Resolution, and the Trustee may from time to time and at any time enter into an indenture or indentures supplemental hereto (which shall conform to the provisions of the Trust Indenture Act as then in effect) for the purpose of adding any provisions to or changing in any manner or eliminating any of the provisions of this Indenture or of any supplemental indenture or of modifying in any manner not covered by Section 9.01 the rights of the holders of the Securities of such series under this Indenture; provided, however, that no such supplemental indenture shall, without the consent of the holders of each Security then Outstanding and affected thereby, (a) extend the fixed maturity of any Securities of any series, or reduce the principal amount thereof, or reduce the rate or extend the time of payment of interest thereon, or reduce any premium payable upon the redemption thereof or (b) reduce the aforesaid percentage of Securities, the holders of which are required to consent to any such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shall not be necessary for the consent of the Securityholders of any series affected thereby under this Section to approve the particular form of any proposed supplemental indenture, but it shall be sufficient if such consent shall approve the substance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9.03 Effect of Supplemental Indentures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execution of any supplemental indenture pursuant to the provisions of this Article Nine or of Section 10.01, this Indenture shall, with respect to such series, be and be deemed to be modified and amended in accordance therewith and the respective rights, limitations of rights, obligations, duties and immunities under this Indenture of the Trustee, the Company and the holders of Securities of the series affected thereby shall thereafter be determined, exercised and enforced hereunder subject in all respects to such modifications, amendments and supplements, and all the terms and conditions of any such supplemental indenture shall be and be deemed to be part of the terms and conditions of this Indenture for any and all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9.04 Securities Affected by Supplemental Indentures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of any series affected by a supplemental indenture, authenticated and delivered after the execution of such supplemental indenture pursuant to the provisions of this Article 9 or of Section 10.01, may bear a notation in form approved by the Company, provided such form meets the requirements of any securities exchange upon which such series may be listed, as to any matter provided for in such supplemental indenture. If the Company shall so determine, new Securities of that series so modified as to conform, in the opinion of the Board of Directors, to any modification of this Indenture contained in any such supplemental indenture may be prepared by the Company, authenticated by the Trustee and delivered in exchange for the Securities of that series then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29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9.05 Execution of Supplemental Indentures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request of the Company, accompanied by its Board Resolutions authorizing the execution of any such supplemental indenture, and upon the filing with the Trustee of evidence of the consent of Securityholders required to consent thereto as aforesaid, the Trustee shall join with the Company in the execution of such supplemental indenture unless such supplemental indenture affects the Trustee’s own rights, duties or immunities under this Indenture or otherwise, in which case the Trustee may in its discretion but shall not be obligated to enter into such supplemental indenture. The Trustee, subject to the provisions of Section 7.01, shall receive an Officer’s Certificate or an Opinion of Counsel as conclusive evidence that any supplemental indenture executed pursuant to this Article is authorized or permitted by the terms of this Article and that all conditions precedent to the execution of the supplemental indenture have been complied with; provided, however, that such Officer’s Certificate or Opinion of Counsel need not be provided in connection with the execution of a supplemental indenture that establishes the terms of a series of Securities pursuant to Section 2.01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Promptly after the execution by the Company and the Trustee of any supplemental indenture pursuant to the provisions of this Section, the Company shall (or shall direct the Trustee to) send a written notice, setting forth in general terms the substance of such supplemental indenture, to the Securityholders of all series affected thereby as their names and addresses appear upon the Security Register. Any failure of the Company to send, or cause the sending of, such notice, or any defect therein, shall not, however, in any way impair or affect the validity of any such supplemental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10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SUCCESSOR ENTITY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10.01 Company May Consolidate, Etc.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contained in this Indenture shall prevent any consolidation, arrangement, amalgamation, or merger of the Company with or into any other Person (whether or not affiliated with the Company) or successive consolidations, arrangements, amalgamations, or mergers in which the Company or its successor or successors shall be a party or parties, or shall prevent any sale, conveyance, transfer or other disposition of the property of the Company or its successor or successors as an entirety, or substantially as an entirety, to any other Person (whether or not affiliated with the Company or its successor or successors); provided, however, the Company hereby covenants and agrees that, upon any such consolidation, arrangement, amalgamation, or merger (in each case, if the Company is not the survivor of such transaction) or any such sale, conveyance, transfer or other disposition (other than a sale, conveyance, transfer or other disposition to a Subsidiary of the Company), the due and punctual payment of the principal of (premium, if any) and interest on all of the Securities of all series in accordance with the terms of each series, according to their tenor, and the due and punctual performance and observance of all the covenants and conditions of this Indenture with respect to each series or established with respect to such series pursuant to Section 2.01 to be kept or performed by the Company shall be expressly assumed, by supplemental indenture (which shall conform to the provisions of the Trust Indenture Act, as then in effect) reasonably satisfactory in form to the Trustee executed and delivered to the Trustee by the entity formed by such consolidation, or into which the Company shall have been merged, or by the entity which shall have acquired such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10.02 Successor Entity Substituted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In case of any such consolidation, arrangement, amalgamation, merger, sale, conveyance, transfer or other disposition and upon the assumption by the successor entity by supplemental indenture, executed and delivered to the Trustee and satisfactory in form to the Trustee, of the obligations set forth under Section 10.01 on all of the Securities of all series Outstanding, such successor entity shall succeed to and be substituted for the Company with the same effect as if it had been named as the Company herein, and thereupon the predecessor corporation shall be relieved of all obligations and covenants under this Indenture and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In case of any such consolidation, arrangement, amalgamation, merger, sale, conveyance, transfer or other disposition, such changes in phraseology and form (but not in substance) may be made in the Securities thereafter to be issued as may be appropriate.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w:t>
      </w:r>
      <w:r>
        <w:rPr>
          <w:rFonts w:ascii="Times New Roman;Times;Serif" w:hAnsi="Times New Roman;Times;Serif"/>
          <w:b w:val="false"/>
          <w:i w:val="false"/>
          <w:caps w:val="false"/>
          <w:smallCaps w:val="false"/>
          <w:sz w:val="20"/>
        </w:rPr>
        <w:t>Nothing contained in this Article Ten shall require any action by the Company in the case of a consolidation, arrangement, amalgamation or merger of any Person into the Company where the Company is the survivor of such transaction, or the acquisition by the Company, by purchase or otherwise, of all or any part of the property of any other Person (whether or not affiliated with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30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SATISFACTION AND DISCHARGE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11.01 Satisfaction and Discharge of Indenture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at any time: (a) the Company shall have delivered to the Trustee for cancellation all Securities of a series theretofore authenticated and not delivered to the Trustee for cancellation (other than any Securities that shall have been mutilated, destroyed, lost or stolen and that shall have been replaced or paid as provided in Section 2.07 and Securities for whose payment money or Governmental Obligations have theretofore been deposited in trust or segregated and held in trust by the Company and thereupon repaid to the Company or discharged from such trust, as provided in Section 11.05); or (b) all such Securities of a particular series not theretofore delivered to the Trustee for cancellation shall have become due and payable, or are by their terms to become due and payable within one year or are to be called for redemption within one year under arrangements satisfactory to the Trustee for the giving of notice of redemption, and the Company shall deposit or cause to be deposited with the Trustee as trust funds the entire amount in moneys or Governmental Obligations or a combination thereof, sufficient in the opinion of a nationally recognized firm of independent public accountants expressed in a written certification thereof delivered to the Trustee, to pay at maturity or upon redemption all Securities of that series not theretofore delivered to the Trustee for cancellation, including principal (and premium, if any) and interest due or to become due to such date of maturity or date fixed for redemption, as the case may be, and if the Company shall also pay or cause to be paid all other sums payable hereunder with respect to such series by the Company then this Indenture shall thereupon cease to be of further effect with respect to such series except for the provisions of Sections 2.03, 2.05, 2.07, 4.01, 4.02, 4.03, 7.10, 11.05 and 13.04, that shall survive until the date of maturity or redemption date, as the case may be, and Sections 7.06 and 11.05, that shall survive to such date and thereafter, and the Trustee, on demand of the Company and at the cost and expense of the Company shall execute proper instruments acknowledging satisfaction of and discharging this Indenture with respect to such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11.02 Discharge of Obligations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at any time all such Securities of a particular series not heretofore delivered to the Trustee for cancellation or that have not become due and payable as described in Section 11.01 shall have been paid by the Company by depositing irrevocably with the Trustee as trust funds moneys or an amount of Governmental Obligations sufficient to pay at maturity or upon redemption all such Securities of that series not theretofore delivered to the Trustee for cancellation, including principal (and premium, if any) and interest due or to become due to such date of maturity or date fixed for redemption, as the case may be, and if the Company shall also pay or cause to be paid all other sums payable hereunder by the Company with respect to such series, then, after the date such moneys or Governmental Obligations, as the case may be, are deposited with the Trustee, the obligations of the Company under this Indenture with respect to such series shall cease to be of further effect except for the provisions of Sections 2.03, 2.05, 2.07, 4,01, 4.02, 4,03, 7.06, 7.10, 11.05 and 13.04 hereof that shall survive until such Securities shall mature and be paid, provided that, after such Securities shall mature and be paid, Sections 7.06 and 11.05 shall survive.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11.03 Deposited Moneys to be Held in Trust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moneys or Governmental Obligations deposited with the Trustee pursuant to Sections 11.01 or 11.02 shall be held in trust and shall be available for payment as due, either directly or through any paying agent (including the Company acting as its own paying agent), to the holders of the particular series of Securities for the payment or redemption of which such moneys or Governmental Obligations have been deposited with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11.04 Payment of Moneys Held by Paying Agents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satisfaction and discharge of this Indenture all moneys or Governmental Obligations then held by any paying agent under the provisions of this Indenture shall, upon demand of the Company, be paid to the Trustee and thereupon such paying agent shall be released from all further liability with respect to such moneys or Governmental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31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11.05 Repayment to Company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moneys or Governmental Obligations deposited with any paying agent or the Trustee, or then held by the Company, in trust for payment of principal of or premium, if any, or interest on the Securities of a particular series that are not applied but remain unclaimed by the holders of such Securities for at least two years after the date upon which the principal of (and premium, if any) or interest on such Securities shall have respectively become due and payable, or such other shorter period set forth in applicable escheat or abandoned or unclaimed property law, shall be repaid to the Company on May 31 of each year or upon the Company’s request or (if then held by the Company) shall be discharged from such trust; and thereupon the paying agent and the Trustee shall be released from all further liability with respect to such moneys or Governmental Obligations, and the holder of any of the Securities entitled to receive such payment shall thereafter, as a general creditor, look only to the Company for the payment thereof.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IMMUNITY OF INCORPORATORS, STOCKHOLDERS, OFFICERS AND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12.01 No Recourse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recourse under or upon any obligation, undertaking, covenant or agreement of this Indenture, or of any Security, or for any claim based thereon or otherwise in respect thereof, shall be had against any incorporator, founder, shareholder, officer or director, past, present or future as such, of the Company or of any predecessor or successor corporation, either directly or through the Company or any such predecessor or successor corporation, whether by virtue of any constitution, statute or rule of law, or by the enforcement of any assessment or penalty or otherwise; it being expressly understood that this Indenture and the obligations issued hereunder are solely corporate obligations, and that no such personal liability whatever shall attach to, or is or shall be incurred by, the incorporators, founders, shareholders, officers or directors as such, of the Company or of any predecessor or successor corporation, or any of them, because of the creation of the indebtedness hereby authorized, or under or by reason of the obligations, undertakings, covenants or agreements contained in this Indenture or in any of the Securities or implied therefrom; and that any and all such personal liability of every name and nature, either at common law or in equity or by constitution or statute, of, and any and all such rights and claims against, every such incorporator, founder, shareholder, officer or director as such, because of the creation of the indebtedness hereby authorized, or under or by reason of the obligations, undertakings, covenants or agreements contained in this Indenture or in any of the Securities or implied therefrom, are hereby expressly waived and released as a condition of, and as a consideration for, the execution of this Indenture and the issuance of such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13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MISCELLANEOUS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13.01 Effect on Successors and Assigns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the covenants, stipulations, promises and agreements in this Indenture made by or on behalf of the Company shall bind its successors and assigns, whether so expressed or not.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13.02 Actions by Successor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act or proceeding by any provision of this Indenture authorized or required to be done or performed by any board, committee or officer of the Company shall and may be done and performed with like force and effect by the corresponding board, committee or officer of any corporation that shall at the time be the lawful successor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32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13.03 Surrender of Company Powers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by instrument in writing executed by authority of its Board of Directors and delivered to the Trustee may surrender any of the powers reserved to the Company, and thereupon such power so surrendered shall terminate both as to the Company and as to any of its successor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13.04 Notices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expressly provided herein, any notice, request or demand that by any provision of this Indenture is required or permitted to be given, made or served by the Trustee, the Security Registrar, any paying or other agent under this Indenture or by the holders of Securities or by any other Person pursuant to this Indenture to or on the Company may be given or served by being deposited in first class mail, postage prepaid, addressed (until another address is filed in writing by the Company with the Trustee), as follows: . Any notice, election, request or demand by the Company or any Securityholder or by any other Person pursuant to this Indenture to or upon the Trustee shall be deemed to have been sufficiently given or made, for all purposes, if given or made in writing at the Corporate Trust Office of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13.05 Governing Law; Jury Trial Waiver</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Indenture and each Security shall be governed by, and construed in accordance with, the internal laws of the State of New York, except to the extent that the Trust Indenture Act is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PARTY HERETO, AND EACH HOLDER OF A SECURITY BY ACCEPTANCE THEREOF, HEREBY WAIVES, TO THE FULLEST EXTENT PERMITTED BY APPLICABLE LAW, ANY RIGHT IT MAY HAVE TO A TRIAL BY JURY IN RESPECT OF ANY LITIGATION DIRECTLY OR INDIRECTLY ARISING OUT OF, UNDER OR IN CONNECTION WITH THIS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13.06 Treatment of Securities as Debt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intended that the Securities will be treated as indebtedness and not as equity for federal income tax purposes. The provisions of this Indenture shall be interpreted to further this intention.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13.07 Certificates and Opinions as to Conditions Precedent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Upon any application or demand by the Company to the Trustee to take any action under any of the provisions of this Indenture, the Company shall furnish to the Trustee an Officer’s Certificate stating that all conditions precedent provided for in this Indenture (other than the certificate to be delivered pursuant to Section 13.12) relating to the proposed action have been complied with and, if requested, an Opinion of Counsel stating that in the opinion of such counsel all such conditions precedent have been complied with, except that in the case of any such application or demand as to which the furnishing of such documents is specifically required by any provision of this Indenture relating to such particular application or demand, no additional certificate or opinion need be furnished.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Each certificate or opinion provided for in this Indenture and delivered to the Trustee with respect to compliance with a condition or covenant in this Indenture (other than the certificate to be delivered pursuant to Section 13.12 of this Indenture or Section 314(a)(1) of the Trust Indenture Act) shall include (i) a statement that the Person making such certificate or opinion has read such covenant or condition; (ii) a brief statement as to the nature and scope of the examination or investigation upon which the statements or opinions contained in such certificate or opinion are based; (iii) a statement that, in the opinion of such Person, he has made such examination or investigation as is reasonably necessary to enable him to express an informed opinion as to whether or not such covenant or condition has been complied with; and (iv) a statement as to whether or not, in the opinion of such Person, such condition or covenant has been complied 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13.08 Payments on Business Days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provided pursuant to Section 2.01 pursuant to a Board Resolution, and set forth in an Officer’s Certificate, or established in one or more indentures supplemental to this Indenture, in any case where the date of maturity of interest or principal of any Security or the date of redemption of any Security shall not be a Business Day, then payment of interest or principal (and premium, if any) may be made on the next succeeding Business Day with the same force and effect as if made on the nominal date of maturity or redemption, and no interest shall accrue for the period after such nominal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33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13.09 Conflict with Trust Indenture Act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and to the extent that any provision of this Indenture limits, qualifies or conflicts with the duties imposed by Section 318(c) of the Trust Indenture Act, such imposed duties shall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13.10 Counterparts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Indenture may be executed in any number of counterparts, each of which shall be an original, but such counterparts shall together constitute but one and the same instrument. The exchange of copies of this Indenture and of signature pages by facsimile or PDF transmission shall constitute effective execution and delivery of this Indenture as to the parties hereto and may be used in lieu of the original Indenture for all purposes. Signatures of the parties hereto transmitted by facsimile or PDF shall be deemed to be their original signatures for all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13.11 Separability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any one or more of the provisions contained in this Indenture or in the Securities of any series shall for any reason be held to be invalid, illegal or unenforceable in any respect, such invalidity, illegality or unenforceability shall not affect any other provisions of this Indenture or of such Securities, but this Indenture and such Securities shall be construed as if such invalid or illegal or unenforceable provision had never been contained herein or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13.12 Compliance Certificates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deliver to the Trustee, within 120 days after the end of each fiscal year during which any Securities of any series were outstanding, an officer’s certificate stating whether or not the signers know of any Event of Default that occurred during such fiscal year. Such certificate shall contain a certification from the principal executive officer, principal financial officer or principal accounting officer of the Company that a review has been conducted of the activities of the Company and the Company’s performance under this Indenture and that the Company has complied with all conditions and covenants under this Indenture. For purposes of this Section 13.12, such compliance shall be determined without regard to any period of grace or requirement of notice provided under this Indenture. If the officer of the Company signing such certificate has knowledge of such an Event of Default, the certificate shall describe any such Event of Default and its status.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13.13 U.S.A Patriot Act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hereto acknowledge that in accordance with Section 326 of the U.S.A. Patriot Act, the Trustee, like all financial institutions and in order to help fight the funding of terrorism and money laundering, is required to obtain, verify, and record information that identifies each person or legal entity that establishes a relationship or opens an account with the Trustee. The parties to this Indenture agree that they will provide the Trustee with such information as it may request in order for the Trustee to satisfy the requirements of the U.S.A. Patriot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Section 13.14 Force Majeure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 event shall the Trustee, the Security Registrar, any paying agent or any other agent under this Indenture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or utilities, communications or computer (software and hardware) services; it being understood that the Trustee, the Security Registrar, any paying agent or any other agent under this Indenture shall use reasonable efforts which are consistent with accepted practices in the banking industry to resume performance as soon as practicable under the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13.15 Table of Contents; Headings.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of contents and headings of the articles and sections of this Indenture have been inserted for convenience of reference only, are not intended to be considered a part hereof, and will not modify or restrict any of the terms or provisions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sz w:val="20"/>
          <w:bdr w:val="single" w:sz="8" w:space="1" w:color="000000"/>
        </w:rPr>
      </w:pPr>
      <w:r>
        <w:rPr>
          <w:rFonts w:ascii="Times New Roman;Times;Serif" w:hAnsi="Times New Roman;Times;Serif"/>
          <w:sz w:val="20"/>
          <w:bdr w:val="single" w:sz="8" w:space="1" w:color="000000"/>
        </w:rPr>
        <w:t>34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In Witness Whereof</w:t>
      </w:r>
      <w:r>
        <w:rPr>
          <w:rFonts w:ascii="Times New Roman;Times;Serif" w:hAnsi="Times New Roman;Times;Serif"/>
          <w:b w:val="false"/>
          <w:i w:val="false"/>
          <w:caps w:val="false"/>
          <w:smallCaps w:val="false"/>
          <w:sz w:val="20"/>
        </w:rPr>
        <w:t>, the parties hereto have caused this Indenture to be duly executed all as of the day and year first above written.</w:t>
      </w:r>
    </w:p>
    <w:p>
      <w:pPr>
        <w:pStyle w:val="TextBody"/>
        <w:bidi w:val="0"/>
        <w:spacing w:before="0" w:after="0"/>
        <w:ind w:left="0" w:right="0" w:hanging="0"/>
        <w:jc w:val="left"/>
        <w:rPr>
          <w:caps w:val="false"/>
          <w:smallCaps w:val="false"/>
        </w:rPr>
      </w:pPr>
      <w:r>
        <w:rPr>
          <w:caps w:val="false"/>
          <w:smallCaps w:val="false"/>
        </w:rPr>
        <w:t> </w:t>
      </w:r>
    </w:p>
    <w:tbl>
      <w:tblPr>
        <w:tblW w:w="3334" w:type="dxa"/>
        <w:jc w:val="left"/>
        <w:tblInd w:w="0" w:type="dxa"/>
        <w:tblLayout w:type="fixed"/>
        <w:tblCellMar>
          <w:top w:w="0" w:type="dxa"/>
          <w:left w:w="0" w:type="dxa"/>
          <w:bottom w:w="0" w:type="dxa"/>
          <w:right w:w="0" w:type="dxa"/>
        </w:tblCellMar>
      </w:tblPr>
      <w:tblGrid>
        <w:gridCol w:w="75"/>
        <w:gridCol w:w="993"/>
        <w:gridCol w:w="2191"/>
        <w:gridCol w:w="75"/>
      </w:tblGrid>
      <w:tr>
        <w:trPr/>
        <w:tc>
          <w:tcPr>
            <w:tcW w:w="75" w:type="dxa"/>
            <w:tcBorders/>
            <w:vAlign w:val="center"/>
          </w:tcPr>
          <w:p>
            <w:pPr>
              <w:pStyle w:val="TableContents"/>
              <w:bidi w:val="0"/>
              <w:spacing w:before="0" w:after="283"/>
              <w:jc w:val="left"/>
              <w:rPr/>
            </w:pPr>
            <w:r>
              <w:rPr/>
              <w:t> </w:t>
            </w:r>
          </w:p>
        </w:tc>
        <w:tc>
          <w:tcPr>
            <w:tcW w:w="3184" w:type="dxa"/>
            <w:gridSpan w:val="2"/>
            <w:tcBorders/>
            <w:vAlign w:val="center"/>
          </w:tcPr>
          <w:p>
            <w:pPr>
              <w:pStyle w:val="TableContents"/>
              <w:bidi w:val="0"/>
              <w:spacing w:before="0" w:after="283"/>
              <w:jc w:val="left"/>
              <w:rPr>
                <w:rFonts w:ascii="Times New Roman;Times;Serif" w:hAnsi="Times New Roman;Times;Serif"/>
                <w:b/>
                <w:smallCaps/>
                <w:sz w:val="20"/>
              </w:rPr>
            </w:pPr>
            <w:r>
              <w:rPr>
                <w:rFonts w:ascii="Times New Roman;Times;Serif" w:hAnsi="Times New Roman;Times;Serif"/>
                <w:b/>
                <w:smallCaps/>
                <w:sz w:val="20"/>
              </w:rPr>
              <w:t>Milestone Pharmaceuticals Inc.</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18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9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191"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9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w:t>
            </w:r>
          </w:p>
        </w:tc>
        <w:tc>
          <w:tcPr>
            <w:tcW w:w="2191"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9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191"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18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184" w:type="dxa"/>
            <w:gridSpan w:val="2"/>
            <w:tcBorders/>
            <w:vAlign w:val="center"/>
          </w:tcPr>
          <w:p>
            <w:pPr>
              <w:pStyle w:val="TableContents"/>
              <w:bidi w:val="0"/>
              <w:spacing w:before="0" w:after="283"/>
              <w:jc w:val="left"/>
              <w:rPr/>
            </w:pPr>
            <w:r>
              <w:rPr>
                <w:rFonts w:ascii="Times New Roman;Times;Serif" w:hAnsi="Times New Roman;Times;Serif"/>
                <w:b/>
                <w:smallCaps/>
                <w:sz w:val="20"/>
              </w:rPr>
              <w:t>[Trustee]</w:t>
            </w:r>
            <w:r>
              <w:rPr>
                <w:rFonts w:ascii="Times New Roman;Times;Serif" w:hAnsi="Times New Roman;Times;Serif"/>
                <w:sz w:val="20"/>
              </w:rPr>
              <w:t>, as Trustee</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18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9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191"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9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191"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99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191"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CROSS-REFERENCE TABLE (1)</w:t>
      </w:r>
    </w:p>
    <w:p>
      <w:pPr>
        <w:pStyle w:val="TextBody"/>
        <w:bidi w:val="0"/>
        <w:spacing w:before="0" w:after="0"/>
        <w:ind w:left="0" w:right="0" w:hanging="0"/>
        <w:jc w:val="left"/>
        <w:rPr>
          <w:caps w:val="false"/>
          <w:smallCaps w:val="false"/>
        </w:rPr>
      </w:pPr>
      <w:r>
        <w:rPr>
          <w:caps w:val="false"/>
          <w:smallCaps w:val="false"/>
        </w:rPr>
        <w:t> </w:t>
      </w:r>
    </w:p>
    <w:tbl>
      <w:tblPr>
        <w:tblW w:w="6145" w:type="dxa"/>
        <w:jc w:val="left"/>
        <w:tblInd w:w="0" w:type="dxa"/>
        <w:tblLayout w:type="fixed"/>
        <w:tblCellMar>
          <w:top w:w="0" w:type="dxa"/>
          <w:left w:w="0" w:type="dxa"/>
          <w:bottom w:w="0" w:type="dxa"/>
          <w:right w:w="0" w:type="dxa"/>
        </w:tblCellMar>
      </w:tblPr>
      <w:tblGrid>
        <w:gridCol w:w="4355"/>
        <w:gridCol w:w="60"/>
        <w:gridCol w:w="1730"/>
      </w:tblGrid>
      <w:tr>
        <w:trPr/>
        <w:tc>
          <w:tcPr>
            <w:tcW w:w="4355"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of Trust Indenture Act of 1939, as Amended</w:t>
            </w:r>
          </w:p>
        </w:tc>
        <w:tc>
          <w:tcPr>
            <w:tcW w:w="60" w:type="dxa"/>
            <w:tcBorders/>
            <w:vAlign w:val="center"/>
          </w:tcPr>
          <w:p>
            <w:pPr>
              <w:pStyle w:val="TableContents"/>
              <w:bidi w:val="0"/>
              <w:spacing w:before="0" w:after="283"/>
              <w:jc w:val="left"/>
              <w:rPr/>
            </w:pPr>
            <w:r>
              <w:rPr/>
              <w:t> </w:t>
            </w:r>
          </w:p>
        </w:tc>
        <w:tc>
          <w:tcPr>
            <w:tcW w:w="1730"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of Indenture</w:t>
            </w:r>
          </w:p>
        </w:tc>
      </w:tr>
      <w:tr>
        <w:trPr/>
        <w:tc>
          <w:tcPr>
            <w:tcW w:w="43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310(a)</w:t>
            </w:r>
          </w:p>
        </w:tc>
        <w:tc>
          <w:tcPr>
            <w:tcW w:w="6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7.09</w:t>
            </w:r>
          </w:p>
        </w:tc>
      </w:tr>
      <w:tr>
        <w:trPr/>
        <w:tc>
          <w:tcPr>
            <w:tcW w:w="43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310(b)</w:t>
            </w:r>
          </w:p>
        </w:tc>
        <w:tc>
          <w:tcPr>
            <w:tcW w:w="6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7.08</w:t>
            </w:r>
          </w:p>
        </w:tc>
      </w:tr>
      <w:tr>
        <w:trPr/>
        <w:tc>
          <w:tcPr>
            <w:tcW w:w="43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7.10</w:t>
            </w:r>
          </w:p>
        </w:tc>
      </w:tr>
      <w:tr>
        <w:trPr/>
        <w:tc>
          <w:tcPr>
            <w:tcW w:w="43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310(c)</w:t>
            </w:r>
          </w:p>
        </w:tc>
        <w:tc>
          <w:tcPr>
            <w:tcW w:w="6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Inapplicable</w:t>
            </w:r>
          </w:p>
        </w:tc>
      </w:tr>
      <w:tr>
        <w:trPr/>
        <w:tc>
          <w:tcPr>
            <w:tcW w:w="43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311(a)</w:t>
            </w:r>
          </w:p>
        </w:tc>
        <w:tc>
          <w:tcPr>
            <w:tcW w:w="6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7.13</w:t>
            </w:r>
          </w:p>
        </w:tc>
      </w:tr>
      <w:tr>
        <w:trPr/>
        <w:tc>
          <w:tcPr>
            <w:tcW w:w="43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311(b)</w:t>
            </w:r>
          </w:p>
        </w:tc>
        <w:tc>
          <w:tcPr>
            <w:tcW w:w="6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7.13</w:t>
            </w:r>
          </w:p>
        </w:tc>
      </w:tr>
      <w:tr>
        <w:trPr/>
        <w:tc>
          <w:tcPr>
            <w:tcW w:w="43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311(c)</w:t>
            </w:r>
          </w:p>
        </w:tc>
        <w:tc>
          <w:tcPr>
            <w:tcW w:w="6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Inapplicable</w:t>
            </w:r>
          </w:p>
        </w:tc>
      </w:tr>
      <w:tr>
        <w:trPr/>
        <w:tc>
          <w:tcPr>
            <w:tcW w:w="43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312(a)</w:t>
            </w:r>
          </w:p>
        </w:tc>
        <w:tc>
          <w:tcPr>
            <w:tcW w:w="6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5.01</w:t>
            </w:r>
          </w:p>
        </w:tc>
      </w:tr>
      <w:tr>
        <w:trPr/>
        <w:tc>
          <w:tcPr>
            <w:tcW w:w="43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5.02(a)</w:t>
            </w:r>
          </w:p>
        </w:tc>
      </w:tr>
      <w:tr>
        <w:trPr/>
        <w:tc>
          <w:tcPr>
            <w:tcW w:w="43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312(b)</w:t>
            </w:r>
          </w:p>
        </w:tc>
        <w:tc>
          <w:tcPr>
            <w:tcW w:w="6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5.02(c)</w:t>
            </w:r>
          </w:p>
        </w:tc>
      </w:tr>
      <w:tr>
        <w:trPr/>
        <w:tc>
          <w:tcPr>
            <w:tcW w:w="43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312(c)</w:t>
            </w:r>
          </w:p>
        </w:tc>
        <w:tc>
          <w:tcPr>
            <w:tcW w:w="6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5.02(c)</w:t>
            </w:r>
          </w:p>
        </w:tc>
      </w:tr>
      <w:tr>
        <w:trPr/>
        <w:tc>
          <w:tcPr>
            <w:tcW w:w="43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313(a)</w:t>
            </w:r>
          </w:p>
        </w:tc>
        <w:tc>
          <w:tcPr>
            <w:tcW w:w="6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5.04(a)</w:t>
            </w:r>
          </w:p>
        </w:tc>
      </w:tr>
      <w:tr>
        <w:trPr/>
        <w:tc>
          <w:tcPr>
            <w:tcW w:w="43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313(b)</w:t>
            </w:r>
          </w:p>
        </w:tc>
        <w:tc>
          <w:tcPr>
            <w:tcW w:w="6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5.04(b)</w:t>
            </w:r>
          </w:p>
        </w:tc>
      </w:tr>
      <w:tr>
        <w:trPr/>
        <w:tc>
          <w:tcPr>
            <w:tcW w:w="43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313(c)</w:t>
            </w:r>
          </w:p>
        </w:tc>
        <w:tc>
          <w:tcPr>
            <w:tcW w:w="6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5.04(a)</w:t>
            </w:r>
          </w:p>
        </w:tc>
      </w:tr>
      <w:tr>
        <w:trPr/>
        <w:tc>
          <w:tcPr>
            <w:tcW w:w="43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5.04(b)</w:t>
            </w:r>
          </w:p>
        </w:tc>
      </w:tr>
      <w:tr>
        <w:trPr/>
        <w:tc>
          <w:tcPr>
            <w:tcW w:w="43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313(d)</w:t>
            </w:r>
          </w:p>
        </w:tc>
        <w:tc>
          <w:tcPr>
            <w:tcW w:w="6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5.04(c)</w:t>
            </w:r>
          </w:p>
        </w:tc>
      </w:tr>
      <w:tr>
        <w:trPr/>
        <w:tc>
          <w:tcPr>
            <w:tcW w:w="43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314(a)</w:t>
            </w:r>
          </w:p>
        </w:tc>
        <w:tc>
          <w:tcPr>
            <w:tcW w:w="6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5.03</w:t>
            </w:r>
          </w:p>
        </w:tc>
      </w:tr>
      <w:tr>
        <w:trPr/>
        <w:tc>
          <w:tcPr>
            <w:tcW w:w="43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13.12</w:t>
            </w:r>
          </w:p>
        </w:tc>
      </w:tr>
      <w:tr>
        <w:trPr/>
        <w:tc>
          <w:tcPr>
            <w:tcW w:w="43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314(b)</w:t>
            </w:r>
          </w:p>
        </w:tc>
        <w:tc>
          <w:tcPr>
            <w:tcW w:w="6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Inapplicable</w:t>
            </w:r>
          </w:p>
        </w:tc>
      </w:tr>
      <w:tr>
        <w:trPr/>
        <w:tc>
          <w:tcPr>
            <w:tcW w:w="43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314(c)</w:t>
            </w:r>
          </w:p>
        </w:tc>
        <w:tc>
          <w:tcPr>
            <w:tcW w:w="6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13.07(a)</w:t>
            </w:r>
          </w:p>
        </w:tc>
      </w:tr>
      <w:tr>
        <w:trPr/>
        <w:tc>
          <w:tcPr>
            <w:tcW w:w="43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314(d)</w:t>
            </w:r>
          </w:p>
        </w:tc>
        <w:tc>
          <w:tcPr>
            <w:tcW w:w="6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Inapplicable</w:t>
            </w:r>
          </w:p>
        </w:tc>
      </w:tr>
      <w:tr>
        <w:trPr/>
        <w:tc>
          <w:tcPr>
            <w:tcW w:w="43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314(e)</w:t>
            </w:r>
          </w:p>
        </w:tc>
        <w:tc>
          <w:tcPr>
            <w:tcW w:w="6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13.07(b)</w:t>
            </w:r>
          </w:p>
        </w:tc>
      </w:tr>
      <w:tr>
        <w:trPr/>
        <w:tc>
          <w:tcPr>
            <w:tcW w:w="43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314(f)</w:t>
            </w:r>
          </w:p>
        </w:tc>
        <w:tc>
          <w:tcPr>
            <w:tcW w:w="6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Inapplicable</w:t>
            </w:r>
          </w:p>
        </w:tc>
      </w:tr>
      <w:tr>
        <w:trPr/>
        <w:tc>
          <w:tcPr>
            <w:tcW w:w="43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315(a)</w:t>
            </w:r>
          </w:p>
        </w:tc>
        <w:tc>
          <w:tcPr>
            <w:tcW w:w="6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7.01(a)</w:t>
            </w:r>
          </w:p>
        </w:tc>
      </w:tr>
      <w:tr>
        <w:trPr/>
        <w:tc>
          <w:tcPr>
            <w:tcW w:w="43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7.01(b)</w:t>
            </w:r>
          </w:p>
        </w:tc>
      </w:tr>
      <w:tr>
        <w:trPr/>
        <w:tc>
          <w:tcPr>
            <w:tcW w:w="43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315(b)</w:t>
            </w:r>
          </w:p>
        </w:tc>
        <w:tc>
          <w:tcPr>
            <w:tcW w:w="6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7.14</w:t>
            </w:r>
          </w:p>
        </w:tc>
      </w:tr>
      <w:tr>
        <w:trPr/>
        <w:tc>
          <w:tcPr>
            <w:tcW w:w="43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315(c)</w:t>
            </w:r>
          </w:p>
        </w:tc>
        <w:tc>
          <w:tcPr>
            <w:tcW w:w="6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7.01</w:t>
            </w:r>
          </w:p>
        </w:tc>
      </w:tr>
      <w:tr>
        <w:trPr/>
        <w:tc>
          <w:tcPr>
            <w:tcW w:w="43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315(d)</w:t>
            </w:r>
          </w:p>
        </w:tc>
        <w:tc>
          <w:tcPr>
            <w:tcW w:w="6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7.01(b)</w:t>
            </w:r>
          </w:p>
        </w:tc>
      </w:tr>
      <w:tr>
        <w:trPr/>
        <w:tc>
          <w:tcPr>
            <w:tcW w:w="43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315(e)</w:t>
            </w:r>
          </w:p>
        </w:tc>
        <w:tc>
          <w:tcPr>
            <w:tcW w:w="6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6.07</w:t>
            </w:r>
          </w:p>
        </w:tc>
      </w:tr>
      <w:tr>
        <w:trPr/>
        <w:tc>
          <w:tcPr>
            <w:tcW w:w="43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316(a)</w:t>
            </w:r>
          </w:p>
        </w:tc>
        <w:tc>
          <w:tcPr>
            <w:tcW w:w="6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6.06</w:t>
            </w:r>
          </w:p>
        </w:tc>
      </w:tr>
      <w:tr>
        <w:trPr/>
        <w:tc>
          <w:tcPr>
            <w:tcW w:w="43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8.04</w:t>
            </w:r>
          </w:p>
        </w:tc>
      </w:tr>
      <w:tr>
        <w:trPr/>
        <w:tc>
          <w:tcPr>
            <w:tcW w:w="43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316(b)</w:t>
            </w:r>
          </w:p>
        </w:tc>
        <w:tc>
          <w:tcPr>
            <w:tcW w:w="6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6.04</w:t>
            </w:r>
          </w:p>
        </w:tc>
      </w:tr>
      <w:tr>
        <w:trPr/>
        <w:tc>
          <w:tcPr>
            <w:tcW w:w="43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316(c)</w:t>
            </w:r>
          </w:p>
        </w:tc>
        <w:tc>
          <w:tcPr>
            <w:tcW w:w="6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8.01</w:t>
            </w:r>
          </w:p>
        </w:tc>
      </w:tr>
      <w:tr>
        <w:trPr/>
        <w:tc>
          <w:tcPr>
            <w:tcW w:w="43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317(a)</w:t>
            </w:r>
          </w:p>
        </w:tc>
        <w:tc>
          <w:tcPr>
            <w:tcW w:w="6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6.02</w:t>
            </w:r>
          </w:p>
        </w:tc>
      </w:tr>
      <w:tr>
        <w:trPr/>
        <w:tc>
          <w:tcPr>
            <w:tcW w:w="43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317(b)</w:t>
            </w:r>
          </w:p>
        </w:tc>
        <w:tc>
          <w:tcPr>
            <w:tcW w:w="6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4.03</w:t>
            </w:r>
          </w:p>
        </w:tc>
      </w:tr>
      <w:tr>
        <w:trPr/>
        <w:tc>
          <w:tcPr>
            <w:tcW w:w="43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318(a)</w:t>
            </w:r>
          </w:p>
        </w:tc>
        <w:tc>
          <w:tcPr>
            <w:tcW w:w="60" w:type="dxa"/>
            <w:tcBorders/>
            <w:vAlign w:val="center"/>
          </w:tcPr>
          <w:p>
            <w:pPr>
              <w:pStyle w:val="TableContents"/>
              <w:bidi w:val="0"/>
              <w:spacing w:before="0" w:after="283"/>
              <w:jc w:val="left"/>
              <w:rPr/>
            </w:pPr>
            <w:r>
              <w:rPr/>
              <w:t> </w:t>
            </w:r>
          </w:p>
        </w:tc>
        <w:tc>
          <w:tcPr>
            <w:tcW w:w="17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13.09</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This Cross-Reference Table does not constitute part of the Indenture and shall not have any bearing on the interpretation of any of its terms or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jc w:val="left"/>
        <w:rPr/>
      </w:pPr>
      <w:bookmarkStart w:id="35" w:name="tm2614252d2_ex4-5.htm"/>
      <w:bookmarkStart w:id="36" w:name="kstm2614252d2_ex45"/>
      <w:bookmarkEnd w:id="35"/>
      <w:bookmarkEnd w:id="36"/>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4.5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Milestone Pharmaceuticals Inc.</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and</w:t>
      </w:r>
    </w:p>
    <w:p>
      <w:pPr>
        <w:pStyle w:val="TextBody"/>
        <w:bidi w:val="0"/>
        <w:spacing w:before="0" w:after="0"/>
        <w:ind w:left="0" w:right="0" w:hanging="0"/>
        <w:jc w:val="center"/>
        <w:rPr>
          <w:smallCaps/>
        </w:rPr>
      </w:pPr>
      <w:r>
        <w:rPr>
          <w:smallCaps/>
          <w:u w:val="single"/>
        </w:rPr>
        <w:t>                             </w:t>
      </w:r>
      <w:r>
        <w:rPr>
          <w:rFonts w:ascii="Times New Roman;Times;Serif" w:hAnsi="Times New Roman;Times;Serif"/>
          <w:b/>
          <w:i w:val="false"/>
          <w:smallCaps/>
          <w:sz w:val="20"/>
        </w:rPr>
        <w:t>, As Warrant Agent</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Form of Common Share</w:t>
        <w:br/>
        <w:t>Warrant Agreement</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 xml:space="preserve">Dated As Of </w:t>
      </w:r>
      <w:r>
        <w:rPr>
          <w:rFonts w:ascii="Times New Roman;Times;Serif" w:hAnsi="Times New Roman;Times;Serif"/>
          <w:b/>
          <w:i w:val="false"/>
          <w:smallCaps/>
          <w:sz w:val="20"/>
          <w:u w:val="singl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Milestone Pharmaceuticals Inc. Form of Common Share Warrant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This Common Share Warrant Agreement</w:t>
      </w:r>
      <w:r>
        <w:rPr>
          <w:rFonts w:ascii="Times New Roman;Times;Serif" w:hAnsi="Times New Roman;Times;Serif"/>
          <w:b w:val="false"/>
          <w:i w:val="false"/>
          <w:caps w:val="false"/>
          <w:smallCaps w:val="false"/>
          <w:sz w:val="20"/>
        </w:rPr>
        <w:t xml:space="preserve"> (this “</w:t>
      </w:r>
      <w:r>
        <w:rPr>
          <w:rFonts w:ascii="Times New Roman;Times;Serif" w:hAnsi="Times New Roman;Times;Serif"/>
          <w:b/>
          <w:i/>
          <w:caps w:val="false"/>
          <w:smallCaps w:val="false"/>
          <w:sz w:val="20"/>
        </w:rPr>
        <w:t>Agreement</w:t>
      </w:r>
      <w:r>
        <w:rPr>
          <w:rFonts w:ascii="Times New Roman;Times;Serif" w:hAnsi="Times New Roman;Times;Serif"/>
          <w:b w:val="false"/>
          <w:i w:val="false"/>
          <w:caps w:val="false"/>
          <w:smallCaps w:val="false"/>
          <w:sz w:val="20"/>
        </w:rPr>
        <w:t xml:space="preserve">”), dated as of [●], between </w:t>
      </w:r>
      <w:r>
        <w:rPr>
          <w:rFonts w:ascii="Times New Roman;Times;Serif" w:hAnsi="Times New Roman;Times;Serif"/>
          <w:b/>
          <w:i w:val="false"/>
          <w:caps w:val="false"/>
          <w:smallCaps w:val="false"/>
          <w:sz w:val="20"/>
        </w:rPr>
        <w:t>MILESTONE PHARMACEUTICALS INC.</w:t>
      </w:r>
      <w:r>
        <w:rPr>
          <w:rFonts w:ascii="Times New Roman;Times;Serif" w:hAnsi="Times New Roman;Times;Serif"/>
          <w:b w:val="false"/>
          <w:i w:val="false"/>
          <w:caps w:val="false"/>
          <w:smallCaps w:val="false"/>
          <w:sz w:val="20"/>
        </w:rPr>
        <w:t>, a corporation existing under the laws of the province of Québec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and [●], a [corporation] [national banking association] organized and existing under the laws of [●] and having a corporate trust office in [●], as warrant agent (the “</w:t>
      </w:r>
      <w:r>
        <w:rPr>
          <w:rFonts w:ascii="Times New Roman;Times;Serif" w:hAnsi="Times New Roman;Times;Serif"/>
          <w:b/>
          <w:i/>
          <w:caps w:val="false"/>
          <w:smallCaps w:val="false"/>
          <w:sz w:val="20"/>
        </w:rPr>
        <w:t>Warrant Agent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Whereas,</w:t>
      </w:r>
      <w:r>
        <w:rPr>
          <w:rFonts w:ascii="Times New Roman;Times;Serif" w:hAnsi="Times New Roman;Times;Serif"/>
          <w:b w:val="false"/>
          <w:i w:val="false"/>
          <w:caps w:val="false"/>
          <w:smallCaps w:val="false"/>
          <w:sz w:val="20"/>
        </w:rPr>
        <w:t xml:space="preserve"> the Company proposes to sell [If Warrants are sold with other securities —[title of such other securities being offered] (the “</w:t>
      </w:r>
      <w:r>
        <w:rPr>
          <w:rFonts w:ascii="Times New Roman;Times;Serif" w:hAnsi="Times New Roman;Times;Serif"/>
          <w:b/>
          <w:i/>
          <w:caps w:val="false"/>
          <w:smallCaps w:val="false"/>
          <w:sz w:val="20"/>
        </w:rPr>
        <w:t>Other Securities</w:t>
      </w:r>
      <w:r>
        <w:rPr>
          <w:rFonts w:ascii="Times New Roman;Times;Serif" w:hAnsi="Times New Roman;Times;Serif"/>
          <w:b w:val="false"/>
          <w:i w:val="false"/>
          <w:caps w:val="false"/>
          <w:smallCaps w:val="false"/>
          <w:sz w:val="20"/>
        </w:rPr>
        <w:t>”) with] warrant certificates evidencing one or more warrants (the “</w:t>
      </w:r>
      <w:r>
        <w:rPr>
          <w:rFonts w:ascii="Times New Roman;Times;Serif" w:hAnsi="Times New Roman;Times;Serif"/>
          <w:b/>
          <w:i/>
          <w:caps w:val="false"/>
          <w:smallCaps w:val="false"/>
          <w:sz w:val="20"/>
        </w:rPr>
        <w:t>Warrants</w:t>
      </w:r>
      <w:r>
        <w:rPr>
          <w:rFonts w:ascii="Times New Roman;Times;Serif" w:hAnsi="Times New Roman;Times;Serif"/>
          <w:b w:val="false"/>
          <w:i w:val="false"/>
          <w:caps w:val="false"/>
          <w:smallCaps w:val="false"/>
          <w:sz w:val="20"/>
        </w:rPr>
        <w:t>” or, individually, a “</w:t>
      </w:r>
      <w:r>
        <w:rPr>
          <w:rFonts w:ascii="Times New Roman;Times;Serif" w:hAnsi="Times New Roman;Times;Serif"/>
          <w:b/>
          <w:i/>
          <w:caps w:val="false"/>
          <w:smallCaps w:val="false"/>
          <w:sz w:val="20"/>
        </w:rPr>
        <w:t>Warrant</w:t>
      </w:r>
      <w:r>
        <w:rPr>
          <w:rFonts w:ascii="Times New Roman;Times;Serif" w:hAnsi="Times New Roman;Times;Serif"/>
          <w:b w:val="false"/>
          <w:i w:val="false"/>
          <w:caps w:val="false"/>
          <w:smallCaps w:val="false"/>
          <w:sz w:val="20"/>
        </w:rPr>
        <w:t>”) representing the right to purchase common shares, no par value per share, in the capital of the Company (such common shares, the “</w:t>
      </w:r>
      <w:r>
        <w:rPr>
          <w:rFonts w:ascii="Times New Roman;Times;Serif" w:hAnsi="Times New Roman;Times;Serif"/>
          <w:b/>
          <w:i/>
          <w:caps w:val="false"/>
          <w:smallCaps w:val="false"/>
          <w:sz w:val="20"/>
        </w:rPr>
        <w:t>Warrant Securities</w:t>
      </w:r>
      <w:r>
        <w:rPr>
          <w:rFonts w:ascii="Times New Roman;Times;Serif" w:hAnsi="Times New Roman;Times;Serif"/>
          <w:b w:val="false"/>
          <w:i w:val="false"/>
          <w:caps w:val="false"/>
          <w:smallCaps w:val="false"/>
          <w:sz w:val="20"/>
        </w:rPr>
        <w:t>”), such warrant certificates and other warrant certificates issued pursuant to this Agreement being herein called the “</w:t>
      </w:r>
      <w:r>
        <w:rPr>
          <w:rFonts w:ascii="Times New Roman;Times;Serif" w:hAnsi="Times New Roman;Times;Serif"/>
          <w:b/>
          <w:i/>
          <w:caps w:val="false"/>
          <w:smallCaps w:val="false"/>
          <w:sz w:val="20"/>
        </w:rPr>
        <w:t>Warrant Certificates</w:t>
      </w:r>
      <w:r>
        <w:rPr>
          <w:rFonts w:ascii="Times New Roman;Times;Serif" w:hAnsi="Times New Roman;Times;Serif"/>
          <w:b w:val="false"/>
          <w:i w:val="false"/>
          <w:caps w:val="false"/>
          <w:smallCaps w:val="false"/>
          <w:sz w:val="20"/>
        </w:rPr>
        <w: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 xml:space="preserve">Whereas, </w:t>
      </w:r>
      <w:r>
        <w:rPr>
          <w:rFonts w:ascii="Times New Roman;Times;Serif" w:hAnsi="Times New Roman;Times;Serif"/>
          <w:b w:val="false"/>
          <w:i w:val="false"/>
          <w:caps w:val="false"/>
          <w:smallCaps w:val="false"/>
          <w:sz w:val="20"/>
        </w:rPr>
        <w:t>the Company desires the Warrant Agent to act on behalf of the Company, and the Warrant Agent is willing so to act, in connection with the issuance, registration, transfer, exchange, exercise and replacement of the Warrant Certificates, and, in this Agreement, the Company wishes to set forth, among other things, the form and provisions of the Warrant Certificates and the terms and conditions on which they may be issued, registered, transferred, exchanged, exercised and replaced.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Now Therefore,</w:t>
      </w:r>
      <w:r>
        <w:rPr>
          <w:rFonts w:ascii="Times New Roman;Times;Serif" w:hAnsi="Times New Roman;Times;Serif"/>
          <w:b w:val="false"/>
          <w:i w:val="false"/>
          <w:caps w:val="false"/>
          <w:smallCaps w:val="false"/>
          <w:sz w:val="20"/>
        </w:rPr>
        <w:t xml:space="preserve"> in consideration of the premises and of the mutual agreements herein contained, the parties hereto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ISSUANCE OF WARRANTS AND EXECUTION AND</w:t>
        <w:br/>
        <w:t>DELIVERY OF WARRANT CERTIFICATES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1.1 Issuance of Warrants.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If Warrants alone</w:t>
      </w:r>
      <w:r>
        <w:rPr>
          <w:rFonts w:ascii="Times New Roman;Times;Serif" w:hAnsi="Times New Roman;Times;Serif"/>
          <w:b w:val="false"/>
          <w:i w:val="false"/>
          <w:caps w:val="false"/>
          <w:smallCaps w:val="false"/>
          <w:sz w:val="20"/>
        </w:rPr>
        <w:t xml:space="preserve"> —Upon issuance, each Warrant Certificate shall evidence one or more Warrants.] [</w:t>
      </w:r>
      <w:r>
        <w:rPr>
          <w:rFonts w:ascii="Times New Roman;Times;Serif" w:hAnsi="Times New Roman;Times;Serif"/>
          <w:b/>
          <w:i/>
          <w:caps w:val="false"/>
          <w:smallCaps w:val="false"/>
          <w:sz w:val="20"/>
        </w:rPr>
        <w:t>If Other Securities and Warrants</w:t>
      </w:r>
      <w:r>
        <w:rPr>
          <w:rFonts w:ascii="Times New Roman;Times;Serif" w:hAnsi="Times New Roman;Times;Serif"/>
          <w:b w:val="false"/>
          <w:i w:val="false"/>
          <w:caps w:val="false"/>
          <w:smallCaps w:val="false"/>
          <w:sz w:val="20"/>
        </w:rPr>
        <w:t xml:space="preserve"> —Warrant Certificates will be issued in connection with the issuance of the Other Securities but shall be separately transferable and each Warrant Certificate shall evidence one or more Warrants.] Each Warrant evidenced thereby shall represent the right, subject to the provisions contained herein and therein, to purchase one Warrant Security. [</w:t>
      </w:r>
      <w:r>
        <w:rPr>
          <w:rFonts w:ascii="Times New Roman;Times;Serif" w:hAnsi="Times New Roman;Times;Serif"/>
          <w:b/>
          <w:i/>
          <w:caps w:val="false"/>
          <w:smallCaps w:val="false"/>
          <w:sz w:val="20"/>
        </w:rPr>
        <w:t>If Other Securities and Warrants</w:t>
      </w:r>
      <w:r>
        <w:rPr>
          <w:rFonts w:ascii="Times New Roman;Times;Serif" w:hAnsi="Times New Roman;Times;Serif"/>
          <w:b w:val="false"/>
          <w:i w:val="false"/>
          <w:caps w:val="false"/>
          <w:smallCaps w:val="false"/>
          <w:sz w:val="20"/>
        </w:rPr>
        <w:t xml:space="preserve"> —Warrant Certificates will be issued with the Other Securities and each Warrant Certificate will evidence [●] Warrants for each [US$[●] principal amount] [[●] shares] of Other Securities issued.]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 Execution and Delivery of Warrant Certificates.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 xml:space="preserve">Each Warrant Certificate, whenever issued, shall be in registered form substantially in the form set forth in </w:t>
      </w:r>
      <w:r>
        <w:rPr>
          <w:rFonts w:ascii="Times New Roman;Times;Serif" w:hAnsi="Times New Roman;Times;Serif"/>
          <w:b/>
          <w:i w:val="false"/>
          <w:caps w:val="false"/>
          <w:smallCaps w:val="false"/>
          <w:sz w:val="20"/>
        </w:rPr>
        <w:t>Exhibit A</w:t>
      </w:r>
      <w:r>
        <w:rPr>
          <w:rFonts w:ascii="Times New Roman;Times;Serif" w:hAnsi="Times New Roman;Times;Serif"/>
          <w:b w:val="false"/>
          <w:i w:val="false"/>
          <w:caps w:val="false"/>
          <w:smallCaps w:val="false"/>
          <w:sz w:val="20"/>
        </w:rPr>
        <w:t xml:space="preserve"> hereto, shall be dated the date of its countersignature by the Warrant Agent and may have such letters, numbers, or other marks of identification or designation and such legends or endorsements printed, lithographed or engraved thereon as the officers of the Company executing the same may approve (execution thereof to be conclusive evidence of such approval) and as are not inconsistent with the provisions of this Agreement, or as may be required to comply with any law or with any rule or regulation made pursuant thereto or with any rule or regulation of any securities exchange on which the Warrants may be listed, or to conform to usage. The Warrant Certificates shall be signed on behalf of the Company by any of its present or future chief executive officers, presidents, senior vice presidents, vice presidents, chief financial officers, chief legal officers, treasurers, assistant treasurers, controllers, assistant controllers, secretaries or assistant secretaries, as authorized by the board of directors of the Company (the “</w:t>
      </w:r>
      <w:r>
        <w:rPr>
          <w:rFonts w:ascii="Times New Roman;Times;Serif" w:hAnsi="Times New Roman;Times;Serif"/>
          <w:b/>
          <w:i/>
          <w:caps w:val="false"/>
          <w:smallCaps w:val="false"/>
          <w:sz w:val="20"/>
        </w:rPr>
        <w:t>Board</w:t>
      </w:r>
      <w:r>
        <w:rPr>
          <w:rFonts w:ascii="Times New Roman;Times;Serif" w:hAnsi="Times New Roman;Times;Serif"/>
          <w:b w:val="false"/>
          <w:i w:val="false"/>
          <w:caps w:val="false"/>
          <w:smallCaps w:val="false"/>
          <w:sz w:val="20"/>
        </w:rPr>
        <w:t>”). Such signatures may be manual or facsimile signatures of such authorized officers and may be imprinted or otherwise reproduced on the Warrant Certificates.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No Warrant Certificate shall be valid for any purpose, and no Warrant evidenced thereby shall be exercisable, until such Warrant Certificate has been countersigned by the manual signature of the Warrant Agent. Such signature by the Warrant Agent upon any Warrant Certificate executed by the Company shall be conclusive evidence that the Warrant Certificate so countersigned has been duly issued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w:t>
      </w:r>
      <w:r>
        <w:rPr>
          <w:rFonts w:ascii="Times New Roman;Times;Serif" w:hAnsi="Times New Roman;Times;Serif"/>
          <w:b w:val="false"/>
          <w:i w:val="false"/>
          <w:caps w:val="false"/>
          <w:smallCaps w:val="false"/>
          <w:sz w:val="20"/>
        </w:rPr>
        <w:t>In case any officer of the Company who shall have signed any of the Warrant Certificates either manually or by facsimile signature shall cease for any reason to be such officer before the Warrant Certificates so signed shall have been countersigned and delivered by the Warrant Agent, such Warrant Certificates may be countersigned and delivered notwithstanding that the person who signed such Warrant Certificates ceased to be such officer of the Company; and any Warrant Certificate may be signed on behalf of the Company by such persons as, at the actual date of the execution of such Warrant Certificate, shall be the proper officers of the Company, although at the date of the execution of this Agreement any such person was not such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 </w:t>
      </w:r>
      <w:r>
        <w:rPr>
          <w:rFonts w:ascii="Times New Roman;Times;Serif" w:hAnsi="Times New Roman;Times;Serif"/>
          <w:b w:val="false"/>
          <w:i w:val="false"/>
          <w:caps w:val="false"/>
          <w:smallCaps w:val="false"/>
          <w:sz w:val="20"/>
        </w:rPr>
        <w:t>The term “</w:t>
      </w:r>
      <w:r>
        <w:rPr>
          <w:rFonts w:ascii="Times New Roman;Times;Serif" w:hAnsi="Times New Roman;Times;Serif"/>
          <w:b/>
          <w:i/>
          <w:caps w:val="false"/>
          <w:smallCaps w:val="false"/>
          <w:sz w:val="20"/>
        </w:rPr>
        <w:t>holder</w:t>
      </w:r>
      <w:r>
        <w:rPr>
          <w:rFonts w:ascii="Times New Roman;Times;Serif" w:hAnsi="Times New Roman;Times;Serif"/>
          <w:b w:val="false"/>
          <w:i w:val="false"/>
          <w:caps w:val="false"/>
          <w:smallCaps w:val="false"/>
          <w:sz w:val="20"/>
        </w:rPr>
        <w:t>” or “</w:t>
      </w:r>
      <w:r>
        <w:rPr>
          <w:rFonts w:ascii="Times New Roman;Times;Serif" w:hAnsi="Times New Roman;Times;Serif"/>
          <w:b/>
          <w:i/>
          <w:caps w:val="false"/>
          <w:smallCaps w:val="false"/>
          <w:sz w:val="20"/>
        </w:rPr>
        <w:t>holder of a Warrant Certificate</w:t>
      </w:r>
      <w:r>
        <w:rPr>
          <w:rFonts w:ascii="Times New Roman;Times;Serif" w:hAnsi="Times New Roman;Times;Serif"/>
          <w:b w:val="false"/>
          <w:i w:val="false"/>
          <w:caps w:val="false"/>
          <w:smallCaps w:val="false"/>
          <w:sz w:val="20"/>
        </w:rPr>
        <w:t>” as used herein shall mean any person in whose name at the time any Warrant Certificate shall be registered upon the books to be maintained by the Warrant Agent for that purpose.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1.3 Issuance of Warrant Certificates. </w:t>
      </w:r>
      <w:r>
        <w:rPr>
          <w:rFonts w:ascii="Times New Roman;Times;Serif" w:hAnsi="Times New Roman;Times;Serif"/>
          <w:b w:val="false"/>
          <w:i w:val="false"/>
          <w:caps w:val="false"/>
          <w:smallCaps w:val="false"/>
          <w:sz w:val="20"/>
        </w:rPr>
        <w:t>Warrant Certificates evidencing the right to purchase Warrant Securities may be executed by the Company and delivered to the Warrant Agent upon the execution of this Agreement or from time to time thereafter. The Warrant Agent shall, upon receipt of Warrant Certificates duly executed on behalf of the Company, countersign such Warrant Certificates and shall deliver such Warrant Certificates to or upon the order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WARRANT PRICE, DURATION AND EXERCISE OF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2.1 Warrant Price. </w:t>
      </w:r>
      <w:r>
        <w:rPr>
          <w:rFonts w:ascii="Times New Roman;Times;Serif" w:hAnsi="Times New Roman;Times;Serif"/>
          <w:b w:val="false"/>
          <w:i w:val="false"/>
          <w:caps w:val="false"/>
          <w:smallCaps w:val="false"/>
          <w:sz w:val="20"/>
        </w:rPr>
        <w:t>During the period specified in Section 2.2, each Warrant shall, subject to the terms of this Agreement and the applicable Warrant Certificate, entitle the holder thereof to purchase the number of Warrant Securities specified in the applicable Warrant Certificate at an exercise price of $[●] per Warrant Security, subject to adjustment upon the occurrence of certain events, as hereinafter provided. Such purchase price per Warrant Security is referred to in this Agreement as the “</w:t>
      </w:r>
      <w:r>
        <w:rPr>
          <w:rFonts w:ascii="Times New Roman;Times;Serif" w:hAnsi="Times New Roman;Times;Serif"/>
          <w:b/>
          <w:i/>
          <w:caps w:val="false"/>
          <w:smallCaps w:val="false"/>
          <w:sz w:val="20"/>
        </w:rPr>
        <w:t>Warrant Price.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2.2 Duration of Warrants. </w:t>
      </w:r>
      <w:r>
        <w:rPr>
          <w:rFonts w:ascii="Times New Roman;Times;Serif" w:hAnsi="Times New Roman;Times;Serif"/>
          <w:b w:val="false"/>
          <w:i w:val="false"/>
          <w:caps w:val="false"/>
          <w:smallCaps w:val="false"/>
          <w:sz w:val="20"/>
        </w:rPr>
        <w:t>Each Warrant may be exercised in whole or in part at any time, as specified herein, on or after [the date thereof] [●] and at or before [●] p.m., [City] time, on [●] or such later date as the Company may designate by notice to the Warrant Agent and the holders of Warrant Certificates mailed to their addresses as set forth in the record books of the Warrant Agent (the “</w:t>
      </w:r>
      <w:r>
        <w:rPr>
          <w:rFonts w:ascii="Times New Roman;Times;Serif" w:hAnsi="Times New Roman;Times;Serif"/>
          <w:b/>
          <w:i/>
          <w:caps w:val="false"/>
          <w:smallCaps w:val="false"/>
          <w:sz w:val="20"/>
        </w:rPr>
        <w:t>Expiration Date</w:t>
      </w:r>
      <w:r>
        <w:rPr>
          <w:rFonts w:ascii="Times New Roman;Times;Serif" w:hAnsi="Times New Roman;Times;Serif"/>
          <w:b w:val="false"/>
          <w:i w:val="false"/>
          <w:caps w:val="false"/>
          <w:smallCaps w:val="false"/>
          <w:sz w:val="20"/>
        </w:rPr>
        <w:t>”). Each Warrant not exercised at or before [●] p.m., [City] time, on the Expiration Date shall become void, and all rights of the holder of the Warrant Certificate evidencing such Warrant under this Agreement shall cease to have any force or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2.3 Exercise of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During the period specified in Section 2.2, the Warrants may be exercised to purchase a whole number of Warrant Securities in registered form by providing certain information as set forth on the reverse side of the Warrant Certificate and by paying in full, in lawful money of the United States of America, [in cash or by certified check or official bank check in New York Clearing House funds] [by bank wire transfer in immediately available funds] the Warrant Price for each Warrant Security with respect to which a Warrant is being exercised to the Warrant Agent at its corporate trust office, provided that such exercise is subject to receipt within five business days of such payment by the Warrant Agent of the Warrant Certificate with the form of election to purchase Warrant Securities set forth on the reverse side of the Warrant Certificate properly completed and duly executed. The date on which payment in full of the Warrant Price is received by the Warrant Agent shall, subject to receipt of the Warrant Certificate in accordance with this Section 2.3(a), be deemed to be the date on which the Warrant is exercised; provided, however, that if, at the date of receipt of such Warrant Certificates and payment in full of the Warrant Price, the transfer books for the Warrant Securities purchasable upon the exercise of such Warrants shall be closed, no such receipt of such Warrant Certificates and no such payment of such Warrant Price shall be effective to constitute the person so designated to be named as the holder of record of such Warrant Securities on such date, but shall be effective to constitute such person as the holder of record of such Warrant Securities for all purposes at the opening of business on the next succeeding day on which the transfer books for the Warrant Securities purchasable upon the exercise of such Warrants shall be opened, and the certificates for the Warrant Securities in respect of which such Warrants are then exercised shall be issuable as of the date on such next succeeding day on which the transfer books shall next be opened, and until such date the Company shall be under no duty to deliver any certificate for such Warrant Securities. The Warrant Agent shall deposit all funds received by it in payment of the Warrant Price in an account of the Company maintained with it and shall advise the Company by telephone at the end of each day on which a payment for the exercise of Warrants is received of the amount so deposited to its account. The Warrant Agent shall promptly confirm such telephone advice to the Company in writing.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The Warrant Agent shall, from time to time, as promptly as practicable, advise the Company of (i) the number of Warrant Securities with respect to which Warrants were exercised, (ii) the instructions of each holder of the Warrant Certificates evidencing such Warrants with respect to delivery of the Warrant Securities to which such holder is entitled upon such exercise, (iii) delivery of Warrant Certificates evidencing the balance, if any, of the Warrants for the remaining Warrant Securities after such exercise, and (iv) such other information as the Company shall reasonably require.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w:t>
      </w:r>
      <w:r>
        <w:rPr>
          <w:rFonts w:ascii="Times New Roman;Times;Serif" w:hAnsi="Times New Roman;Times;Serif"/>
          <w:b w:val="false"/>
          <w:i w:val="false"/>
          <w:caps w:val="false"/>
          <w:smallCaps w:val="false"/>
          <w:sz w:val="20"/>
        </w:rPr>
        <w:t>As soon as practicable after the exercise of any Warrant, the Company shall issue to or upon the order of the holder of the Warrant Certificate evidencing such Warrant the Warrant Securities to which such holder is entitled, in fully registered form, registered in such name or names as may be directed by such holder. If fewer than all of the Warrants evidenced by such Warrant Certificate are exercised, the Company shall execute, and an authorized officer of the Warrant Agent shall manually countersign and deliver, a new Warrant Certificate evidencing Warrants for the number of Warrant Securities remaining unexercised.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 </w:t>
      </w:r>
      <w:r>
        <w:rPr>
          <w:rFonts w:ascii="Times New Roman;Times;Serif" w:hAnsi="Times New Roman;Times;Serif"/>
          <w:b w:val="false"/>
          <w:i w:val="false"/>
          <w:caps w:val="false"/>
          <w:smallCaps w:val="false"/>
          <w:sz w:val="20"/>
        </w:rPr>
        <w:t>The Company shall not be required to pay any stamp or other tax or other governmental charge required to be paid in connection with any transfer involved in the issue of the Warrant Securities, and in the event that any such transfer is involved, the Company shall not be required to issue or deliver any Warrant Security until such tax or other charge shall have been paid or it has been established to the Company’s satisfaction that no such tax or other charge is due.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 </w:t>
      </w:r>
      <w:r>
        <w:rPr>
          <w:rFonts w:ascii="Times New Roman;Times;Serif" w:hAnsi="Times New Roman;Times;Serif"/>
          <w:b w:val="false"/>
          <w:i w:val="false"/>
          <w:caps w:val="false"/>
          <w:smallCaps w:val="false"/>
          <w:sz w:val="20"/>
        </w:rPr>
        <w:t>Prior to the issuance of any Warrants, there shall have been reserved, and the Company shall at all times through the Expiration Date keep reserved, out of its authorized but unissued Warrant Securities, a number of shares sufficient to provide for the exercise of the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OTHER PROVISIONS RELATING TO RIGHTS OF HOLDERS OF</w:t>
        <w:br/>
        <w:t>WARRANT CERTIFICATES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3.1 No Rights as Warrant Securityholder Conferred by Warrants or Warrant Certificates. </w:t>
      </w:r>
      <w:r>
        <w:rPr>
          <w:rFonts w:ascii="Times New Roman;Times;Serif" w:hAnsi="Times New Roman;Times;Serif"/>
          <w:b w:val="false"/>
          <w:i w:val="false"/>
          <w:caps w:val="false"/>
          <w:smallCaps w:val="false"/>
          <w:sz w:val="20"/>
        </w:rPr>
        <w:t>No Warrant Certificate or Warrant evidenced thereby shall entitle the holder thereof to any of the rights of a holder of Warrant Securities, including, without limitation, the right to receive the payment of dividends or distributions, if any, on the Warrant Securities or to exercise any voting rights, except to the extent expressly set forth in this Agreement or the applicable Warrant Certificate.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3.2 Lost, Stolen, Mutilated or Destroyed Warrant Certificates. </w:t>
      </w:r>
      <w:r>
        <w:rPr>
          <w:rFonts w:ascii="Times New Roman;Times;Serif" w:hAnsi="Times New Roman;Times;Serif"/>
          <w:b w:val="false"/>
          <w:i w:val="false"/>
          <w:caps w:val="false"/>
          <w:smallCaps w:val="false"/>
          <w:sz w:val="20"/>
        </w:rPr>
        <w:t>Upon receipt by the Warrant Agent of evidence reasonably satisfactory to it and the Company of the ownership of and the loss, theft, destruction or mutilation of any Warrant Certificate and/or indemnity reasonably satisfactory to the Warrant Agent and the Company and, in the case of mutilation, upon surrender of the mutilated Warrant Certificate to the Warrant Agent for cancellation, then, in the absence of notice to the Company or the Warrant Agent that such Warrant Certificate has been acquired by a bona fide purchaser, the Company shall execute, and an authorized officer of the Warrant Agent shall manually countersign and deliver, in exchange for or in lieu of the lost, stolen, destroyed or mutilated Warrant Certificate, a new Warrant Certificate of the same tenor and evidencing Warrants for a like number of Warrant Securities. Upon the issuance of any new Warrant Certificate under this Section 3.2, the Company may require the payment of a sum sufficient to cover any tax or other governmental charge that may be imposed in relation thereto and any other expenses (including the fees and expenses of the Warrant Agent) in connection therewith. Every substitute Warrant Certificate executed and delivered pursuant to this Section 3.2 in lieu of any lost, stolen or destroyed Warrant Certificate shall represent an additional contractual obligation of the Company, whether or not the lost, stolen or destroyed Warrant Certificate shall be at any time enforceable by anyone, and shall be entitled to the benefits of this Agreement equally and proportionately with any and all other Warrant Certificates duly executed and delivered hereunder. The provisions of this Section 3.2 are exclusive and shall preclude (to the extent lawful) all other rights and remedies with respect to the replacement of mutilated, lost, stolen or destroyed Warrant Certificates.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3.3 Holder of Warrant Certificate May Enforce Rights. </w:t>
      </w:r>
      <w:r>
        <w:rPr>
          <w:rFonts w:ascii="Times New Roman;Times;Serif" w:hAnsi="Times New Roman;Times;Serif"/>
          <w:b w:val="false"/>
          <w:i w:val="false"/>
          <w:caps w:val="false"/>
          <w:smallCaps w:val="false"/>
          <w:sz w:val="20"/>
        </w:rPr>
        <w:t>Notwithstanding any of the provisions of this Agreement, any holder of a Warrant Certificate, without the consent of the Warrant Agent, the holder of any Warrant Securities or the holder of any other Warrant Certificate, may, in such holder’s own behalf and for such holder’s own benefit, enforce, and may institute and maintain any suit, action or proceeding against the Company suitable to enforce, or otherwise in respect of, such holder’s right to exercise the Warrants evidenced by such holder’s Warrant Certificate in the manner provided in such holder’s Warrant Certificate and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3.4 Adjustments.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In case the Company shall at any time subdivide its issued and outstanding Warrant Securities into a greater number of shares, the Warrant Price in effect immediately prior to such subdivision shall be proportionately reduced and the number of Warrant Securities purchasable under the Warrants shall be proportionately increased. Conversely, in case the issued and outstanding Warrant Securities shall be consolidated into a smaller number of shares, the Warrant Price in effect immediately prior to such consolidation shall be proportionately increased and the number of Warrant Securities purchasable under the Warrants shall be proportionately decreased.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If at any time or from time to time the holders of Warrant Securities (or any shares or other securities at the time receivable upon the exercise of the Warrants) shall have received or become entitled to receive, without payment therefor,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 </w:t>
      </w:r>
      <w:r>
        <w:rPr>
          <w:rFonts w:ascii="Times New Roman;Times;Serif" w:hAnsi="Times New Roman;Times;Serif"/>
          <w:b w:val="false"/>
          <w:i w:val="false"/>
          <w:caps w:val="false"/>
          <w:smallCaps w:val="false"/>
          <w:sz w:val="20"/>
        </w:rPr>
        <w:t>the Warrant Securities or any shares or other securities which are at any time directly or indirectly convertible into or exchangeable for the Warrant Securities, or any rights or options to subscribe for, purchase or otherwise acquire any of the foregoing by way of dividend or other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(ii) </w:t>
      </w:r>
      <w:r>
        <w:rPr>
          <w:rFonts w:ascii="Times New Roman;Times;Serif" w:hAnsi="Times New Roman;Times;Serif"/>
          <w:b w:val="false"/>
          <w:i w:val="false"/>
          <w:caps w:val="false"/>
          <w:smallCaps w:val="false"/>
          <w:sz w:val="20"/>
        </w:rPr>
        <w:t>any cash paid or payable otherwise than as a cash dividend paid or payable out of the Company’s current or retained earnings;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(iii) </w:t>
      </w:r>
      <w:r>
        <w:rPr>
          <w:rFonts w:ascii="Times New Roman;Times;Serif" w:hAnsi="Times New Roman;Times;Serif"/>
          <w:b w:val="false"/>
          <w:i w:val="false"/>
          <w:caps w:val="false"/>
          <w:smallCaps w:val="false"/>
          <w:sz w:val="20"/>
        </w:rPr>
        <w:t>any evidence of the Company’s indebtedness or rights to subscribe for or purchase the Company’s indebtedness;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(iv) </w:t>
      </w:r>
      <w:r>
        <w:rPr>
          <w:rFonts w:ascii="Times New Roman;Times;Serif" w:hAnsi="Times New Roman;Times;Serif"/>
          <w:b w:val="false"/>
          <w:i w:val="false"/>
          <w:caps w:val="false"/>
          <w:smallCaps w:val="false"/>
          <w:sz w:val="20"/>
        </w:rPr>
        <w:t>the Warrant Securities or additional shares or other securities or property (including cash) by way of spinoff, split-up, reclassification, consolidation of shares or similar corporate reorganization (other than Warrant Securities issued as a share split or adjustments in respect of which shall be covered by the terms of Section 3.4(a) above), then and in each such case, the holder of each Warrant shall, upon the exercise of the Warrant, be entitled to receive, in addition to the number of Warrant Securities receivable thereupon, and without payment of any additional consideration therefore, the amount of shares and other securities and property (including cash and indebtedness or rights to subscribe for or purchase indebtedness) which such holder would hold on the date of such exercise had such holder been the holder of record of such Warrant Securities as of the date on which holders of the Warrant Securities received or became entitled to receive such shares or all other additional shares and other securities and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w:t>
      </w:r>
      <w:r>
        <w:rPr>
          <w:rFonts w:ascii="Times New Roman;Times;Serif" w:hAnsi="Times New Roman;Times;Serif"/>
          <w:b w:val="false"/>
          <w:i w:val="false"/>
          <w:caps w:val="false"/>
          <w:smallCaps w:val="false"/>
          <w:sz w:val="20"/>
        </w:rPr>
        <w:t>In case of (i) any reclassification, capital reorganization, or change in the Warrant Securities (other than as a result of a subdivision, consolidation, or stock dividend provided for in Section 3.4(a) or Section 3.4(b) above), (ii) share exchange, amalgamation, merger or similar transaction of the Company with or into another person or entity (other than a share exchange, amalgamation, merger or similar transaction in which the Company is the acquiring or surviving corporation and which does not result in any change in the Warrant Securities other than the issuance of additional Warrant Securities) or (iii) the sale, exchange, lease, transfer or other disposition of all or substantially all of the properties and assets of the Company as an entirety (in any such case, a “</w:t>
      </w:r>
      <w:r>
        <w:rPr>
          <w:rFonts w:ascii="Times New Roman;Times;Serif" w:hAnsi="Times New Roman;Times;Serif"/>
          <w:b/>
          <w:i/>
          <w:caps w:val="false"/>
          <w:smallCaps w:val="false"/>
          <w:sz w:val="20"/>
        </w:rPr>
        <w:t>Reorganization Event</w:t>
      </w:r>
      <w:r>
        <w:rPr>
          <w:rFonts w:ascii="Times New Roman;Times;Serif" w:hAnsi="Times New Roman;Times;Serif"/>
          <w:b w:val="false"/>
          <w:i w:val="false"/>
          <w:caps w:val="false"/>
          <w:smallCaps w:val="false"/>
          <w:sz w:val="20"/>
        </w:rPr>
        <w:t xml:space="preserve">”), then, as a condition of such Reorganization Event, lawful provisions shall be made, and duly executed documents evidencing the same from the Company, its successor or assignee shall be delivered to the holders of the Warrants, so that the holders of the Warrants shall have the right at any time prior to the expiration of the Warrants to purchase, at a total price equal to that payable upon the exercise of the Warrants, the kind and amount of shares and other securities and property receivable in connection with such Reorganization Event by a holder of the same number of Warrant Securities as were purchasable by the holders of the Warrants immediately prior to such Reorganization Event. In any such case appropriate provisions shall be made with respect to the rights and interests of the holders of the Warrants so that the provisions hereof shall thereafter be applicable with respect to any shares or other securities and property deliverable upon exercise the Warrants, and appropriate adjustments shall be made to the Warrant Price payable hereunder provided the aggregate purchase price shall remain the same. In the case of any transaction described in clauses (ii) or (iii) above (other than in the case of an amalgamation in accordance with the </w:t>
      </w:r>
      <w:r>
        <w:rPr>
          <w:rFonts w:ascii="Times New Roman;Times;Serif" w:hAnsi="Times New Roman;Times;Serif"/>
          <w:b w:val="false"/>
          <w:i/>
          <w:caps w:val="false"/>
          <w:smallCaps w:val="false"/>
          <w:sz w:val="20"/>
        </w:rPr>
        <w:t>Business Corporations Act</w:t>
      </w:r>
      <w:r>
        <w:rPr>
          <w:rFonts w:ascii="Times New Roman;Times;Serif" w:hAnsi="Times New Roman;Times;Serif"/>
          <w:b w:val="false"/>
          <w:i w:val="false"/>
          <w:caps w:val="false"/>
          <w:smallCaps w:val="false"/>
          <w:sz w:val="20"/>
        </w:rPr>
        <w:t xml:space="preserve"> (Québec), the Company shall thereupon be relieved of any further obligation hereunder or under the Warrants, and the Company as the predecessor corporation may thereupon or at any time thereafter be dissolved, wound up or liquidated. Such successor or assuming entity thereupon may cause to be signed, and may issue either in its own name or in the name of the Company, any or all of the Warrants issuable hereunder which heretofore shall not have been signed by the Company, and may execute and deliver securities in its own name, in fulfillment of its obligations to deliver Warrant Securities upon exercise of the Warrants. All the Warrants so issued shall in all respects have the same legal rank and benefit under this Agreement as the Warrants theretofore or thereafter issued in accordance with the terms of this Agreement as though all of such Warrants had been issued at the date of the execution hereof. In any case of any such Reorganization Event, such changes in phraseology and form (but not in substance) may be made in the Warrants thereafter to be issued as may be appropriate. The Warrant Agent may receive a written opinion of legal counsel as conclusive evidence that any such Reorganization Event complies with the provisions of this Section 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 </w:t>
      </w:r>
      <w:r>
        <w:rPr>
          <w:rFonts w:ascii="Times New Roman;Times;Serif" w:hAnsi="Times New Roman;Times;Serif"/>
          <w:b w:val="false"/>
          <w:i w:val="false"/>
          <w:caps w:val="false"/>
          <w:smallCaps w:val="false"/>
          <w:sz w:val="20"/>
        </w:rPr>
        <w:t>The Company may, at its option, at any time until the Expiration Date, reduce the then current Warrant Price to any amount deemed appropriate by the Board for any period not exceeding twenty consecutive days (as evidenced in a resolution adopted by such Board), but only upon giving the notices required by Section 3.5 at least ten days prior to taking such 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 </w:t>
      </w:r>
      <w:r>
        <w:rPr>
          <w:rFonts w:ascii="Times New Roman;Times;Serif" w:hAnsi="Times New Roman;Times;Serif"/>
          <w:b w:val="false"/>
          <w:i w:val="false"/>
          <w:caps w:val="false"/>
          <w:smallCaps w:val="false"/>
          <w:sz w:val="20"/>
        </w:rPr>
        <w:t>Except as herein otherwise expressly provided, no adjustment in the Warrant Price shall be made by reason of the issuance of Warrant Securities, or securities convertible into or exchangeable for Warrant Securities, or securities carrying the right to purchase any of the foregoing or for any other reason whatsoever.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 </w:t>
      </w:r>
      <w:r>
        <w:rPr>
          <w:rFonts w:ascii="Times New Roman;Times;Serif" w:hAnsi="Times New Roman;Times;Serif"/>
          <w:b w:val="false"/>
          <w:i w:val="false"/>
          <w:caps w:val="false"/>
          <w:smallCaps w:val="false"/>
          <w:sz w:val="20"/>
        </w:rPr>
        <w:t>No fractional Warrant Securities shall be issued upon the exercise of Warrants. If more than one Warrant shall be exercised at one time by the same holder, the number of whole Warrant Securities, which shall be issuable upon such exercise, shall be computed on the basis of the aggregate number of Warrant Securities purchased pursuant to the Warrants so exercised. Instead of any fractional Warrant Security which would otherwise be issuable upon exercise of any Warrant, the Company shall pay a cash adjustment in respect of such fraction in an amount equal to the same fraction of the last reported sale price (or bid price if there were no sales) per Warrant Security, in either case as reported on the principal registered national securities exchange on which the Warrant Securities are listed or admitted to trading on the business day that next precedes the day of exercise or, if the Warrant Securities are not then listed or admitted to trading on any registered national securities exchange, the average of the closing high bid and low asked prices as reported on the OTC Bulletin Board Service (the “</w:t>
      </w:r>
      <w:r>
        <w:rPr>
          <w:rFonts w:ascii="Times New Roman;Times;Serif" w:hAnsi="Times New Roman;Times;Serif"/>
          <w:b/>
          <w:i/>
          <w:caps w:val="false"/>
          <w:smallCaps w:val="false"/>
          <w:sz w:val="20"/>
        </w:rPr>
        <w:t>OTC Bulletin Board</w:t>
      </w:r>
      <w:r>
        <w:rPr>
          <w:rFonts w:ascii="Times New Roman;Times;Serif" w:hAnsi="Times New Roman;Times;Serif"/>
          <w:b w:val="false"/>
          <w:i w:val="false"/>
          <w:caps w:val="false"/>
          <w:smallCaps w:val="false"/>
          <w:sz w:val="20"/>
        </w:rPr>
        <w:t>”) operated by the Financial Industry Regulatory Authority, Inc. (“</w:t>
      </w:r>
      <w:r>
        <w:rPr>
          <w:rFonts w:ascii="Times New Roman;Times;Serif" w:hAnsi="Times New Roman;Times;Serif"/>
          <w:b/>
          <w:i/>
          <w:caps w:val="false"/>
          <w:smallCaps w:val="false"/>
          <w:sz w:val="20"/>
        </w:rPr>
        <w:t>FINRA</w:t>
      </w:r>
      <w:r>
        <w:rPr>
          <w:rFonts w:ascii="Times New Roman;Times;Serif" w:hAnsi="Times New Roman;Times;Serif"/>
          <w:b w:val="false"/>
          <w:i w:val="false"/>
          <w:caps w:val="false"/>
          <w:smallCaps w:val="false"/>
          <w:sz w:val="20"/>
        </w:rPr>
        <w:t>” ) or, if not available on the OTC Bulletin Board, then the average of the closing high bid and low asked prices as reported on any other U.S. quotation medium or inter-dealer quotation system on such date, or if on any such date the Warrant Securities are not listed or admitted to trading on a registered national securities exchange, are not included in the OTC Bulletin Board, and are not quoted on any other U.S. quotation medium or inter-dealer quotation system, an amount equal to the same fraction of the average of the closing bid and asked prices as furnished by any FINRA member firm selected from time to time by the Company for that purpose at the close of business on the business day that next precedes the day of exercise.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 </w:t>
      </w:r>
      <w:r>
        <w:rPr>
          <w:rFonts w:ascii="Times New Roman;Times;Serif" w:hAnsi="Times New Roman;Times;Serif"/>
          <w:b w:val="false"/>
          <w:i w:val="false"/>
          <w:caps w:val="false"/>
          <w:smallCaps w:val="false"/>
          <w:sz w:val="20"/>
        </w:rPr>
        <w:t>Whenever the Warrant Price then in effect is adjusted as herein provided, the Company shall mail to each holder of the Warrants at such holder’s address as it shall appear on the books of the Company a statement setting forth the adjusted Warrant Price then and thereafter effective under the provisions hereof, together with the facts, in reasonable detail, upon which such adjustment is based.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(h) </w:t>
      </w:r>
      <w:r>
        <w:rPr>
          <w:rFonts w:ascii="Times New Roman;Times;Serif" w:hAnsi="Times New Roman;Times;Serif"/>
          <w:b w:val="false"/>
          <w:i w:val="false"/>
          <w:caps w:val="false"/>
          <w:smallCaps w:val="false"/>
          <w:sz w:val="20"/>
        </w:rPr>
        <w:t>Notwithstanding anything to the contrary herein, in no event shall the Warrant Price, as adjusted in accordance with the terms hereof, be less than the par value per Warrant Security (if the Warrant Security has par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3.5 Notice to Warrantholders. </w:t>
      </w:r>
      <w:r>
        <w:rPr>
          <w:rFonts w:ascii="Times New Roman;Times;Serif" w:hAnsi="Times New Roman;Times;Serif"/>
          <w:b w:val="false"/>
          <w:i w:val="false"/>
          <w:caps w:val="false"/>
          <w:smallCaps w:val="false"/>
          <w:sz w:val="20"/>
        </w:rPr>
        <w:t>In case the Company shall (a) effect any dividend or distribution described in Section 3.4(b), (b) effect any Reorganization Event, (c) make any distribution on or in respect of the Warrant Securities in connection with the dissolution, liquidation or winding up of the Company, or (d) reduce the then current Warrant Price pursuant to Section 3.4(d), then the Company shall mail to each holder of Warrants at such holder’s address as it shall appear on the books of the Warrant Agent, at least ten days prior to the applicable date hereinafter specified, a notice stating (x) the record date for such dividend or distribution, or, if a record is not to be taken, the date as of which the holders of record of Warrant Securities that will be entitled to such dividend or distribution are to be determined, (y) the date on which such Reorganization Event, dissolution, liquidation or winding up is expected to become effective, and the date as of which it is expected that holders of Warrant Securities of record shall be entitled to exchange their Warrant Securities for securities or other property deliverable upon such Reorganization Event, dissolution, liquidation or winding up, or (z) the first date on which the then current Warrant Price shall be reduced pursuant to Section 3.4(d). No failure to mail such notice nor any defect therein or in the mailing thereof shall affect any such transaction or any adjustment in the Warrant Price required by Section 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3.6 </w:t>
      </w:r>
      <w:r>
        <w:rPr>
          <w:rFonts w:ascii="Times New Roman;Times;Serif" w:hAnsi="Times New Roman;Times;Serif"/>
          <w:b w:val="false"/>
          <w:i w:val="false"/>
          <w:caps w:val="false"/>
          <w:smallCaps w:val="false"/>
          <w:sz w:val="20"/>
        </w:rPr>
        <w:t>[If the Warrants are Subject to Acceleration by the Company, Insert — Acceleration of Warrants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At any time on or after [●], the Company shall have the right to accelerate any or all Warrants at any time by causing them to expire at the close of business on the day next preceding a specified date (the “</w:t>
      </w:r>
      <w:r>
        <w:rPr>
          <w:rFonts w:ascii="Times New Roman;Times;Serif" w:hAnsi="Times New Roman;Times;Serif"/>
          <w:b/>
          <w:i/>
          <w:caps w:val="false"/>
          <w:smallCaps w:val="false"/>
          <w:sz w:val="20"/>
        </w:rPr>
        <w:t>Acceleration Date</w:t>
      </w:r>
      <w:r>
        <w:rPr>
          <w:rFonts w:ascii="Times New Roman;Times;Serif" w:hAnsi="Times New Roman;Times;Serif"/>
          <w:b w:val="false"/>
          <w:i w:val="false"/>
          <w:caps w:val="false"/>
          <w:smallCaps w:val="false"/>
          <w:sz w:val="20"/>
        </w:rPr>
        <w:t>”), if the Market Price (as hereinafter defined) of the Warrant Securities equals or exceeds [●] percent ([●]%) of the then effective Warrant Price on any twenty Trading Days (as hereinafter defined) within a period of thirty consecutive Trading Days ending no more than five Trading Days prior to the date on which the Company gives notice to the Warrant Agent of its election to accelerate the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Market Price</w:t>
      </w:r>
      <w:r>
        <w:rPr>
          <w:rFonts w:ascii="Times New Roman;Times;Serif" w:hAnsi="Times New Roman;Times;Serif"/>
          <w:b w:val="false"/>
          <w:i w:val="false"/>
          <w:caps w:val="false"/>
          <w:smallCaps w:val="false"/>
          <w:sz w:val="20"/>
        </w:rPr>
        <w:t>” for each Trading Day shall be, if the Warrant Security is listed or admitted to trading on any registered national securities exchange, the last reported sale price, regular way (or, if no such price is reported, the average of the reported closing bid and asked prices, regular way) of one Warrant Security, in either case as reported on the principal registered national securities exchange on which the Warrant Security is listed or admitted to trading or, if not listed or admitted to trading on any registered national securities exchange, the average of the closing high bid and low asked prices as reported on the OTC Bulletin Board operated by FINRA, or if not available on the OTC Bulletin Board, then the average of the closing high bid and low asked prices as reported on any other U.S. quotation medium or inter-dealer quotation system, or if on any such date the Warrant Securities are not listed or admitted to trading on a registered national securities exchange, are not included in the OTC Bulletin Board, and are not quoted on any other U.S. quotation medium or inter-dealer quotation system, the average of the closing bid and asked prices as furnished by any FINRA member firm selected from time to time by the Company for that purpose. “</w:t>
      </w:r>
      <w:r>
        <w:rPr>
          <w:rFonts w:ascii="Times New Roman;Times;Serif" w:hAnsi="Times New Roman;Times;Serif"/>
          <w:b/>
          <w:i/>
          <w:caps w:val="false"/>
          <w:smallCaps w:val="false"/>
          <w:sz w:val="20"/>
        </w:rPr>
        <w:t>Trading Day</w:t>
      </w:r>
      <w:r>
        <w:rPr>
          <w:rFonts w:ascii="Times New Roman;Times;Serif" w:hAnsi="Times New Roman;Times;Serif"/>
          <w:b w:val="false"/>
          <w:i w:val="false"/>
          <w:caps w:val="false"/>
          <w:smallCaps w:val="false"/>
          <w:sz w:val="20"/>
        </w:rPr>
        <w:t>” shall be each Monday through Friday, other than any day on which securities are not traded in the system or on the exchange that is the principal market for the Warrant Securities, as determined by the Board. In the event of an acceleration of less than all of the Warrants, the Warrant Agent shall select the Warrants to be accelerated by lot, pro rata or in such other manner as it deems, in its discretion, to be fair and appropriate.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w:t>
      </w:r>
      <w:r>
        <w:rPr>
          <w:rFonts w:ascii="Times New Roman;Times;Serif" w:hAnsi="Times New Roman;Times;Serif"/>
          <w:b w:val="false"/>
          <w:i w:val="false"/>
          <w:caps w:val="false"/>
          <w:smallCaps w:val="false"/>
          <w:sz w:val="20"/>
        </w:rPr>
        <w:t>Notice of an acceleration specifying the Acceleration Date shall be sent by mail first class, postage prepaid, to each registered holder of a Warrant Certificate representing a Warrant accelerated at such holder’s address appearing on the books of the Warrant Agent not more than sixty days nor less than thirty days before the Acceleration Date. Such notice of an acceleration also shall be given no more than twenty days, and no less than ten days, prior to the mailing of notice to registered holders of Warrants pursuant to this Section 3.6, by publication at least once in a newspaper of general circulation in the City of New York.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 </w:t>
      </w:r>
      <w:r>
        <w:rPr>
          <w:rFonts w:ascii="Times New Roman;Times;Serif" w:hAnsi="Times New Roman;Times;Serif"/>
          <w:b w:val="false"/>
          <w:i w:val="false"/>
          <w:caps w:val="false"/>
          <w:smallCaps w:val="false"/>
          <w:sz w:val="20"/>
        </w:rPr>
        <w:t>Any Warrant accelerated may be exercised until [●] p.m., [City] time, on the business day next preceding the Acceleration Date. The Warrant Price shall be payable as provided in Article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EXCHANGE AND TRANSFER OF WARRANT CERTIFICATES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4.1 Exchange and Transfer of Warrant Certificates. </w:t>
      </w:r>
      <w:r>
        <w:rPr>
          <w:rFonts w:ascii="Times New Roman;Times;Serif" w:hAnsi="Times New Roman;Times;Serif"/>
          <w:b w:val="false"/>
          <w:i w:val="false"/>
          <w:caps w:val="false"/>
          <w:smallCaps w:val="false"/>
          <w:sz w:val="20"/>
        </w:rPr>
        <w:t>Upon surrender at the corporate trust office of the Warrant Agent, Warrant Certificates evidencing Warrants may be exchanged for Warrant Certificates in other denominations evidencing such Warrants or the transfer thereof may be registered in whole or in part; provided that such other Warrant Certificates evidence Warrants for the same aggregate number of Warrant Securities as the Warrant Certificates so surrendered. The Warrant Agent shall keep, at its corporate trust office, books in which, subject to such reasonable regulations as it may prescribe, it shall register Warrant Certificates and exchanges and transfers of outstanding Warrant Certificates, upon surrender of the Warrant Certificates to the Warrant Agent at its corporate trust office for exchange or registration of transfer, properly endorsed or accompanied by appropriate instruments of registration of transfer and written instructions for transfer, all in form satisfactory to the Company and the Warrant Agent. No service charge shall be made for any exchange or registration of transfer of Warrant Certificates, but the Company may require payment of a sum sufficient to cover any stamp or other tax or other governmental charge that may be imposed in connection with any such exchange or registration of transfer. Whenever any Warrant Certificates are so surrendered for exchange or registration of transfer, an authorized officer of the Warrant Agent shall manually countersign and deliver to the person or persons entitled thereto a Warrant Certificate or Warrant Certificates duly authorized and executed by the Company, as so requested. The Warrant Agent shall not be required to effect any exchange or registration of transfer which will result in the issuance of a Warrant Certificate evidencing a Warrant for a fraction of a Warrant Security or a number of Warrants for a whole number of Warrant Securities and a fraction of a Warrant Security. All Warrant Certificates issued upon any exchange or registration of transfer of Warrant Certificates shall be the valid obligations of the Company, evidencing the same obligations and entitled to the same benefits under this Agreement as the Warrant Certificate surrendered for such exchange or registration of transfer.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4.2 Treatment of Holders of Warrant Certificates. </w:t>
      </w:r>
      <w:r>
        <w:rPr>
          <w:rFonts w:ascii="Times New Roman;Times;Serif" w:hAnsi="Times New Roman;Times;Serif"/>
          <w:b w:val="false"/>
          <w:i w:val="false"/>
          <w:caps w:val="false"/>
          <w:smallCaps w:val="false"/>
          <w:sz w:val="20"/>
        </w:rPr>
        <w:t>The Company, the Warrant Agent and all other persons may treat the registered holder of a Warrant Certificate as the absolute owner thereof for any purpose and as the person entitled to exercise the rights represented by the Warrants evidenced thereby, any notice to the contrary notwithstanding.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4.3 Cancellation of Warrant Certificates. </w:t>
      </w:r>
      <w:r>
        <w:rPr>
          <w:rFonts w:ascii="Times New Roman;Times;Serif" w:hAnsi="Times New Roman;Times;Serif"/>
          <w:b w:val="false"/>
          <w:i w:val="false"/>
          <w:caps w:val="false"/>
          <w:smallCaps w:val="false"/>
          <w:sz w:val="20"/>
        </w:rPr>
        <w:t>Any Warrant Certificate surrendered for exchange, registration of transfer or exercise of the Warrants evidenced thereby shall, if surrendered to the Company, be delivered to the Warrant Agent and all Warrant Certificates surrendered or so delivered to the Warrant Agent shall be promptly canceled by the Warrant Agent and shall not be reissued and, except as expressly permitted by this Agreement, no Warrant Certificate shall be issued hereunder in exchange therefor or in lieu thereof. The Warrant Agent shall deliver to the Company from time to time or otherwise dispose of canceled Warrant Certificates in a manner satisfactory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CONCERNING THE WARRANT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5.1 Warrant Agent. </w:t>
      </w:r>
      <w:r>
        <w:rPr>
          <w:rFonts w:ascii="Times New Roman;Times;Serif" w:hAnsi="Times New Roman;Times;Serif"/>
          <w:b w:val="false"/>
          <w:i w:val="false"/>
          <w:caps w:val="false"/>
          <w:smallCaps w:val="false"/>
          <w:sz w:val="20"/>
        </w:rPr>
        <w:t>The Company hereby appoints [●] as Warrant Agent of the Company in respect of the Warrants and the Warrant Certificates upon the terms and subject to the conditions herein set forth, and [●] hereby accepts such appointment. The Warrant Agent shall have the powers and authority granted to and conferred upon it in the Warrant Certificates and hereby and such further powers and authority to act on behalf of the Company as the Company may hereafter grant to or confer upon it. All of the terms and provisions with respect to such powers and authority contained in the Warrant Certificates are subject to and governed by the terms and provisions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5.2 Conditions of Warrant Agent’s Obligations. </w:t>
      </w:r>
      <w:r>
        <w:rPr>
          <w:rFonts w:ascii="Times New Roman;Times;Serif" w:hAnsi="Times New Roman;Times;Serif"/>
          <w:b w:val="false"/>
          <w:i w:val="false"/>
          <w:caps w:val="false"/>
          <w:smallCaps w:val="false"/>
          <w:sz w:val="20"/>
        </w:rPr>
        <w:t>The Warrant Agent accepts its obligations herein set forth upon the terms and conditions hereof, including the following to all of which the Company agrees and to all of which the rights hereunder of the holders from time to time of the Warrant Certificates shall be subject: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Compensation and Indemnification. </w:t>
      </w:r>
      <w:r>
        <w:rPr>
          <w:rFonts w:ascii="Times New Roman;Times;Serif" w:hAnsi="Times New Roman;Times;Serif"/>
          <w:b w:val="false"/>
          <w:i w:val="false"/>
          <w:caps w:val="false"/>
          <w:smallCaps w:val="false"/>
          <w:sz w:val="20"/>
        </w:rPr>
        <w:t>The Company agrees promptly to pay the Warrant Agent the compensation to be agreed upon with the Company for all services rendered by the Warrant Agent and to reimburse the Warrant Agent for reasonable out-of-pocket expenses (including reasonable counsel fees) incurred without negligence, bad faith or willful misconduct by the Warrant Agent in connection with the services rendered hereunder by the Warrant Agent. The Company also agrees to indemnify the Warrant Agent for, and to hold it harmless against, any loss, liability or expense incurred without negligence, bad faith or willful misconduct on the part of the Warrant Agent, arising out of or in connection with its acting as Warrant Agent hereunder, including the reasonable costs and expenses of defending against any claim of such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 Agent for the Company. </w:t>
      </w:r>
      <w:r>
        <w:rPr>
          <w:rFonts w:ascii="Times New Roman;Times;Serif" w:hAnsi="Times New Roman;Times;Serif"/>
          <w:b w:val="false"/>
          <w:i w:val="false"/>
          <w:caps w:val="false"/>
          <w:smallCaps w:val="false"/>
          <w:sz w:val="20"/>
        </w:rPr>
        <w:t>In acting under this Agreement and in connection with the Warrant Certificates, the Warrant Agent is acting solely as agent of the Company and does not assume any obligations or relationship of agency or trust for or with any of the holders of Warrant Certificates or beneficial owners of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 Counsel. </w:t>
      </w:r>
      <w:r>
        <w:rPr>
          <w:rFonts w:ascii="Times New Roman;Times;Serif" w:hAnsi="Times New Roman;Times;Serif"/>
          <w:b w:val="false"/>
          <w:i w:val="false"/>
          <w:caps w:val="false"/>
          <w:smallCaps w:val="false"/>
          <w:sz w:val="20"/>
        </w:rPr>
        <w:t>The Warrant Agent may consult with counsel satisfactory to it, which may include counsel for the Company, and the written advice of such counsel shall be full and complete authorization and protection in respect of any action taken, suffered or omitted by it hereunder in good faith and in accordance with the advice of such counsel.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 Documents. </w:t>
      </w:r>
      <w:r>
        <w:rPr>
          <w:rFonts w:ascii="Times New Roman;Times;Serif" w:hAnsi="Times New Roman;Times;Serif"/>
          <w:b w:val="false"/>
          <w:i w:val="false"/>
          <w:caps w:val="false"/>
          <w:smallCaps w:val="false"/>
          <w:sz w:val="20"/>
        </w:rPr>
        <w:t>The Warrant Agent shall be protected and shall incur no liability for or in respect of any action taken or omitted by it in reliance upon any Warrant Certificate, notice, direction, consent, certificate, affidavit, statement or other paper or document reasonably believed by it to be genuine and to have been presented or signed by the proper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(e) Certain Transactions. </w:t>
      </w:r>
      <w:r>
        <w:rPr>
          <w:rFonts w:ascii="Times New Roman;Times;Serif" w:hAnsi="Times New Roman;Times;Serif"/>
          <w:b w:val="false"/>
          <w:i w:val="false"/>
          <w:caps w:val="false"/>
          <w:smallCaps w:val="false"/>
          <w:sz w:val="20"/>
        </w:rPr>
        <w:t>The Warrant Agent, and its officers, directors and employees, may become the owner of, or acquire any interest in, Warrants, with the same rights that it or they would have if it were not the Warrant Agent hereunder, and, to the extent permitted by applicable law, it or they may engage or be interested in any financial or other transaction with the Company and may act on, or as depositary, trustee or agent for, any committee or body of holders of Warrant Securities or other obligations of the Company as freely as if it were not the Warrant Agent hereunder. Nothing in this Agreement shall be deemed to prevent the Warrant Agent from acting as trustee under any indenture to which the Company is a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(f) No Liability for Interest. </w:t>
      </w:r>
      <w:r>
        <w:rPr>
          <w:rFonts w:ascii="Times New Roman;Times;Serif" w:hAnsi="Times New Roman;Times;Serif"/>
          <w:b w:val="false"/>
          <w:i w:val="false"/>
          <w:caps w:val="false"/>
          <w:smallCaps w:val="false"/>
          <w:sz w:val="20"/>
        </w:rPr>
        <w:t>Unless otherwise agreed with the Company, the Warrant Agent shall have no liability for interest on any monies at any time received by it pursuant to any of the provisions of this Agreement or of the Warrant Certificates.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(g) No Liability for Invalidity. </w:t>
      </w:r>
      <w:r>
        <w:rPr>
          <w:rFonts w:ascii="Times New Roman;Times;Serif" w:hAnsi="Times New Roman;Times;Serif"/>
          <w:b w:val="false"/>
          <w:i w:val="false"/>
          <w:caps w:val="false"/>
          <w:smallCaps w:val="false"/>
          <w:sz w:val="20"/>
        </w:rPr>
        <w:t>The Warrant Agent shall have no liability with respect to any invalidity of this Agreement or any of the Warrant Certificates (except as to the Warrant Agent’s countersignature thereon).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(h) No Responsibility for Representations. </w:t>
      </w:r>
      <w:r>
        <w:rPr>
          <w:rFonts w:ascii="Times New Roman;Times;Serif" w:hAnsi="Times New Roman;Times;Serif"/>
          <w:b w:val="false"/>
          <w:i w:val="false"/>
          <w:caps w:val="false"/>
          <w:smallCaps w:val="false"/>
          <w:sz w:val="20"/>
        </w:rPr>
        <w:t>The Warrant Agent shall not be responsible for any of the recitals or representations herein or in the Warrant Certificates (except as to the Warrant Agent’s countersignature thereon), all of which are made solely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 No Implied Obligations. </w:t>
      </w:r>
      <w:r>
        <w:rPr>
          <w:rFonts w:ascii="Times New Roman;Times;Serif" w:hAnsi="Times New Roman;Times;Serif"/>
          <w:b w:val="false"/>
          <w:i w:val="false"/>
          <w:caps w:val="false"/>
          <w:smallCaps w:val="false"/>
          <w:sz w:val="20"/>
        </w:rPr>
        <w:t>The Warrant Agent shall be obligated to perform only such duties as are herein and in the Warrant Certificates specifically set forth and no implied duties or obligations shall be read into this Agreement or the Warrant Certificates against the Warrant Agent. The Warrant Agent shall not be under any obligation to take any action hereunder which may tend to involve it in any expense or liability, the payment of which within a reasonable time is not, in its reasonable opinion, assured to it. The Warrant Agent shall not be accountable or under any duty or responsibility for the use by the Company of any of the Warrant Certificates authenticated by the Warrant Agent and delivered by it to the Company pursuant to this Agreement or for the application by the Company of the proceeds of the Warrant Certificates. The Warrant Agent shall have no duty or responsibility in case of any default by the Company in the performance of its covenants or agreements contained herein or in the Warrant Certificates or in the case of the receipt of any written demand from a holder of a Warrant Certificate with respect to such default, including, without limiting the generality of the foregoing, any duty or responsibility to initiate or attempt to initiate any proceedings at law or otherwise or, except as provided in Section 6.2 hereof, to make any demand upon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5.3 Resignation, Removal and Appointment of Successors.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The Company agrees, for the benefit of the holders from time to time of the Warrant Certificates, that there shall at all times be a Warrant Agent hereunder until all the Warrants have been exercised or are no longer exercisable.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The Warrant Agent may at any time resign as agent by giving written notice to the Company of such intention on its part, specifying the date on which its desired resignation shall become effective; provided that such date shall not be less than three months after the date on which such notice is given unless the Company otherwise agrees. The Warrant Agent hereunder may be removed at any time by the filing with it of an instrument in writing signed by or on behalf of the Company and specifying such removal and the intended date when it shall become effective. Such resignation or removal shall take effect upon the appointment by the Company, as hereinafter provided, of a successor Warrant Agent (which shall be a bank or trust company authorized under the laws of the jurisdiction of its organization to exercise corporate trust powers) and the acceptance of such appointment by such successor Warrant Agent. The obligation of the Company under Section 5.2(a) shall continue to the extent set forth therein notwithstanding the resignation or removal of the Warrant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w:t>
      </w:r>
      <w:r>
        <w:rPr>
          <w:rFonts w:ascii="Times New Roman;Times;Serif" w:hAnsi="Times New Roman;Times;Serif"/>
          <w:b w:val="false"/>
          <w:i w:val="false"/>
          <w:caps w:val="false"/>
          <w:smallCaps w:val="false"/>
          <w:sz w:val="20"/>
        </w:rPr>
        <w:t>In case at any time the Warrant Agent shall resign, or shall be removed, or shall become incapable of acting, or shall be adjudged a bankrupt or insolvent, or shall commence a voluntary case under the Federal bankruptcy laws, as now or hereafter constituted, or under any other applicable Federal or state bankruptcy, insolvency or similar law or shall consent to the appointment of or taking possession by a receiver, custodian, liquidator, assignee, trustee, sequestrator (or other similar official) of the Warrant Agent or its property or affairs, or shall make an assignment for the benefit of creditors, or shall admit in writing its inability to pay its debts generally as they become due, or shall take corporate action in furtherance of any such action, or a decree or order for relief by a court having jurisdiction in the premises shall have been entered in respect of the Warrant Agent in an involuntary case under the Federal bankruptcy laws, as now or hereafter constituted, or any other applicable Federal or state bankruptcy, insolvency or similar law, or a decree or order by a court having jurisdiction in the premises shall have been entered for the appointment of a receiver, custodian, liquidator, assignee, trustee, sequestrator (or similar official) of the Warrant Agent or of its property or affairs, or any public officer shall take charge or control of the Warrant Agent or of its property or affairs for the purpose of rehabilitation, conservation, winding up or liquidation, a successor Warrant Agent, qualified as aforesaid, shall be appointed by the Company by an instrument in writing, filed with the successor Warrant Agent. Upon the appointment as aforesaid of a successor Warrant Agent and acceptance by the successor Warrant Agent of such appointment, the Warrant Agent shall cease to be Warrant Agent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 </w:t>
      </w:r>
      <w:r>
        <w:rPr>
          <w:rFonts w:ascii="Times New Roman;Times;Serif" w:hAnsi="Times New Roman;Times;Serif"/>
          <w:b w:val="false"/>
          <w:i w:val="false"/>
          <w:caps w:val="false"/>
          <w:smallCaps w:val="false"/>
          <w:sz w:val="20"/>
        </w:rPr>
        <w:t>Any successor Warrant Agent appointed hereunder shall execute, acknowledge and deliver to its predecessor and to the Company an instrument accepting such appointment hereunder, and thereupon such successor Warrant Agent, without any further act, deed or conveyance, shall become vested with all the authority, rights, powers, trusts, immunities, duties and obligations of such predecessor with like effect as if originally named as Warrant Agent hereunder, and such predecessor, upon payment of its charges and disbursements then unpaid, shall thereupon become obligated to transfer, deliver and pay over, and such successor Warrant Agent shall be entitled to receive, all monies, securities and other property on deposit with or held by such predecessor, as Warrant Agent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 </w:t>
      </w:r>
      <w:r>
        <w:rPr>
          <w:rFonts w:ascii="Times New Roman;Times;Serif" w:hAnsi="Times New Roman;Times;Serif"/>
          <w:b w:val="false"/>
          <w:i w:val="false"/>
          <w:caps w:val="false"/>
          <w:smallCaps w:val="false"/>
          <w:sz w:val="20"/>
        </w:rPr>
        <w:t>Any corporation into which the Warrant Agent hereunder may be merged, amalgamated or converted or any corporation with which the Warrant Agent may be consolidated, or any corporation resulting from any amalgamation, merger, conversion or consolidation to which the Warrant Agent shall be a party, or any corporation to which the Warrant Agent shall sell or otherwise transfer all or substantially all the assets and business of the Warrant Agent, provided that it shall be qualified as aforesaid, shall be the successor Warrant Agent under this Agreement without the execution or filing of any paper or any further act on the part of any of the parties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MISCELLANEOUS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6.1 Amendment. </w:t>
      </w:r>
      <w:r>
        <w:rPr>
          <w:rFonts w:ascii="Times New Roman;Times;Serif" w:hAnsi="Times New Roman;Times;Serif"/>
          <w:b w:val="false"/>
          <w:i w:val="false"/>
          <w:caps w:val="false"/>
          <w:smallCaps w:val="false"/>
          <w:sz w:val="20"/>
        </w:rPr>
        <w:t>This Agreement may be amended by the parties hereto, without the consent of the holder of any Warrant Certificate, for the purpose of curing any ambiguity, or of curing, correcting or supplementing any defective provision contained herein, or making any other provisions with respect to matters or questions arising under this Agreement as the Company and the Warrant Agent may deem necessary or desirable; provided that such action shall not materially adversely affect the interests of the holders of the Warrant Certificates.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6.2 Notices and Demands to the Company and Warrant Agent. </w:t>
      </w:r>
      <w:r>
        <w:rPr>
          <w:rFonts w:ascii="Times New Roman;Times;Serif" w:hAnsi="Times New Roman;Times;Serif"/>
          <w:b w:val="false"/>
          <w:i w:val="false"/>
          <w:caps w:val="false"/>
          <w:smallCaps w:val="false"/>
          <w:sz w:val="20"/>
        </w:rPr>
        <w:t>If the Warrant Agent shall receive any notice or demand addressed to the Company by the holder of a Warrant Certificate pursuant to the provisions of the Warrant Certificates, the Warrant Agent shall promptly forward such notice or demand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6.3 Addresses. </w:t>
      </w:r>
      <w:r>
        <w:rPr>
          <w:rFonts w:ascii="Times New Roman;Times;Serif" w:hAnsi="Times New Roman;Times;Serif"/>
          <w:b w:val="false"/>
          <w:i w:val="false"/>
          <w:caps w:val="false"/>
          <w:smallCaps w:val="false"/>
          <w:sz w:val="20"/>
        </w:rPr>
        <w:t>Any communication from the Company to the Warrant Agent with respect to this Agreement shall be addressed to [●], Attention: [●] and any communication from the Warrant Agent to the Company with respect to this Agreement shall be addressed to Milestone Pharmaceuticals Inc., 1111 Dr. Frederik-Philips Boulevard, Suite 420, Montréal, Québec, Canada H4M 2X6, Attention: [●] (or such other address as shall be specified in writing by the Warrant Agent or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6.4 Governing Law. </w:t>
      </w:r>
      <w:r>
        <w:rPr>
          <w:rFonts w:ascii="Times New Roman;Times;Serif" w:hAnsi="Times New Roman;Times;Serif"/>
          <w:b w:val="false"/>
          <w:i w:val="false"/>
          <w:caps w:val="false"/>
          <w:smallCaps w:val="false"/>
          <w:sz w:val="20"/>
        </w:rPr>
        <w:t>This Agreement and each Warrant Certificate issued hereunder shall be governed by and construed in accordance with the laws of the State of New York.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6.5 Delivery of Prospectus. </w:t>
      </w:r>
      <w:r>
        <w:rPr>
          <w:rFonts w:ascii="Times New Roman;Times;Serif" w:hAnsi="Times New Roman;Times;Serif"/>
          <w:b w:val="false"/>
          <w:i w:val="false"/>
          <w:caps w:val="false"/>
          <w:smallCaps w:val="false"/>
          <w:sz w:val="20"/>
        </w:rPr>
        <w:t>The Company shall furnish to the Warrant Agent sufficient copies of a prospectus meeting the requirements of the Securities Act of 1933, as amended, relating to the Warrant Securities deliverable upon exercise of the Warrants (the “</w:t>
      </w:r>
      <w:r>
        <w:rPr>
          <w:rFonts w:ascii="Times New Roman;Times;Serif" w:hAnsi="Times New Roman;Times;Serif"/>
          <w:b/>
          <w:i/>
          <w:caps w:val="false"/>
          <w:smallCaps w:val="false"/>
          <w:sz w:val="20"/>
        </w:rPr>
        <w:t>Prospectus</w:t>
      </w:r>
      <w:r>
        <w:rPr>
          <w:rFonts w:ascii="Times New Roman;Times;Serif" w:hAnsi="Times New Roman;Times;Serif"/>
          <w:b w:val="false"/>
          <w:i w:val="false"/>
          <w:caps w:val="false"/>
          <w:smallCaps w:val="false"/>
          <w:sz w:val="20"/>
        </w:rPr>
        <w:t>”), and the Warrant Agent agrees that upon the exercise of any Warrant, the Warrant Agent will deliver to the holder of the Warrant Certificate evidencing such Warrant, prior to or concurrently with the delivery of the Warrant Securities issued upon such exercise, a Prospectus. The Warrant Agent shall not, by reason of any such delivery, assume any responsibility for the accuracy or adequacy of such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6.6 Obtaining of Governmental Approvals. </w:t>
      </w:r>
      <w:r>
        <w:rPr>
          <w:rFonts w:ascii="Times New Roman;Times;Serif" w:hAnsi="Times New Roman;Times;Serif"/>
          <w:b w:val="false"/>
          <w:i w:val="false"/>
          <w:caps w:val="false"/>
          <w:smallCaps w:val="false"/>
          <w:sz w:val="20"/>
        </w:rPr>
        <w:t>The Company will from time to time take all action which may be necessary to obtain and keep effective any and all permits, consents and approvals of governmental agencies and authorities and securities act filings under United States Federal and state laws (including without limitation a registration statement in respect of the Warrants and Warrant Securities under the Securities Act of 1933, as amended), which may be or become requisite in connection with the issuance, sale, transfer, and delivery of the Warrant Securities issued upon exercise of the Warrants, the issuance, sale, transfer and delivery of the Warrants or upon the expiration of the period during which the Warrants are exercisable.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6.7 Persons Having Rights Under the Agreement. </w:t>
      </w:r>
      <w:r>
        <w:rPr>
          <w:rFonts w:ascii="Times New Roman;Times;Serif" w:hAnsi="Times New Roman;Times;Serif"/>
          <w:b w:val="false"/>
          <w:i w:val="false"/>
          <w:caps w:val="false"/>
          <w:smallCaps w:val="false"/>
          <w:sz w:val="20"/>
        </w:rPr>
        <w:t>Nothing in this Agreement shall give to any person other than the Company, the Warrant Agent and the holders of the Warrant Certificates any right, remedy or claim under or by reason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6.8 Headings. </w:t>
      </w:r>
      <w:r>
        <w:rPr>
          <w:rFonts w:ascii="Times New Roman;Times;Serif" w:hAnsi="Times New Roman;Times;Serif"/>
          <w:b w:val="false"/>
          <w:i w:val="false"/>
          <w:caps w:val="false"/>
          <w:smallCaps w:val="false"/>
          <w:sz w:val="20"/>
        </w:rPr>
        <w:t>The descriptive headings of the several Articles and Sections of this Agreement are inserted for convenience only and shall not control or affect the meaning or construction of any of the provisions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6.9 Counterparts. </w:t>
      </w:r>
      <w:r>
        <w:rPr>
          <w:rFonts w:ascii="Times New Roman;Times;Serif" w:hAnsi="Times New Roman;Times;Serif"/>
          <w:b w:val="false"/>
          <w:i w:val="false"/>
          <w:caps w:val="false"/>
          <w:smallCaps w:val="false"/>
          <w:sz w:val="20"/>
        </w:rPr>
        <w:t>This Agreement may be executed in any number of counterparts, each of which as so executed shall be deemed to be an original, but such counterparts shall together constitute but one and the same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6.10 Inspection of Agreement. </w:t>
      </w:r>
      <w:r>
        <w:rPr>
          <w:rFonts w:ascii="Times New Roman;Times;Serif" w:hAnsi="Times New Roman;Times;Serif"/>
          <w:b w:val="false"/>
          <w:i w:val="false"/>
          <w:caps w:val="false"/>
          <w:smallCaps w:val="false"/>
          <w:sz w:val="20"/>
        </w:rPr>
        <w:t>A copy of this Agreement shall be available at all reasonable times at the principal corporate trust office of the Warrant Agent for inspection by the holder of any Warrant Certificate. The Warrant Agent may require such holder to submit such holder’s Warrant Certificate for inspection by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In Witness Whereof,</w:t>
      </w:r>
      <w:r>
        <w:rPr>
          <w:rFonts w:ascii="Times New Roman;Times;Serif" w:hAnsi="Times New Roman;Times;Serif"/>
          <w:b w:val="false"/>
          <w:i w:val="false"/>
          <w:caps w:val="false"/>
          <w:smallCaps w:val="false"/>
          <w:sz w:val="20"/>
        </w:rPr>
        <w:t xml:space="preserve"> the parties hereto have caused this Agreement to be duly executed as of the day and year first above written.</w:t>
      </w:r>
    </w:p>
    <w:p>
      <w:pPr>
        <w:pStyle w:val="TextBody"/>
        <w:bidi w:val="0"/>
        <w:spacing w:before="0" w:after="0"/>
        <w:ind w:left="0" w:right="0" w:hanging="0"/>
        <w:jc w:val="left"/>
        <w:rPr>
          <w:caps w:val="false"/>
          <w:smallCaps w:val="false"/>
        </w:rPr>
      </w:pPr>
      <w:r>
        <w:rPr>
          <w:caps w:val="false"/>
          <w:smallCaps w:val="false"/>
        </w:rPr>
        <w:t> </w:t>
      </w:r>
    </w:p>
    <w:tbl>
      <w:tblPr>
        <w:tblW w:w="4849" w:type="dxa"/>
        <w:jc w:val="left"/>
        <w:tblInd w:w="0" w:type="dxa"/>
        <w:tblLayout w:type="fixed"/>
        <w:tblCellMar>
          <w:top w:w="0" w:type="dxa"/>
          <w:left w:w="0" w:type="dxa"/>
          <w:bottom w:w="0" w:type="dxa"/>
          <w:right w:w="0" w:type="dxa"/>
        </w:tblCellMar>
      </w:tblPr>
      <w:tblGrid>
        <w:gridCol w:w="1577"/>
        <w:gridCol w:w="3197"/>
        <w:gridCol w:w="75"/>
      </w:tblGrid>
      <w:tr>
        <w:trPr/>
        <w:tc>
          <w:tcPr>
            <w:tcW w:w="477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MILESTONE PHARMACEUTICALS INC.,</w:t>
            </w:r>
            <w:r>
              <w:rPr>
                <w:rFonts w:ascii="Times New Roman;Times;Serif" w:hAnsi="Times New Roman;Times;Serif"/>
                <w:sz w:val="20"/>
              </w:rPr>
              <w:t xml:space="preserve"> as Company</w:t>
            </w:r>
          </w:p>
        </w:tc>
        <w:tc>
          <w:tcPr>
            <w:tcW w:w="75" w:type="dxa"/>
            <w:tcBorders/>
            <w:vAlign w:val="center"/>
          </w:tcPr>
          <w:p>
            <w:pPr>
              <w:pStyle w:val="TableContents"/>
              <w:bidi w:val="0"/>
              <w:spacing w:before="0" w:after="283"/>
              <w:jc w:val="left"/>
              <w:rPr/>
            </w:pPr>
            <w:r>
              <w:rPr/>
              <w:t> </w:t>
            </w:r>
          </w:p>
        </w:tc>
      </w:tr>
      <w:tr>
        <w:trPr/>
        <w:tc>
          <w:tcPr>
            <w:tcW w:w="1577" w:type="dxa"/>
            <w:tcBorders/>
            <w:vAlign w:val="center"/>
          </w:tcPr>
          <w:p>
            <w:pPr>
              <w:pStyle w:val="TableContents"/>
              <w:bidi w:val="0"/>
              <w:spacing w:before="0" w:after="283"/>
              <w:jc w:val="left"/>
              <w:rPr/>
            </w:pPr>
            <w:r>
              <w:rPr/>
              <w:t> </w:t>
            </w:r>
          </w:p>
        </w:tc>
        <w:tc>
          <w:tcPr>
            <w:tcW w:w="3197"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57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197"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57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197"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57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197"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577" w:type="dxa"/>
            <w:tcBorders/>
            <w:vAlign w:val="center"/>
          </w:tcPr>
          <w:p>
            <w:pPr>
              <w:pStyle w:val="TableContents"/>
              <w:bidi w:val="0"/>
              <w:spacing w:before="0" w:after="283"/>
              <w:jc w:val="left"/>
              <w:rPr/>
            </w:pPr>
            <w:r>
              <w:rPr/>
              <w:t> </w:t>
            </w:r>
          </w:p>
        </w:tc>
        <w:tc>
          <w:tcPr>
            <w:tcW w:w="3197"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577" w:type="dxa"/>
            <w:tcBorders/>
            <w:vAlign w:val="center"/>
          </w:tcPr>
          <w:p>
            <w:pPr>
              <w:pStyle w:val="TableContents"/>
              <w:bidi w:val="0"/>
              <w:spacing w:before="0" w:after="283"/>
              <w:jc w:val="left"/>
              <w:rPr>
                <w:rFonts w:ascii="Times New Roman;Times;Serif" w:hAnsi="Times New Roman;Times;Serif"/>
                <w:b/>
                <w:smallCaps/>
                <w:sz w:val="20"/>
              </w:rPr>
            </w:pPr>
            <w:r>
              <w:rPr>
                <w:rFonts w:ascii="Times New Roman;Times;Serif" w:hAnsi="Times New Roman;Times;Serif"/>
                <w:b/>
                <w:smallCaps/>
                <w:sz w:val="20"/>
              </w:rPr>
              <w:t>Attest:</w:t>
            </w:r>
          </w:p>
        </w:tc>
        <w:tc>
          <w:tcPr>
            <w:tcW w:w="3197"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577" w:type="dxa"/>
            <w:tcBorders/>
            <w:vAlign w:val="center"/>
          </w:tcPr>
          <w:p>
            <w:pPr>
              <w:pStyle w:val="TableContents"/>
              <w:bidi w:val="0"/>
              <w:spacing w:before="0" w:after="283"/>
              <w:jc w:val="left"/>
              <w:rPr/>
            </w:pPr>
            <w:r>
              <w:rPr/>
              <w:t> </w:t>
            </w:r>
          </w:p>
        </w:tc>
        <w:tc>
          <w:tcPr>
            <w:tcW w:w="3197"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577" w:type="dxa"/>
            <w:tcBorders/>
            <w:vAlign w:val="center"/>
          </w:tcPr>
          <w:p>
            <w:pPr>
              <w:pStyle w:val="TableContents"/>
              <w:bidi w:val="0"/>
              <w:spacing w:before="0" w:after="283"/>
              <w:jc w:val="left"/>
              <w:rPr/>
            </w:pPr>
            <w:r>
              <w:rPr/>
              <w:t> </w:t>
            </w:r>
          </w:p>
        </w:tc>
        <w:tc>
          <w:tcPr>
            <w:tcW w:w="3197"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774" w:type="dxa"/>
            <w:gridSpan w:val="2"/>
            <w:tcBorders/>
            <w:vAlign w:val="center"/>
          </w:tcPr>
          <w:p>
            <w:pPr>
              <w:pStyle w:val="TableContents"/>
              <w:bidi w:val="0"/>
              <w:spacing w:before="0" w:after="283"/>
              <w:jc w:val="left"/>
              <w:rPr>
                <w:rFonts w:ascii="Times New Roman;Times;Serif" w:hAnsi="Times New Roman;Times;Serif"/>
                <w:b/>
                <w:smallCaps/>
                <w:sz w:val="20"/>
              </w:rPr>
            </w:pPr>
            <w:r>
              <w:rPr>
                <w:rFonts w:ascii="Times New Roman;Times;Serif" w:hAnsi="Times New Roman;Times;Serif"/>
                <w:b/>
                <w:smallCaps/>
                <w:sz w:val="20"/>
              </w:rPr>
              <w:t>Countersigned</w:t>
            </w:r>
          </w:p>
        </w:tc>
        <w:tc>
          <w:tcPr>
            <w:tcW w:w="75" w:type="dxa"/>
            <w:tcBorders/>
            <w:vAlign w:val="center"/>
          </w:tcPr>
          <w:p>
            <w:pPr>
              <w:pStyle w:val="TableContents"/>
              <w:bidi w:val="0"/>
              <w:spacing w:before="0" w:after="283"/>
              <w:jc w:val="left"/>
              <w:rPr/>
            </w:pPr>
            <w:r>
              <w:rPr/>
              <w:t> </w:t>
            </w:r>
          </w:p>
        </w:tc>
      </w:tr>
      <w:tr>
        <w:trPr/>
        <w:tc>
          <w:tcPr>
            <w:tcW w:w="477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as Warrant Agent</w:t>
            </w:r>
          </w:p>
        </w:tc>
        <w:tc>
          <w:tcPr>
            <w:tcW w:w="75" w:type="dxa"/>
            <w:tcBorders/>
            <w:vAlign w:val="center"/>
          </w:tcPr>
          <w:p>
            <w:pPr>
              <w:pStyle w:val="TableContents"/>
              <w:bidi w:val="0"/>
              <w:spacing w:before="0" w:after="283"/>
              <w:jc w:val="left"/>
              <w:rPr/>
            </w:pPr>
            <w:r>
              <w:rPr/>
              <w:t> </w:t>
            </w:r>
          </w:p>
        </w:tc>
      </w:tr>
      <w:tr>
        <w:trPr/>
        <w:tc>
          <w:tcPr>
            <w:tcW w:w="1577" w:type="dxa"/>
            <w:tcBorders/>
            <w:vAlign w:val="center"/>
          </w:tcPr>
          <w:p>
            <w:pPr>
              <w:pStyle w:val="TableContents"/>
              <w:bidi w:val="0"/>
              <w:spacing w:before="0" w:after="283"/>
              <w:jc w:val="left"/>
              <w:rPr/>
            </w:pPr>
            <w:r>
              <w:rPr/>
              <w:t> </w:t>
            </w:r>
          </w:p>
        </w:tc>
        <w:tc>
          <w:tcPr>
            <w:tcW w:w="3197"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57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197"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57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3197"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57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3197"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577" w:type="dxa"/>
            <w:tcBorders/>
            <w:vAlign w:val="center"/>
          </w:tcPr>
          <w:p>
            <w:pPr>
              <w:pStyle w:val="TableContents"/>
              <w:bidi w:val="0"/>
              <w:spacing w:before="0" w:after="283"/>
              <w:jc w:val="left"/>
              <w:rPr/>
            </w:pPr>
            <w:r>
              <w:rPr/>
              <w:t> </w:t>
            </w:r>
          </w:p>
        </w:tc>
        <w:tc>
          <w:tcPr>
            <w:tcW w:w="3197"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577" w:type="dxa"/>
            <w:tcBorders/>
            <w:vAlign w:val="center"/>
          </w:tcPr>
          <w:p>
            <w:pPr>
              <w:pStyle w:val="TableContents"/>
              <w:bidi w:val="0"/>
              <w:spacing w:before="0" w:after="283"/>
              <w:jc w:val="left"/>
              <w:rPr>
                <w:rFonts w:ascii="Times New Roman;Times;Serif" w:hAnsi="Times New Roman;Times;Serif"/>
                <w:b/>
                <w:smallCaps/>
                <w:sz w:val="20"/>
              </w:rPr>
            </w:pPr>
            <w:r>
              <w:rPr>
                <w:rFonts w:ascii="Times New Roman;Times;Serif" w:hAnsi="Times New Roman;Times;Serif"/>
                <w:b/>
                <w:smallCaps/>
                <w:sz w:val="20"/>
              </w:rPr>
              <w:t>Attest:</w:t>
            </w:r>
          </w:p>
        </w:tc>
        <w:tc>
          <w:tcPr>
            <w:tcW w:w="3197"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577" w:type="dxa"/>
            <w:tcBorders/>
            <w:vAlign w:val="center"/>
          </w:tcPr>
          <w:p>
            <w:pPr>
              <w:pStyle w:val="TableContents"/>
              <w:bidi w:val="0"/>
              <w:spacing w:before="0" w:after="283"/>
              <w:jc w:val="left"/>
              <w:rPr/>
            </w:pPr>
            <w:r>
              <w:rPr/>
              <w:t> </w:t>
            </w:r>
          </w:p>
        </w:tc>
        <w:tc>
          <w:tcPr>
            <w:tcW w:w="3197"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MILESTONE PHARMACEUTICALS INC. COMMON SHARE WARRANT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Exhibit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WARRANT CERTIFICATE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[FACE OF WARRANT CERTIFICATE]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487"/>
        <w:gridCol w:w="60"/>
        <w:gridCol w:w="5658"/>
      </w:tblGrid>
      <w:tr>
        <w:trPr/>
        <w:tc>
          <w:tcPr>
            <w:tcW w:w="448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b/>
                <w:i/>
                <w:sz w:val="20"/>
              </w:rPr>
              <w:t>Form of Legend if Warrants are not immediately exercisable.</w:t>
            </w:r>
            <w:r>
              <w:rPr>
                <w:rFonts w:ascii="Times New Roman;Times;Serif" w:hAnsi="Times New Roman;Times;Serif"/>
                <w:sz w:val="20"/>
              </w:rPr>
              <w:t>]</w:t>
            </w:r>
          </w:p>
        </w:tc>
        <w:tc>
          <w:tcPr>
            <w:tcW w:w="60" w:type="dxa"/>
            <w:tcBorders/>
            <w:vAlign w:val="center"/>
          </w:tcPr>
          <w:p>
            <w:pPr>
              <w:pStyle w:val="TableContents"/>
              <w:bidi w:val="0"/>
              <w:spacing w:before="0" w:after="283"/>
              <w:jc w:val="left"/>
              <w:rPr/>
            </w:pPr>
            <w:r>
              <w:rPr/>
              <w:t> </w:t>
            </w:r>
          </w:p>
        </w:tc>
        <w:tc>
          <w:tcPr>
            <w:tcW w:w="565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[Prior to [●], Warrants evidenced by this Warrant Certificate cannot be exercised.]</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EXERCISABLE ONLY IF COUNTERSIGNED BY THE WARRANT AGENT AS PROVIDED HEREIN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VOID AFTER [●] P.M., [City] time, 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MILESTONE PHARMACEUTICALS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 CERTIFICATE REPRESENTING</w:t>
        <w:br/>
        <w:t>WARRANTS TO PURCHASE</w:t>
        <w:br/>
        <w:t>COMMON SHARE, NO PAR VALUE PER SHARE</w:t>
      </w:r>
    </w:p>
    <w:p>
      <w:pPr>
        <w:pStyle w:val="TextBody"/>
        <w:bidi w:val="0"/>
        <w:spacing w:before="0" w:after="0"/>
        <w:ind w:left="0" w:right="0" w:hanging="0"/>
        <w:jc w:val="left"/>
        <w:rPr>
          <w:caps w:val="false"/>
          <w:smallCaps w:val="false"/>
        </w:rPr>
      </w:pPr>
      <w:r>
        <w:rPr>
          <w:caps w:val="false"/>
          <w:smallCaps w:val="false"/>
        </w:rPr>
        <w:t> </w:t>
      </w:r>
    </w:p>
    <w:tbl>
      <w:tblPr>
        <w:tblW w:w="1645" w:type="dxa"/>
        <w:jc w:val="left"/>
        <w:tblInd w:w="0" w:type="dxa"/>
        <w:tblLayout w:type="fixed"/>
        <w:tblCellMar>
          <w:top w:w="0" w:type="dxa"/>
          <w:left w:w="0" w:type="dxa"/>
          <w:bottom w:w="0" w:type="dxa"/>
          <w:right w:w="0" w:type="dxa"/>
        </w:tblCellMar>
      </w:tblPr>
      <w:tblGrid>
        <w:gridCol w:w="605"/>
        <w:gridCol w:w="1040"/>
      </w:tblGrid>
      <w:tr>
        <w:trPr/>
        <w:tc>
          <w:tcPr>
            <w:tcW w:w="6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w:t>
            </w:r>
          </w:p>
        </w:tc>
        <w:tc>
          <w:tcPr>
            <w:tcW w:w="104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 Warrants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certifies that [●] or registered assigns is the registered owner of the above indicated number of Warrants, each Warrant entitling such owner to purchase, at any time [after [●] p.m., [City] time, [on [●] and] on or before [●] p.m., [City] time, on [●], [●] common shares, no par value per share, in the capital of MILESTONE PHARMACEUTICALS INC.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(such common shares, the “</w:t>
      </w:r>
      <w:r>
        <w:rPr>
          <w:rFonts w:ascii="Times New Roman;Times;Serif" w:hAnsi="Times New Roman;Times;Serif"/>
          <w:b/>
          <w:i/>
          <w:caps w:val="false"/>
          <w:smallCaps w:val="false"/>
          <w:sz w:val="20"/>
        </w:rPr>
        <w:t>Warrant Securities</w:t>
      </w:r>
      <w:r>
        <w:rPr>
          <w:rFonts w:ascii="Times New Roman;Times;Serif" w:hAnsi="Times New Roman;Times;Serif"/>
          <w:b w:val="false"/>
          <w:i w:val="false"/>
          <w:caps w:val="false"/>
          <w:smallCaps w:val="false"/>
          <w:sz w:val="20"/>
        </w:rPr>
        <w:t>”) on the following basis: during the period from [●], through and including [●], the exercise price per Warrant Security will be $[●], subject to adjustment as provided in the Warrant Agreement (as hereinafter defined) (the “</w:t>
      </w:r>
      <w:r>
        <w:rPr>
          <w:rFonts w:ascii="Times New Roman;Times;Serif" w:hAnsi="Times New Roman;Times;Serif"/>
          <w:b/>
          <w:i/>
          <w:caps w:val="false"/>
          <w:smallCaps w:val="false"/>
          <w:sz w:val="20"/>
        </w:rPr>
        <w:t>Warrant Price</w:t>
      </w:r>
      <w:r>
        <w:rPr>
          <w:rFonts w:ascii="Times New Roman;Times;Serif" w:hAnsi="Times New Roman;Times;Serif"/>
          <w:b w:val="false"/>
          <w:i w:val="false"/>
          <w:caps w:val="false"/>
          <w:smallCaps w:val="false"/>
          <w:sz w:val="20"/>
        </w:rPr>
        <w:t>”). The Holder may exercise the Warrants evidenced hereby by providing certain information set forth on the back hereof and by paying in full, in lawful money of the United States of America, [in cash or by certified check or official bank check in New York Clearing House funds] [by bank wire transfer in immediately available funds], the Warrant Price for each Warrant Security with respect to which this Warrant is exercised to the Warrant Agent (as hereinafter defined) and by surrendering this Warrant Certificate, with the purchase form on the back hereof duly executed, at the corporate trust office of [name of Warrant Agent], or its successor as warrant agent (the “</w:t>
      </w:r>
      <w:r>
        <w:rPr>
          <w:rFonts w:ascii="Times New Roman;Times;Serif" w:hAnsi="Times New Roman;Times;Serif"/>
          <w:b/>
          <w:i/>
          <w:caps w:val="false"/>
          <w:smallCaps w:val="false"/>
          <w:sz w:val="20"/>
        </w:rPr>
        <w:t>Warrant Agent</w:t>
      </w:r>
      <w:r>
        <w:rPr>
          <w:rFonts w:ascii="Times New Roman;Times;Serif" w:hAnsi="Times New Roman;Times;Serif"/>
          <w:b w:val="false"/>
          <w:i w:val="false"/>
          <w:caps w:val="false"/>
          <w:smallCaps w:val="false"/>
          <w:sz w:val="20"/>
        </w:rPr>
        <w:t>”), which is, on the date hereof, at the address specified on the reverse hereof, and upon compliance with and subject to the conditions set forth herein and in the Warrant Agreement (as hereinafter defined).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w:t>
      </w:r>
      <w:r>
        <w:rPr>
          <w:rFonts w:ascii="Times New Roman;Times;Serif" w:hAnsi="Times New Roman;Times;Serif"/>
          <w:b/>
          <w:i/>
          <w:caps w:val="false"/>
          <w:smallCaps w:val="false"/>
          <w:sz w:val="20"/>
        </w:rPr>
        <w:t>Holder</w:t>
      </w:r>
      <w:r>
        <w:rPr>
          <w:rFonts w:ascii="Times New Roman;Times;Serif" w:hAnsi="Times New Roman;Times;Serif"/>
          <w:b w:val="false"/>
          <w:i w:val="false"/>
          <w:caps w:val="false"/>
          <w:smallCaps w:val="false"/>
          <w:sz w:val="20"/>
        </w:rPr>
        <w:t>” as used herein shall mean the person in whose name at the time this Warrant Certificate shall be registered upon the books to be maintained by the Warrant Agent for that purpose pursuant to Section 4 of the Warrant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Warrants evidenced by this Warrant Certificate may be exercised to purchase a whole number of Warrant Securities in registered form. Upon any exercise of fewer than all of the Warrants evidenced by this Warrant Certificate, there shall be issued to the Holder hereof a new Warrant Certificate evidencing Warrants for the number of Warrant Securities remaining unexercised.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Warrant Certificate is issued under and in accordance with the Warrant Agreement dated as of [●] (the “</w:t>
      </w:r>
      <w:r>
        <w:rPr>
          <w:rFonts w:ascii="Times New Roman;Times;Serif" w:hAnsi="Times New Roman;Times;Serif"/>
          <w:b/>
          <w:i/>
          <w:caps w:val="false"/>
          <w:smallCaps w:val="false"/>
          <w:sz w:val="20"/>
        </w:rPr>
        <w:t>Warrant Agreement</w:t>
      </w:r>
      <w:r>
        <w:rPr>
          <w:rFonts w:ascii="Times New Roman;Times;Serif" w:hAnsi="Times New Roman;Times;Serif"/>
          <w:b w:val="false"/>
          <w:i w:val="false"/>
          <w:caps w:val="false"/>
          <w:smallCaps w:val="false"/>
          <w:sz w:val="20"/>
        </w:rPr>
        <w:t>”), between the Company and the Warrant Agent and is subject to the terms and provisions contained in the Warrant Agreement, to all of which terms and provisions the Holder of this Warrant Certificate consents by acceptance hereof. Copies of the Warrant Agreement are on file at the above-mentioned office of the Warrant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 of this Warrant Certificate may be registered when this Warrant Certificate is surrendered at the corporate trust office of the Warrant Agent by the registered owner or such owner’s assigns, in the manner and subject to the limitations provided in the Warrant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countersignature by the Warrant Agent and prior to the expiration of this Warrant Certificate, this Warrant Certificate may be exchanged at the corporate trust office of the Warrant Agent for Warrant Certificates representing Warrants for the same aggregate number of Warrant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Warrant Certificate shall not entitle the Holder hereof to any of the rights of a holder of the Warrant Securities, including, without limitation, the right to receive payments of dividends or distributions, if any, on the Warrant Securities (except to the extent set forth in the Warrant Agreement) or to exercise any voting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hereby made to the further provisions of this Warrant Certificate set forth on the reverse hereof, which further provisions shall for all purposes have the same effect as if set forth at this place.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Warrant Certificate shall not be valid or obligatory for any purpose until countersigned by the Warrant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In Witness Whereof</w:t>
      </w:r>
      <w:r>
        <w:rPr>
          <w:rFonts w:ascii="Times New Roman;Times;Serif" w:hAnsi="Times New Roman;Times;Serif"/>
          <w:b w:val="false"/>
          <w:i w:val="false"/>
          <w:caps w:val="false"/>
          <w:smallCaps w:val="false"/>
          <w:sz w:val="20"/>
        </w:rPr>
        <w:t>, the Company has caused this Warrant to be executed in its name and on its behalf by the facsimile signatures of its duly authorized officers.</w:t>
      </w:r>
    </w:p>
    <w:p>
      <w:pPr>
        <w:pStyle w:val="TextBody"/>
        <w:bidi w:val="0"/>
        <w:spacing w:before="0" w:after="0"/>
        <w:ind w:left="0" w:right="0" w:hanging="0"/>
        <w:jc w:val="left"/>
        <w:rPr>
          <w:caps w:val="false"/>
          <w:smallCaps w:val="false"/>
        </w:rPr>
      </w:pPr>
      <w:r>
        <w:rPr>
          <w:caps w:val="false"/>
          <w:smallCaps w:val="false"/>
        </w:rPr>
        <w:t> </w:t>
      </w:r>
    </w:p>
    <w:tbl>
      <w:tblPr>
        <w:tblW w:w="4654" w:type="dxa"/>
        <w:jc w:val="left"/>
        <w:tblInd w:w="0" w:type="dxa"/>
        <w:tblLayout w:type="fixed"/>
        <w:tblCellMar>
          <w:top w:w="0" w:type="dxa"/>
          <w:left w:w="0" w:type="dxa"/>
          <w:bottom w:w="0" w:type="dxa"/>
          <w:right w:w="0" w:type="dxa"/>
        </w:tblCellMar>
      </w:tblPr>
      <w:tblGrid>
        <w:gridCol w:w="1731"/>
        <w:gridCol w:w="2848"/>
        <w:gridCol w:w="75"/>
      </w:tblGrid>
      <w:tr>
        <w:trPr/>
        <w:tc>
          <w:tcPr>
            <w:tcW w:w="173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Dated:</w:t>
            </w:r>
          </w:p>
        </w:tc>
        <w:tc>
          <w:tcPr>
            <w:tcW w:w="2848"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579"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57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MILESTONE PHARMACEUTICALS INC., as Company</w:t>
            </w:r>
          </w:p>
        </w:tc>
        <w:tc>
          <w:tcPr>
            <w:tcW w:w="75" w:type="dxa"/>
            <w:tcBorders/>
            <w:vAlign w:val="center"/>
          </w:tcPr>
          <w:p>
            <w:pPr>
              <w:pStyle w:val="TableContents"/>
              <w:bidi w:val="0"/>
              <w:spacing w:before="0" w:after="283"/>
              <w:jc w:val="left"/>
              <w:rPr/>
            </w:pPr>
            <w:r>
              <w:rPr/>
              <w:t> </w:t>
            </w:r>
          </w:p>
        </w:tc>
      </w:tr>
      <w:tr>
        <w:trPr/>
        <w:tc>
          <w:tcPr>
            <w:tcW w:w="1731" w:type="dxa"/>
            <w:tcBorders/>
            <w:vAlign w:val="center"/>
          </w:tcPr>
          <w:p>
            <w:pPr>
              <w:pStyle w:val="TableContents"/>
              <w:bidi w:val="0"/>
              <w:spacing w:before="0" w:after="283"/>
              <w:jc w:val="left"/>
              <w:rPr/>
            </w:pPr>
            <w:r>
              <w:rPr/>
              <w:t> </w:t>
            </w:r>
          </w:p>
        </w:tc>
        <w:tc>
          <w:tcPr>
            <w:tcW w:w="2848"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73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848"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73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848"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73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848"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731" w:type="dxa"/>
            <w:tcBorders/>
            <w:vAlign w:val="center"/>
          </w:tcPr>
          <w:p>
            <w:pPr>
              <w:pStyle w:val="TableContents"/>
              <w:bidi w:val="0"/>
              <w:spacing w:before="0" w:after="283"/>
              <w:jc w:val="left"/>
              <w:rPr/>
            </w:pPr>
            <w:r>
              <w:rPr/>
              <w:t> </w:t>
            </w:r>
          </w:p>
        </w:tc>
        <w:tc>
          <w:tcPr>
            <w:tcW w:w="2848"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731" w:type="dxa"/>
            <w:tcBorders/>
            <w:vAlign w:val="center"/>
          </w:tcPr>
          <w:p>
            <w:pPr>
              <w:pStyle w:val="TableContents"/>
              <w:bidi w:val="0"/>
              <w:spacing w:before="0" w:after="283"/>
              <w:jc w:val="left"/>
              <w:rPr>
                <w:rFonts w:ascii="Times New Roman;Times;Serif" w:hAnsi="Times New Roman;Times;Serif"/>
                <w:b/>
                <w:smallCaps/>
                <w:sz w:val="20"/>
              </w:rPr>
            </w:pPr>
            <w:r>
              <w:rPr>
                <w:rFonts w:ascii="Times New Roman;Times;Serif" w:hAnsi="Times New Roman;Times;Serif"/>
                <w:b/>
                <w:smallCaps/>
                <w:sz w:val="20"/>
              </w:rPr>
              <w:t>Attest:</w:t>
            </w:r>
          </w:p>
        </w:tc>
        <w:tc>
          <w:tcPr>
            <w:tcW w:w="2848"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731" w:type="dxa"/>
            <w:tcBorders/>
            <w:vAlign w:val="center"/>
          </w:tcPr>
          <w:p>
            <w:pPr>
              <w:pStyle w:val="TableContents"/>
              <w:bidi w:val="0"/>
              <w:spacing w:before="0" w:after="283"/>
              <w:jc w:val="left"/>
              <w:rPr/>
            </w:pPr>
            <w:r>
              <w:rPr/>
              <w:t> </w:t>
            </w:r>
          </w:p>
        </w:tc>
        <w:tc>
          <w:tcPr>
            <w:tcW w:w="2848"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731" w:type="dxa"/>
            <w:tcBorders/>
            <w:vAlign w:val="center"/>
          </w:tcPr>
          <w:p>
            <w:pPr>
              <w:pStyle w:val="TableContents"/>
              <w:bidi w:val="0"/>
              <w:spacing w:before="0" w:after="283"/>
              <w:jc w:val="left"/>
              <w:rPr/>
            </w:pPr>
            <w:r>
              <w:rPr/>
              <w:t> </w:t>
            </w:r>
          </w:p>
        </w:tc>
        <w:tc>
          <w:tcPr>
            <w:tcW w:w="2848"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579" w:type="dxa"/>
            <w:gridSpan w:val="2"/>
            <w:tcBorders/>
            <w:vAlign w:val="center"/>
          </w:tcPr>
          <w:p>
            <w:pPr>
              <w:pStyle w:val="TableContents"/>
              <w:bidi w:val="0"/>
              <w:spacing w:before="0" w:after="283"/>
              <w:jc w:val="left"/>
              <w:rPr>
                <w:rFonts w:ascii="Times New Roman;Times;Serif" w:hAnsi="Times New Roman;Times;Serif"/>
                <w:b/>
                <w:caps/>
                <w:sz w:val="20"/>
              </w:rPr>
            </w:pPr>
            <w:r>
              <w:rPr>
                <w:rFonts w:ascii="Times New Roman;Times;Serif" w:hAnsi="Times New Roman;Times;Serif"/>
                <w:b/>
                <w:caps/>
                <w:sz w:val="20"/>
              </w:rPr>
              <w:t>Countersigned</w:t>
            </w:r>
          </w:p>
        </w:tc>
        <w:tc>
          <w:tcPr>
            <w:tcW w:w="75" w:type="dxa"/>
            <w:tcBorders/>
            <w:vAlign w:val="center"/>
          </w:tcPr>
          <w:p>
            <w:pPr>
              <w:pStyle w:val="TableContents"/>
              <w:bidi w:val="0"/>
              <w:spacing w:before="0" w:after="283"/>
              <w:jc w:val="left"/>
              <w:rPr/>
            </w:pPr>
            <w:r>
              <w:rPr/>
              <w:t> </w:t>
            </w:r>
          </w:p>
        </w:tc>
      </w:tr>
      <w:tr>
        <w:trPr/>
        <w:tc>
          <w:tcPr>
            <w:tcW w:w="457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as Warrant Agent</w:t>
            </w:r>
          </w:p>
        </w:tc>
        <w:tc>
          <w:tcPr>
            <w:tcW w:w="75" w:type="dxa"/>
            <w:tcBorders/>
            <w:vAlign w:val="center"/>
          </w:tcPr>
          <w:p>
            <w:pPr>
              <w:pStyle w:val="TableContents"/>
              <w:bidi w:val="0"/>
              <w:spacing w:before="0" w:after="283"/>
              <w:jc w:val="left"/>
              <w:rPr/>
            </w:pPr>
            <w:r>
              <w:rPr/>
              <w:t> </w:t>
            </w:r>
          </w:p>
        </w:tc>
      </w:tr>
      <w:tr>
        <w:trPr/>
        <w:tc>
          <w:tcPr>
            <w:tcW w:w="1731" w:type="dxa"/>
            <w:tcBorders/>
            <w:vAlign w:val="center"/>
          </w:tcPr>
          <w:p>
            <w:pPr>
              <w:pStyle w:val="TableContents"/>
              <w:bidi w:val="0"/>
              <w:spacing w:before="0" w:after="283"/>
              <w:jc w:val="left"/>
              <w:rPr/>
            </w:pPr>
            <w:r>
              <w:rPr/>
              <w:t> </w:t>
            </w:r>
          </w:p>
        </w:tc>
        <w:tc>
          <w:tcPr>
            <w:tcW w:w="2848"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73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848"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73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848"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73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848"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731" w:type="dxa"/>
            <w:tcBorders/>
            <w:vAlign w:val="center"/>
          </w:tcPr>
          <w:p>
            <w:pPr>
              <w:pStyle w:val="TableContents"/>
              <w:bidi w:val="0"/>
              <w:spacing w:before="0" w:after="283"/>
              <w:jc w:val="left"/>
              <w:rPr/>
            </w:pPr>
            <w:r>
              <w:rPr/>
              <w:t> </w:t>
            </w:r>
          </w:p>
        </w:tc>
        <w:tc>
          <w:tcPr>
            <w:tcW w:w="2848"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731" w:type="dxa"/>
            <w:tcBorders/>
            <w:vAlign w:val="center"/>
          </w:tcPr>
          <w:p>
            <w:pPr>
              <w:pStyle w:val="TableContents"/>
              <w:bidi w:val="0"/>
              <w:spacing w:before="0" w:after="283"/>
              <w:jc w:val="left"/>
              <w:rPr>
                <w:rFonts w:ascii="Times New Roman;Times;Serif" w:hAnsi="Times New Roman;Times;Serif"/>
                <w:b/>
                <w:caps/>
                <w:sz w:val="20"/>
              </w:rPr>
            </w:pPr>
            <w:r>
              <w:rPr>
                <w:rFonts w:ascii="Times New Roman;Times;Serif" w:hAnsi="Times New Roman;Times;Serif"/>
                <w:b/>
                <w:caps/>
                <w:sz w:val="20"/>
              </w:rPr>
              <w:t>Attest:</w:t>
            </w:r>
          </w:p>
        </w:tc>
        <w:tc>
          <w:tcPr>
            <w:tcW w:w="2848"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731" w:type="dxa"/>
            <w:tcBorders/>
            <w:vAlign w:val="center"/>
          </w:tcPr>
          <w:p>
            <w:pPr>
              <w:pStyle w:val="TableContents"/>
              <w:bidi w:val="0"/>
              <w:spacing w:before="0" w:after="283"/>
              <w:jc w:val="left"/>
              <w:rPr/>
            </w:pPr>
            <w:r>
              <w:rPr/>
              <w:t> </w:t>
            </w:r>
          </w:p>
        </w:tc>
        <w:tc>
          <w:tcPr>
            <w:tcW w:w="2848"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[REVERSE OF WARRANT CERTIFICATE]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(Instructions for Exercise of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exercise any Warrants evidenced hereby for Warrant Securities (as hereinafter defined), the Holder must pay, in lawful money of the United States of America, [in cash or by certified check or official bank check in New York Clearing House funds] [by bank wire transfer in immediately available funds], the Warrant Price in full for Warrants exercised, to [●] [address of Warrant Agent], Attention: [●], which payment must specify the name of the Holder and the number of Warrants exercised by such Holder. In addition, the Holder must complete the information required below and present this Warrant Certificate in person or by mail (certified or registered mail is recommended) to the Warrant Agent at the appropriate address set forth above. This Warrant Certificate, completed and duly executed, must be received by the Warrant Agent within five business days of the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be executed upon exercise of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undersigned hereby irrevocably elects to exercise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 xml:space="preserve"> Warrants, evidenced by this Warrant Certificate, to purchase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 common shares, no par value per share, in the capital of Milestone Pharmaceuticals Inc. (such common shares, the “</w:t>
      </w:r>
      <w:r>
        <w:rPr>
          <w:rFonts w:ascii="Times New Roman;Times;Serif" w:hAnsi="Times New Roman;Times;Serif"/>
          <w:b/>
          <w:i/>
          <w:caps w:val="false"/>
          <w:smallCaps w:val="false"/>
          <w:sz w:val="20"/>
        </w:rPr>
        <w:t>Warrant Securities</w:t>
      </w:r>
      <w:r>
        <w:rPr>
          <w:rFonts w:ascii="Times New Roman;Times;Serif" w:hAnsi="Times New Roman;Times;Serif"/>
          <w:b w:val="false"/>
          <w:i w:val="false"/>
          <w:caps w:val="false"/>
          <w:smallCaps w:val="false"/>
          <w:sz w:val="20"/>
        </w:rPr>
        <w:t>”) and represents that the undersigned has tendered payment for such Warrant Securities, in lawful money of the United States of America, [in cash or by certified check or official bank check in New York Clearing House funds] [by bank wire transfer in immediately available funds], to the order of Milestone Pharmaceuticals Inc., c/o [insert name and address of Warrant Agent], in the amount of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 xml:space="preserve"> in accordance with the terms hereof. The undersigned requests that said Warrant Securities be in fully registered form in the authorized denominations, registered in such names and delivered all as specified in accordance with the instructions set forth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number of Warrants exercised is less than all of the Warrants evidenced hereby, the undersigned requests that a new Warrant Certificate evidencing the Warrants for the number of Warrant Securities remaining unexercised be issued and delivered to the undersigned unless otherwise specified in the instructions below.</w:t>
      </w:r>
    </w:p>
    <w:p>
      <w:pPr>
        <w:pStyle w:val="TextBody"/>
        <w:bidi w:val="0"/>
        <w:spacing w:before="0" w:after="0"/>
        <w:ind w:left="0" w:right="0" w:hanging="0"/>
        <w:jc w:val="left"/>
        <w:rPr>
          <w:caps w:val="false"/>
          <w:smallCaps w:val="false"/>
        </w:rPr>
      </w:pPr>
      <w:r>
        <w:rPr>
          <w:caps w:val="false"/>
          <w:smallCaps w:val="false"/>
        </w:rPr>
        <w:t> </w:t>
      </w:r>
    </w:p>
    <w:tbl>
      <w:tblPr>
        <w:tblW w:w="6629" w:type="dxa"/>
        <w:jc w:val="left"/>
        <w:tblInd w:w="0" w:type="dxa"/>
        <w:tblLayout w:type="fixed"/>
        <w:tblCellMar>
          <w:top w:w="0" w:type="dxa"/>
          <w:left w:w="0" w:type="dxa"/>
          <w:bottom w:w="0" w:type="dxa"/>
          <w:right w:w="0" w:type="dxa"/>
        </w:tblCellMar>
      </w:tblPr>
      <w:tblGrid>
        <w:gridCol w:w="3521"/>
        <w:gridCol w:w="1523"/>
        <w:gridCol w:w="60"/>
        <w:gridCol w:w="545"/>
        <w:gridCol w:w="980"/>
      </w:tblGrid>
      <w:tr>
        <w:trPr/>
        <w:tc>
          <w:tcPr>
            <w:tcW w:w="352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Dated: </w:t>
            </w:r>
          </w:p>
        </w:tc>
        <w:tc>
          <w:tcPr>
            <w:tcW w:w="1523"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980"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504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Please Print</w:t>
            </w:r>
          </w:p>
        </w:tc>
      </w:tr>
      <w:tr>
        <w:trPr/>
        <w:tc>
          <w:tcPr>
            <w:tcW w:w="504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5" w:type="dxa"/>
            <w:gridSpan w:val="2"/>
            <w:tcBorders/>
            <w:vAlign w:val="center"/>
          </w:tcPr>
          <w:p>
            <w:pPr>
              <w:pStyle w:val="TableContents"/>
              <w:bidi w:val="0"/>
              <w:spacing w:before="0" w:after="283"/>
              <w:jc w:val="left"/>
              <w:rPr/>
            </w:pPr>
            <w:r>
              <w:rPr/>
              <w:t> </w:t>
            </w:r>
          </w:p>
        </w:tc>
      </w:tr>
      <w:tr>
        <w:trPr/>
        <w:tc>
          <w:tcPr>
            <w:tcW w:w="504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Address:</w:t>
            </w:r>
          </w:p>
        </w:tc>
        <w:tc>
          <w:tcPr>
            <w:tcW w:w="60" w:type="dxa"/>
            <w:tcBorders/>
            <w:vAlign w:val="center"/>
          </w:tcPr>
          <w:p>
            <w:pPr>
              <w:pStyle w:val="TableContents"/>
              <w:bidi w:val="0"/>
              <w:spacing w:before="0" w:after="283"/>
              <w:jc w:val="left"/>
              <w:rPr/>
            </w:pPr>
            <w:r>
              <w:rPr/>
              <w:t> </w:t>
            </w:r>
          </w:p>
        </w:tc>
        <w:tc>
          <w:tcPr>
            <w:tcW w:w="1525" w:type="dxa"/>
            <w:gridSpan w:val="2"/>
            <w:tcBorders/>
            <w:vAlign w:val="center"/>
          </w:tcPr>
          <w:p>
            <w:pPr>
              <w:pStyle w:val="TableContents"/>
              <w:bidi w:val="0"/>
              <w:spacing w:before="0" w:after="283"/>
              <w:jc w:val="left"/>
              <w:rPr/>
            </w:pPr>
            <w:r>
              <w:rPr/>
              <w:t> </w:t>
            </w:r>
          </w:p>
        </w:tc>
      </w:tr>
      <w:tr>
        <w:trPr/>
        <w:tc>
          <w:tcPr>
            <w:tcW w:w="5044" w:type="dxa"/>
            <w:gridSpan w:val="2"/>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5" w:type="dxa"/>
            <w:gridSpan w:val="2"/>
            <w:tcBorders/>
            <w:vAlign w:val="center"/>
          </w:tcPr>
          <w:p>
            <w:pPr>
              <w:pStyle w:val="TableContents"/>
              <w:bidi w:val="0"/>
              <w:spacing w:before="0" w:after="283"/>
              <w:jc w:val="left"/>
              <w:rPr/>
            </w:pPr>
            <w:r>
              <w:rPr/>
              <w:t> </w:t>
            </w:r>
          </w:p>
        </w:tc>
      </w:tr>
      <w:tr>
        <w:trPr/>
        <w:tc>
          <w:tcPr>
            <w:tcW w:w="504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(Insert Social Security or Other Identifying Number of Holder)</w:t>
            </w:r>
          </w:p>
        </w:tc>
        <w:tc>
          <w:tcPr>
            <w:tcW w:w="60" w:type="dxa"/>
            <w:tcBorders/>
            <w:vAlign w:val="center"/>
          </w:tcPr>
          <w:p>
            <w:pPr>
              <w:pStyle w:val="TableContents"/>
              <w:bidi w:val="0"/>
              <w:spacing w:before="0" w:after="283"/>
              <w:jc w:val="left"/>
              <w:rPr/>
            </w:pPr>
            <w:r>
              <w:rPr/>
              <w:t> </w:t>
            </w:r>
          </w:p>
        </w:tc>
        <w:tc>
          <w:tcPr>
            <w:tcW w:w="1525" w:type="dxa"/>
            <w:gridSpan w:val="2"/>
            <w:tcBorders/>
            <w:vAlign w:val="center"/>
          </w:tcPr>
          <w:p>
            <w:pPr>
              <w:pStyle w:val="TableContents"/>
              <w:bidi w:val="0"/>
              <w:spacing w:before="0" w:after="283"/>
              <w:jc w:val="left"/>
              <w:rPr/>
            </w:pPr>
            <w:r>
              <w:rPr/>
              <w:t> </w:t>
            </w:r>
          </w:p>
        </w:tc>
      </w:tr>
      <w:tr>
        <w:trPr/>
        <w:tc>
          <w:tcPr>
            <w:tcW w:w="504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5" w:type="dxa"/>
            <w:gridSpan w:val="2"/>
            <w:tcBorders/>
            <w:vAlign w:val="center"/>
          </w:tcPr>
          <w:p>
            <w:pPr>
              <w:pStyle w:val="TableContents"/>
              <w:bidi w:val="0"/>
              <w:spacing w:before="0" w:after="283"/>
              <w:jc w:val="left"/>
              <w:rPr/>
            </w:pPr>
            <w:r>
              <w:rPr/>
              <w:t> </w:t>
            </w:r>
          </w:p>
        </w:tc>
      </w:tr>
      <w:tr>
        <w:trPr/>
        <w:tc>
          <w:tcPr>
            <w:tcW w:w="352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Signature Guaranteed:</w:t>
            </w:r>
          </w:p>
        </w:tc>
        <w:tc>
          <w:tcPr>
            <w:tcW w:w="1523"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5" w:type="dxa"/>
            <w:gridSpan w:val="2"/>
            <w:tcBorders/>
            <w:vAlign w:val="center"/>
          </w:tcPr>
          <w:p>
            <w:pPr>
              <w:pStyle w:val="TableContents"/>
              <w:bidi w:val="0"/>
              <w:spacing w:before="0" w:after="283"/>
              <w:jc w:val="left"/>
              <w:rPr/>
            </w:pPr>
            <w:r>
              <w:rPr/>
              <w:t> </w:t>
            </w:r>
          </w:p>
        </w:tc>
      </w:tr>
      <w:tr>
        <w:trPr/>
        <w:tc>
          <w:tcPr>
            <w:tcW w:w="3521" w:type="dxa"/>
            <w:tcBorders/>
            <w:vAlign w:val="center"/>
          </w:tcPr>
          <w:p>
            <w:pPr>
              <w:pStyle w:val="TableContents"/>
              <w:bidi w:val="0"/>
              <w:spacing w:before="0" w:after="283"/>
              <w:jc w:val="left"/>
              <w:rPr/>
            </w:pPr>
            <w:r>
              <w:rPr/>
              <w:t> </w:t>
            </w:r>
          </w:p>
        </w:tc>
        <w:tc>
          <w:tcPr>
            <w:tcW w:w="1523"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Signature</w:t>
            </w:r>
          </w:p>
        </w:tc>
        <w:tc>
          <w:tcPr>
            <w:tcW w:w="60" w:type="dxa"/>
            <w:tcBorders/>
            <w:vAlign w:val="center"/>
          </w:tcPr>
          <w:p>
            <w:pPr>
              <w:pStyle w:val="TableContents"/>
              <w:bidi w:val="0"/>
              <w:spacing w:before="0" w:after="283"/>
              <w:jc w:val="left"/>
              <w:rPr/>
            </w:pPr>
            <w:r>
              <w:rPr/>
              <w:t> </w:t>
            </w:r>
          </w:p>
        </w:tc>
        <w:tc>
          <w:tcPr>
            <w:tcW w:w="1525" w:type="dxa"/>
            <w:gridSpan w:val="2"/>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must conform in all respects to name of holder as specified on the face of this Warrant Certificate and must bear a signature guarantee by a FINRA member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Warrant may be exercised at the following addresses: By hand 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mail 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[Instructions as to form and delivery of Warrant Securities and, if applicable, Warrant Certificates evidencing Warrants for the number of Warrant Securities remaining unexercised—complete as appropriate.]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ASSIGNMENT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assignment to be executed if Warrant Holder desires to transfer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For Value Received</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 xml:space="preserve"> hereby sells, assigns and transfers unto:</w:t>
      </w:r>
    </w:p>
    <w:p>
      <w:pPr>
        <w:pStyle w:val="TextBody"/>
        <w:bidi w:val="0"/>
        <w:spacing w:before="0" w:after="0"/>
        <w:ind w:left="0" w:right="0" w:hanging="0"/>
        <w:jc w:val="left"/>
        <w:rPr>
          <w:caps w:val="false"/>
          <w:smallCaps w:val="false"/>
        </w:rPr>
      </w:pPr>
      <w:r>
        <w:rPr>
          <w:caps w:val="false"/>
          <w:smallCaps w:val="false"/>
        </w:rPr>
        <w:t> </w:t>
      </w:r>
    </w:p>
    <w:tbl>
      <w:tblPr>
        <w:tblW w:w="8755" w:type="dxa"/>
        <w:jc w:val="left"/>
        <w:tblInd w:w="0" w:type="dxa"/>
        <w:tblLayout w:type="fixed"/>
        <w:tblCellMar>
          <w:top w:w="0" w:type="dxa"/>
          <w:left w:w="0" w:type="dxa"/>
          <w:bottom w:w="28" w:type="dxa"/>
          <w:right w:w="0" w:type="dxa"/>
        </w:tblCellMar>
      </w:tblPr>
      <w:tblGrid>
        <w:gridCol w:w="4145"/>
        <w:gridCol w:w="60"/>
        <w:gridCol w:w="4550"/>
      </w:tblGrid>
      <w:tr>
        <w:trPr/>
        <w:tc>
          <w:tcPr>
            <w:tcW w:w="4145"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550" w:type="dxa"/>
            <w:tcBorders>
              <w:bottom w:val="single" w:sz="8" w:space="0" w:color="000000"/>
            </w:tcBorders>
            <w:vAlign w:val="center"/>
          </w:tcPr>
          <w:p>
            <w:pPr>
              <w:pStyle w:val="TableContents"/>
              <w:bidi w:val="0"/>
              <w:spacing w:before="0" w:after="283"/>
              <w:jc w:val="left"/>
              <w:rPr/>
            </w:pPr>
            <w:r>
              <w:rPr/>
              <w:t> </w:t>
            </w:r>
          </w:p>
        </w:tc>
      </w:tr>
      <w:tr>
        <w:trPr/>
        <w:tc>
          <w:tcPr>
            <w:tcW w:w="414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(Please print name and address including zip code)</w:t>
            </w:r>
          </w:p>
        </w:tc>
        <w:tc>
          <w:tcPr>
            <w:tcW w:w="60" w:type="dxa"/>
            <w:tcBorders/>
            <w:tcMar>
              <w:bottom w:w="0" w:type="dxa"/>
            </w:tcMar>
            <w:vAlign w:val="center"/>
          </w:tcPr>
          <w:p>
            <w:pPr>
              <w:pStyle w:val="TableContents"/>
              <w:bidi w:val="0"/>
              <w:spacing w:before="0" w:after="283"/>
              <w:jc w:val="left"/>
              <w:rPr/>
            </w:pPr>
            <w:r>
              <w:rPr/>
              <w:t> </w:t>
            </w:r>
          </w:p>
        </w:tc>
        <w:tc>
          <w:tcPr>
            <w:tcW w:w="455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Please print Social Security or other identifying number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right represented by the within Warrant to purchase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 xml:space="preserve"> [Title of Warrant Securities] of </w:t>
      </w:r>
      <w:r>
        <w:rPr>
          <w:rFonts w:ascii="Times New Roman;Times;Serif" w:hAnsi="Times New Roman;Times;Serif"/>
          <w:b/>
          <w:i w:val="false"/>
          <w:caps w:val="false"/>
          <w:smallCaps w:val="false"/>
          <w:sz w:val="20"/>
        </w:rPr>
        <w:t>Milestone Pharmaceuticals Inc.</w:t>
      </w:r>
      <w:r>
        <w:rPr>
          <w:rFonts w:ascii="Times New Roman;Times;Serif" w:hAnsi="Times New Roman;Times;Serif"/>
          <w:b w:val="false"/>
          <w:i w:val="false"/>
          <w:caps w:val="false"/>
          <w:smallCaps w:val="false"/>
          <w:sz w:val="20"/>
        </w:rPr>
        <w:t xml:space="preserve"> to which the within Warrant relates and appoints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 xml:space="preserve"> attorney to transfer such right on the books of the Warrant Agent with full power of substitution in the premises.</w:t>
      </w:r>
    </w:p>
    <w:p>
      <w:pPr>
        <w:pStyle w:val="TextBody"/>
        <w:bidi w:val="0"/>
        <w:spacing w:before="0" w:after="0"/>
        <w:ind w:left="0" w:right="0" w:hanging="0"/>
        <w:jc w:val="left"/>
        <w:rPr>
          <w:caps w:val="false"/>
          <w:smallCaps w:val="false"/>
        </w:rPr>
      </w:pPr>
      <w:r>
        <w:rPr>
          <w:caps w:val="false"/>
          <w:smallCaps w:val="false"/>
        </w:rPr>
        <w:t> </w:t>
      </w:r>
    </w:p>
    <w:tbl>
      <w:tblPr>
        <w:tblW w:w="2370" w:type="dxa"/>
        <w:jc w:val="left"/>
        <w:tblInd w:w="0" w:type="dxa"/>
        <w:tblLayout w:type="fixed"/>
        <w:tblCellMar>
          <w:top w:w="0" w:type="dxa"/>
          <w:left w:w="0" w:type="dxa"/>
          <w:bottom w:w="0" w:type="dxa"/>
          <w:right w:w="0" w:type="dxa"/>
        </w:tblCellMar>
      </w:tblPr>
      <w:tblGrid>
        <w:gridCol w:w="665"/>
        <w:gridCol w:w="60"/>
        <w:gridCol w:w="60"/>
        <w:gridCol w:w="650"/>
        <w:gridCol w:w="935"/>
      </w:tblGrid>
      <w:tr>
        <w:trPr/>
        <w:tc>
          <w:tcPr>
            <w:tcW w:w="66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Dated:</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Name:</w:t>
            </w:r>
          </w:p>
        </w:tc>
        <w:tc>
          <w:tcPr>
            <w:tcW w:w="935" w:type="dxa"/>
            <w:tcBorders>
              <w:bottom w:val="single" w:sz="8" w:space="0" w:color="000000"/>
            </w:tcBorders>
            <w:tcMar>
              <w:bottom w:w="30" w:type="dxa"/>
            </w:tcMar>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Signature</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must conform in all respects to name of holder as specified on the face of the Warrant)</w:t>
      </w:r>
    </w:p>
    <w:p>
      <w:pPr>
        <w:pStyle w:val="TextBody"/>
        <w:bidi w:val="0"/>
        <w:spacing w:before="0" w:after="0"/>
        <w:ind w:left="0" w:right="0" w:hanging="0"/>
        <w:jc w:val="left"/>
        <w:rPr>
          <w:caps w:val="false"/>
          <w:smallCaps w:val="false"/>
        </w:rPr>
      </w:pPr>
      <w:r>
        <w:rPr>
          <w:caps w:val="false"/>
          <w:smallCaps w:val="false"/>
        </w:rPr>
        <w:t> </w:t>
      </w:r>
    </w:p>
    <w:tbl>
      <w:tblPr>
        <w:tblW w:w="1865" w:type="dxa"/>
        <w:jc w:val="left"/>
        <w:tblInd w:w="0" w:type="dxa"/>
        <w:tblLayout w:type="fixed"/>
        <w:tblCellMar>
          <w:top w:w="0" w:type="dxa"/>
          <w:left w:w="0" w:type="dxa"/>
          <w:bottom w:w="0" w:type="dxa"/>
          <w:right w:w="0" w:type="dxa"/>
        </w:tblCellMar>
      </w:tblPr>
      <w:tblGrid>
        <w:gridCol w:w="1790"/>
        <w:gridCol w:w="75"/>
      </w:tblGrid>
      <w:tr>
        <w:trPr/>
        <w:tc>
          <w:tcPr>
            <w:tcW w:w="17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Signature Guaranteed</w:t>
            </w:r>
          </w:p>
        </w:tc>
        <w:tc>
          <w:tcPr>
            <w:tcW w:w="75" w:type="dxa"/>
            <w:tcBorders/>
            <w:vAlign w:val="center"/>
          </w:tcPr>
          <w:p>
            <w:pPr>
              <w:pStyle w:val="TableContents"/>
              <w:bidi w:val="0"/>
              <w:spacing w:before="0" w:after="283"/>
              <w:jc w:val="left"/>
              <w:rPr/>
            </w:pPr>
            <w:r>
              <w:rPr/>
              <w:t> </w:t>
            </w:r>
          </w:p>
        </w:tc>
      </w:tr>
      <w:tr>
        <w:trPr/>
        <w:tc>
          <w:tcPr>
            <w:tcW w:w="1790"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jc w:val="left"/>
        <w:rPr/>
      </w:pPr>
      <w:bookmarkStart w:id="37" w:name="tm2614252d2_ex4-6.htm"/>
      <w:bookmarkStart w:id="38" w:name="kstm2614252d2_ex46"/>
      <w:bookmarkEnd w:id="37"/>
      <w:bookmarkEnd w:id="38"/>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4.6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Milestone Pharmaceuticals Inc.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and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_____________, As Warrant Agent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Form of Preferred Share</w:t>
        <w:br/>
        <w:t>Warrant Agreement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Dated As Of 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Milestone Pharmaceuticals Inc. Form of Preferred Share Warrant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This Preferred Share Warrant Agreement</w:t>
      </w:r>
      <w:r>
        <w:rPr>
          <w:rFonts w:ascii="Times New Roman;Times;Serif" w:hAnsi="Times New Roman;Times;Serif"/>
          <w:b w:val="false"/>
          <w:i w:val="false"/>
          <w:caps w:val="false"/>
          <w:smallCaps w:val="false"/>
          <w:sz w:val="20"/>
        </w:rPr>
        <w:t xml:space="preserve"> (this “</w:t>
      </w:r>
      <w:r>
        <w:rPr>
          <w:rFonts w:ascii="Times New Roman;Times;Serif" w:hAnsi="Times New Roman;Times;Serif"/>
          <w:b/>
          <w:i/>
          <w:caps w:val="false"/>
          <w:smallCaps w:val="false"/>
          <w:sz w:val="20"/>
        </w:rPr>
        <w:t>Agreement</w:t>
      </w:r>
      <w:r>
        <w:rPr>
          <w:rFonts w:ascii="Times New Roman;Times;Serif" w:hAnsi="Times New Roman;Times;Serif"/>
          <w:b w:val="false"/>
          <w:i w:val="false"/>
          <w:caps w:val="false"/>
          <w:smallCaps w:val="false"/>
          <w:sz w:val="20"/>
        </w:rPr>
        <w:t xml:space="preserve">”), dated as of [●], between </w:t>
      </w:r>
      <w:r>
        <w:rPr>
          <w:rFonts w:ascii="Times New Roman;Times;Serif" w:hAnsi="Times New Roman;Times;Serif"/>
          <w:b/>
          <w:i w:val="false"/>
          <w:smallCaps/>
          <w:sz w:val="20"/>
        </w:rPr>
        <w:t>Milestone Pharmaceuticals Inc.</w:t>
      </w:r>
      <w:r>
        <w:rPr>
          <w:rFonts w:ascii="Times New Roman;Times;Serif" w:hAnsi="Times New Roman;Times;Serif"/>
          <w:b w:val="false"/>
          <w:i w:val="false"/>
          <w:caps w:val="false"/>
          <w:smallCaps w:val="false"/>
          <w:sz w:val="20"/>
        </w:rPr>
        <w:t>, a corporation existing under the laws of the province of Québec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and [●], a [corporation] [national banking association] organized and existing under the laws of [●] and having a corporate trust office in [●], as warrant agent (the “</w:t>
      </w:r>
      <w:r>
        <w:rPr>
          <w:rFonts w:ascii="Times New Roman;Times;Serif" w:hAnsi="Times New Roman;Times;Serif"/>
          <w:b/>
          <w:i/>
          <w:caps w:val="false"/>
          <w:smallCaps w:val="false"/>
          <w:sz w:val="20"/>
        </w:rPr>
        <w:t>Warrant Agent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Whereas,</w:t>
      </w:r>
      <w:r>
        <w:rPr>
          <w:rFonts w:ascii="Times New Roman;Times;Serif" w:hAnsi="Times New Roman;Times;Serif"/>
          <w:b w:val="false"/>
          <w:i w:val="false"/>
          <w:caps w:val="false"/>
          <w:smallCaps w:val="false"/>
          <w:sz w:val="20"/>
        </w:rPr>
        <w:t xml:space="preserve"> the Company proposes to sell [</w:t>
      </w:r>
      <w:r>
        <w:rPr>
          <w:rFonts w:ascii="Times New Roman;Times;Serif" w:hAnsi="Times New Roman;Times;Serif"/>
          <w:b/>
          <w:i/>
          <w:caps w:val="false"/>
          <w:smallCaps w:val="false"/>
          <w:sz w:val="20"/>
        </w:rPr>
        <w:t xml:space="preserve">If Warrants are sold with other securities — </w:t>
      </w:r>
      <w:r>
        <w:rPr>
          <w:rFonts w:ascii="Times New Roman;Times;Serif" w:hAnsi="Times New Roman;Times;Serif"/>
          <w:b w:val="false"/>
          <w:i w:val="false"/>
          <w:caps w:val="false"/>
          <w:smallCaps w:val="false"/>
          <w:sz w:val="20"/>
        </w:rPr>
        <w:t>[title of such other securities being offered] (the “</w:t>
      </w:r>
      <w:r>
        <w:rPr>
          <w:rFonts w:ascii="Times New Roman;Times;Serif" w:hAnsi="Times New Roman;Times;Serif"/>
          <w:b/>
          <w:i/>
          <w:caps w:val="false"/>
          <w:smallCaps w:val="false"/>
          <w:sz w:val="20"/>
        </w:rPr>
        <w:t>Other Securities</w:t>
      </w:r>
      <w:r>
        <w:rPr>
          <w:rFonts w:ascii="Times New Roman;Times;Serif" w:hAnsi="Times New Roman;Times;Serif"/>
          <w:b w:val="false"/>
          <w:i w:val="false"/>
          <w:caps w:val="false"/>
          <w:smallCaps w:val="false"/>
          <w:sz w:val="20"/>
        </w:rPr>
        <w:t>”) with] warrant certificates evidencing one or more warrants (the “</w:t>
      </w:r>
      <w:r>
        <w:rPr>
          <w:rFonts w:ascii="Times New Roman;Times;Serif" w:hAnsi="Times New Roman;Times;Serif"/>
          <w:b/>
          <w:i/>
          <w:caps w:val="false"/>
          <w:smallCaps w:val="false"/>
          <w:sz w:val="20"/>
        </w:rPr>
        <w:t>Warrants</w:t>
      </w:r>
      <w:r>
        <w:rPr>
          <w:rFonts w:ascii="Times New Roman;Times;Serif" w:hAnsi="Times New Roman;Times;Serif"/>
          <w:b w:val="false"/>
          <w:i w:val="false"/>
          <w:caps w:val="false"/>
          <w:smallCaps w:val="false"/>
          <w:sz w:val="20"/>
        </w:rPr>
        <w:t>” or, individually, a “</w:t>
      </w:r>
      <w:r>
        <w:rPr>
          <w:rFonts w:ascii="Times New Roman;Times;Serif" w:hAnsi="Times New Roman;Times;Serif"/>
          <w:b/>
          <w:i/>
          <w:caps w:val="false"/>
          <w:smallCaps w:val="false"/>
          <w:sz w:val="20"/>
        </w:rPr>
        <w:t>Warrant</w:t>
      </w:r>
      <w:r>
        <w:rPr>
          <w:rFonts w:ascii="Times New Roman;Times;Serif" w:hAnsi="Times New Roman;Times;Serif"/>
          <w:b w:val="false"/>
          <w:i w:val="false"/>
          <w:caps w:val="false"/>
          <w:smallCaps w:val="false"/>
          <w:sz w:val="20"/>
        </w:rPr>
        <w:t>”) representing the right to purchase [title of Preferred Share purchasable through exercise of Warrants], no par value per share, in the capital of the Company (such preferred shares, the “</w:t>
      </w:r>
      <w:r>
        <w:rPr>
          <w:rFonts w:ascii="Times New Roman;Times;Serif" w:hAnsi="Times New Roman;Times;Serif"/>
          <w:b/>
          <w:i/>
          <w:caps w:val="false"/>
          <w:smallCaps w:val="false"/>
          <w:sz w:val="20"/>
        </w:rPr>
        <w:t>Warrant Securities</w:t>
      </w:r>
      <w:r>
        <w:rPr>
          <w:rFonts w:ascii="Times New Roman;Times;Serif" w:hAnsi="Times New Roman;Times;Serif"/>
          <w:b w:val="false"/>
          <w:i w:val="false"/>
          <w:caps w:val="false"/>
          <w:smallCaps w:val="false"/>
          <w:sz w:val="20"/>
        </w:rPr>
        <w:t>”), such warrant certificates and other warrant certificates issued pursuant to this Agreement being herein called the “</w:t>
      </w:r>
      <w:r>
        <w:rPr>
          <w:rFonts w:ascii="Times New Roman;Times;Serif" w:hAnsi="Times New Roman;Times;Serif"/>
          <w:b/>
          <w:i/>
          <w:caps w:val="false"/>
          <w:smallCaps w:val="false"/>
          <w:sz w:val="20"/>
        </w:rPr>
        <w:t>Warrant Certificates</w:t>
      </w:r>
      <w:r>
        <w:rPr>
          <w:rFonts w:ascii="Times New Roman;Times;Serif" w:hAnsi="Times New Roman;Times;Serif"/>
          <w:b w:val="false"/>
          <w:i w:val="false"/>
          <w:caps w:val="false"/>
          <w:smallCaps w:val="false"/>
          <w:sz w:val="20"/>
        </w:rPr>
        <w: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 xml:space="preserve">Whereas, </w:t>
      </w:r>
      <w:r>
        <w:rPr>
          <w:rFonts w:ascii="Times New Roman;Times;Serif" w:hAnsi="Times New Roman;Times;Serif"/>
          <w:b w:val="false"/>
          <w:i w:val="false"/>
          <w:caps w:val="false"/>
          <w:smallCaps w:val="false"/>
          <w:sz w:val="20"/>
        </w:rPr>
        <w:t>the Company desires the Warrant Agent to act on behalf of the Company, and the Warrant Agent is willing so to act, in connection with the issuance, registration, transfer, exchange, exercise and replacement of the Warrant Certificates, and, in this Agreement, the Company wishes to set forth, among other things, the form and provisions of the Warrant Certificates and the terms and conditions on which they may be issued, registered, transferred, exchanged, exercised and replaced.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Now Therefore,</w:t>
      </w:r>
      <w:r>
        <w:rPr>
          <w:rFonts w:ascii="Times New Roman;Times;Serif" w:hAnsi="Times New Roman;Times;Serif"/>
          <w:b w:val="false"/>
          <w:i w:val="false"/>
          <w:caps w:val="false"/>
          <w:smallCaps w:val="false"/>
          <w:sz w:val="20"/>
        </w:rPr>
        <w:t xml:space="preserve"> in consideration of the premises and of the mutual agreements herein contained, the parties hereto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ISSUANCE OF WARRANTS AND EXECUTION AND</w:t>
        <w:br/>
        <w:t>DELIVERY OF WARRANT CERTIFICATES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1.1 Issuance of Warrants.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If Warrants alone</w:t>
      </w:r>
      <w:r>
        <w:rPr>
          <w:rFonts w:ascii="Times New Roman;Times;Serif" w:hAnsi="Times New Roman;Times;Serif"/>
          <w:b w:val="false"/>
          <w:i w:val="false"/>
          <w:caps w:val="false"/>
          <w:smallCaps w:val="false"/>
          <w:sz w:val="20"/>
        </w:rPr>
        <w:t xml:space="preserve"> —Upon issuance, each Warrant Certificate shall evidence one or more Warrants.] [</w:t>
      </w:r>
      <w:r>
        <w:rPr>
          <w:rFonts w:ascii="Times New Roman;Times;Serif" w:hAnsi="Times New Roman;Times;Serif"/>
          <w:b/>
          <w:i/>
          <w:caps w:val="false"/>
          <w:smallCaps w:val="false"/>
          <w:sz w:val="20"/>
        </w:rPr>
        <w:t>If Other Securities and Warrants</w:t>
      </w:r>
      <w:r>
        <w:rPr>
          <w:rFonts w:ascii="Times New Roman;Times;Serif" w:hAnsi="Times New Roman;Times;Serif"/>
          <w:b w:val="false"/>
          <w:i w:val="false"/>
          <w:caps w:val="false"/>
          <w:smallCaps w:val="false"/>
          <w:sz w:val="20"/>
        </w:rPr>
        <w:t xml:space="preserve"> —Warrant Certificates will be issued in connection with the issuance of the Other Securities but shall be separately transferable and each Warrant Certificate shall evidence one or more Warrants.] Each Warrant evidenced thereby shall represent the right, subject to the provisions contained herein and therein, to purchase one Warrant Security. [</w:t>
      </w:r>
      <w:r>
        <w:rPr>
          <w:rFonts w:ascii="Times New Roman;Times;Serif" w:hAnsi="Times New Roman;Times;Serif"/>
          <w:b/>
          <w:i/>
          <w:caps w:val="false"/>
          <w:smallCaps w:val="false"/>
          <w:sz w:val="20"/>
        </w:rPr>
        <w:t>If Other Securities and Warrants</w:t>
      </w:r>
      <w:r>
        <w:rPr>
          <w:rFonts w:ascii="Times New Roman;Times;Serif" w:hAnsi="Times New Roman;Times;Serif"/>
          <w:b w:val="false"/>
          <w:i w:val="false"/>
          <w:caps w:val="false"/>
          <w:smallCaps w:val="false"/>
          <w:sz w:val="20"/>
        </w:rPr>
        <w:t xml:space="preserve"> —Warrant Certificates will be issued with the Other Securities and each Warrant Certificate will evidence [●] Warrants for each [US$[●] principal amount] [[●] shares] of Other Securities issued.]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 Execution and Delivery of Warrant Certificates.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 xml:space="preserve">Each Warrant Certificate, whenever issued, shall be in registered form substantially in the form set forth in </w:t>
      </w:r>
      <w:r>
        <w:rPr>
          <w:rFonts w:ascii="Times New Roman;Times;Serif" w:hAnsi="Times New Roman;Times;Serif"/>
          <w:b/>
          <w:i w:val="false"/>
          <w:caps w:val="false"/>
          <w:smallCaps w:val="false"/>
          <w:sz w:val="20"/>
        </w:rPr>
        <w:t>Exhibit A</w:t>
      </w:r>
      <w:r>
        <w:rPr>
          <w:rFonts w:ascii="Times New Roman;Times;Serif" w:hAnsi="Times New Roman;Times;Serif"/>
          <w:b w:val="false"/>
          <w:i w:val="false"/>
          <w:caps w:val="false"/>
          <w:smallCaps w:val="false"/>
          <w:sz w:val="20"/>
        </w:rPr>
        <w:t xml:space="preserve"> hereto, shall be dated the date of its countersignature by the Warrant Agent and may have such letters, numbers, or other marks of identification or designation and such legends or endorsements printed, lithographed or engraved thereon as the officers of the Company executing the same may approve (execution thereof to be conclusive evidence of such approval) and as are not inconsistent with the provisions of this Agreement, or as may be required to comply with any law or with any rule or regulation made pursuant thereto or with any rule or regulation of any securities exchange on which the Warrants may be listed, or to conform to usage. The Warrant Certificates shall be signed on behalf of the Company by any of its present or future chief executive officers, presidents, senior vice presidents, vice presidents, chief financial officers, chief legal officers, treasurers, assistant treasurers, controllers, assistant controllers, secretaries or assistant secretaries, as authorized by the board of directors of the Company (the “</w:t>
      </w:r>
      <w:r>
        <w:rPr>
          <w:rFonts w:ascii="Times New Roman;Times;Serif" w:hAnsi="Times New Roman;Times;Serif"/>
          <w:b/>
          <w:i/>
          <w:caps w:val="false"/>
          <w:smallCaps w:val="false"/>
          <w:sz w:val="20"/>
        </w:rPr>
        <w:t>Board</w:t>
      </w:r>
      <w:r>
        <w:rPr>
          <w:rFonts w:ascii="Times New Roman;Times;Serif" w:hAnsi="Times New Roman;Times;Serif"/>
          <w:b w:val="false"/>
          <w:i w:val="false"/>
          <w:caps w:val="false"/>
          <w:smallCaps w:val="false"/>
          <w:sz w:val="20"/>
        </w:rPr>
        <w:t>”). Such signatures may be manual or facsimile signatures of such authorized officers and may be imprinted or otherwise reproduced on the Warrant Certificates.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No Warrant Certificate shall be valid for any purpose, and no Warrant evidenced thereby shall be exercisable, until such Warrant Certificate has been countersigned by the manual signature of the Warrant Agent. Such signature by the Warrant Agent upon any Warrant Certificate executed by the Company shall be conclusive evidence that the Warrant Certificate so countersigned has been duly issued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w:t>
      </w:r>
      <w:r>
        <w:rPr>
          <w:rFonts w:ascii="Times New Roman;Times;Serif" w:hAnsi="Times New Roman;Times;Serif"/>
          <w:b w:val="false"/>
          <w:i w:val="false"/>
          <w:caps w:val="false"/>
          <w:smallCaps w:val="false"/>
          <w:sz w:val="20"/>
        </w:rPr>
        <w:t>In case any officer of the Company who shall have signed any of the Warrant Certificates either manually or by facsimile signature shall cease for any reason to be such officer before the Warrant Certificates so signed shall have been countersigned and delivered by the Warrant Agent, such Warrant Certificates may be countersigned and delivered notwithstanding that the person who signed such Warrant Certificates ceased to be such officer of the Company; and any Warrant Certificate may be signed on behalf of the Company by such persons as, at the actual date of the execution of such Warrant Certificate, shall be the proper officers of the Company, although at the date of the execution of this Agreement any such person was not such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 </w:t>
      </w:r>
      <w:r>
        <w:rPr>
          <w:rFonts w:ascii="Times New Roman;Times;Serif" w:hAnsi="Times New Roman;Times;Serif"/>
          <w:b w:val="false"/>
          <w:i w:val="false"/>
          <w:caps w:val="false"/>
          <w:smallCaps w:val="false"/>
          <w:sz w:val="20"/>
        </w:rPr>
        <w:t>The term “</w:t>
      </w:r>
      <w:r>
        <w:rPr>
          <w:rFonts w:ascii="Times New Roman;Times;Serif" w:hAnsi="Times New Roman;Times;Serif"/>
          <w:b/>
          <w:i/>
          <w:caps w:val="false"/>
          <w:smallCaps w:val="false"/>
          <w:sz w:val="20"/>
        </w:rPr>
        <w:t>holder</w:t>
      </w:r>
      <w:r>
        <w:rPr>
          <w:rFonts w:ascii="Times New Roman;Times;Serif" w:hAnsi="Times New Roman;Times;Serif"/>
          <w:b w:val="false"/>
          <w:i w:val="false"/>
          <w:caps w:val="false"/>
          <w:smallCaps w:val="false"/>
          <w:sz w:val="20"/>
        </w:rPr>
        <w:t>” or “</w:t>
      </w:r>
      <w:r>
        <w:rPr>
          <w:rFonts w:ascii="Times New Roman;Times;Serif" w:hAnsi="Times New Roman;Times;Serif"/>
          <w:b/>
          <w:i/>
          <w:caps w:val="false"/>
          <w:smallCaps w:val="false"/>
          <w:sz w:val="20"/>
        </w:rPr>
        <w:t>holder of a Warrant Certificate</w:t>
      </w:r>
      <w:r>
        <w:rPr>
          <w:rFonts w:ascii="Times New Roman;Times;Serif" w:hAnsi="Times New Roman;Times;Serif"/>
          <w:b w:val="false"/>
          <w:i w:val="false"/>
          <w:caps w:val="false"/>
          <w:smallCaps w:val="false"/>
          <w:sz w:val="20"/>
        </w:rPr>
        <w:t>” as used herein shall mean any person in whose name at the time any Warrant Certificate shall be registered upon the books to be maintained by the Warrant Agent for that purpose.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1.3 Issuance of Warrant Certificates. </w:t>
      </w:r>
      <w:r>
        <w:rPr>
          <w:rFonts w:ascii="Times New Roman;Times;Serif" w:hAnsi="Times New Roman;Times;Serif"/>
          <w:b w:val="false"/>
          <w:i w:val="false"/>
          <w:caps w:val="false"/>
          <w:smallCaps w:val="false"/>
          <w:sz w:val="20"/>
        </w:rPr>
        <w:t>Warrant Certificates evidencing the right to purchase Warrant Securities may be executed by the Company and delivered to the Warrant Agent upon the execution of this Agreement or from time to time thereafter. The Warrant Agent shall, upon receipt of Warrant Certificates duly executed on behalf of the Company, countersign such Warrant Certificates and shall deliver such Warrant Certificates to or upon the order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WARRANT PRICE, DURATION AND EXERCISE OF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2.1 Warrant Price. </w:t>
      </w:r>
      <w:r>
        <w:rPr>
          <w:rFonts w:ascii="Times New Roman;Times;Serif" w:hAnsi="Times New Roman;Times;Serif"/>
          <w:b w:val="false"/>
          <w:i w:val="false"/>
          <w:caps w:val="false"/>
          <w:smallCaps w:val="false"/>
          <w:sz w:val="20"/>
        </w:rPr>
        <w:t>During the period specified in Section 2.2, each Warrant shall, subject to the terms of this Agreement and the applicable Warrant Certificate, entitle the holder thereof to purchase the number of Warrant Securities specified in the applicable Warrant Certificate at an exercise price of $[●] per Warrant Security, subject to adjustment upon the occurrence of certain events, as hereinafter provided. Such purchase price per Warrant Security is referred to in this Agreement as the “</w:t>
      </w:r>
      <w:r>
        <w:rPr>
          <w:rFonts w:ascii="Times New Roman;Times;Serif" w:hAnsi="Times New Roman;Times;Serif"/>
          <w:b/>
          <w:i/>
          <w:caps w:val="false"/>
          <w:smallCaps w:val="false"/>
          <w:sz w:val="20"/>
        </w:rPr>
        <w:t>Warrant Price.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2.2 Duration of Warrants. </w:t>
      </w:r>
      <w:r>
        <w:rPr>
          <w:rFonts w:ascii="Times New Roman;Times;Serif" w:hAnsi="Times New Roman;Times;Serif"/>
          <w:b w:val="false"/>
          <w:i w:val="false"/>
          <w:caps w:val="false"/>
          <w:smallCaps w:val="false"/>
          <w:sz w:val="20"/>
        </w:rPr>
        <w:t>Each Warrant may be exercised in whole or in part at any time, as specified herein, on or after [the date thereof] [●] and at or before [●] p.m., [City] time, on [●] or such later date as the Company may designate by notice to the Warrant Agent and the holders of Warrant Certificates mailed to their addresses as set forth in the record books of the Warrant Agent (the “</w:t>
      </w:r>
      <w:r>
        <w:rPr>
          <w:rFonts w:ascii="Times New Roman;Times;Serif" w:hAnsi="Times New Roman;Times;Serif"/>
          <w:b/>
          <w:i/>
          <w:caps w:val="false"/>
          <w:smallCaps w:val="false"/>
          <w:sz w:val="20"/>
        </w:rPr>
        <w:t>Expiration Date</w:t>
      </w:r>
      <w:r>
        <w:rPr>
          <w:rFonts w:ascii="Times New Roman;Times;Serif" w:hAnsi="Times New Roman;Times;Serif"/>
          <w:b w:val="false"/>
          <w:i w:val="false"/>
          <w:caps w:val="false"/>
          <w:smallCaps w:val="false"/>
          <w:sz w:val="20"/>
        </w:rPr>
        <w:t>”). Each Warrant not exercised at or before [●] p.m., [City] time, on the Expiration Date shall become void, and all rights of the holder of the Warrant Certificate evidencing such Warrant under this Agreement shall cease to have any force or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2.3 Exercise of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During the period specified in Section 2.2, the Warrants may be exercised to purchase a whole number of Warrant Securities in registered form by providing certain information as set forth on the reverse side of the Warrant Certificate and by paying in full, in lawful money of the United States of America, [in cash or by certified check or official bank check in New York Clearing House funds] [by bank wire transfer in immediately available funds] the Warrant Price for each Warrant Security with respect to which a Warrant is being exercised to the Warrant Agent at its corporate trust office, provided that such exercise is subject to receipt within five business days of such payment by the Warrant Agent of the Warrant Certificate with the form of election to purchase Warrant Securities set forth on the reverse side of the Warrant Certificate properly completed and duly executed. The date on which payment in full of the Warrant Price is received by the Warrant Agent shall, subject to receipt of the Warrant Certificate in accordance with this Section 2.3(a), be deemed to be the date on which the Warrant is exercised; provided, however, that if, at the date of receipt of such Warrant Certificates and payment in full of the Warrant Price, the transfer books for the Warrant Securities purchasable upon the exercise of such Warrants shall be closed, no such receipt of such Warrant Certificates and no such payment of such Warrant Price shall be effective to constitute the person so designated to be named as the holder of record of such Warrant Securities on such date, but shall be effective to constitute such person as the holder of record of such Warrant Securities for all purposes at the opening of business on the next succeeding day on which the transfer books for the Warrant Securities purchasable upon the exercise of such Warrants shall be opened, and the certificates for the Warrant Securities in respect of which such Warrants are then exercised shall be issuable as of the date on such next succeeding day on which the transfer books shall next be opened, and until such date the Company shall be under no duty to deliver any certificate for such Warrant Securities. The Warrant Agent shall deposit all funds received by it in payment of the Warrant Price in an account of the Company maintained with it and shall advise the Company by telephone at the end of each day on which a payment for the exercise of Warrants is received of the amount so deposited to its account. The Warrant Agent shall promptly confirm such telephone advice to the Company in writing.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The Warrant Agent shall, from time to time, as promptly as practicable, advise the Company of (i) the number of Warrant Securities with respect to which Warrants were exercised, (ii) the instructions of each holder of the Warrant Certificates evidencing such Warrants with respect to delivery of the Warrant Securities to which such holder is entitled upon such exercise, (iii) delivery of Warrant Certificates evidencing the balance, if any, of the Warrants for the remaining Warrant Securities after such exercise, and (iv) such other information as the Company shall reasonably require.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w:t>
      </w:r>
      <w:r>
        <w:rPr>
          <w:rFonts w:ascii="Times New Roman;Times;Serif" w:hAnsi="Times New Roman;Times;Serif"/>
          <w:b w:val="false"/>
          <w:i w:val="false"/>
          <w:caps w:val="false"/>
          <w:smallCaps w:val="false"/>
          <w:sz w:val="20"/>
        </w:rPr>
        <w:t>As soon as practicable after the exercise of any Warrant, the Company shall issue to or upon the order of the holder of the Warrant Certificate evidencing such Warrant the Warrant Securities to which such holder is entitled, in fully registered form, registered in such name or names as may be directed by such holder. If fewer than all of the Warrants evidenced by such Warrant Certificate are exercised, the Company shall execute, and an authorized officer of the Warrant Agent shall manually countersign and deliver, a new Warrant Certificate evidencing Warrants for the number of Warrant Securities remaining unexercised.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 </w:t>
      </w:r>
      <w:r>
        <w:rPr>
          <w:rFonts w:ascii="Times New Roman;Times;Serif" w:hAnsi="Times New Roman;Times;Serif"/>
          <w:b w:val="false"/>
          <w:i w:val="false"/>
          <w:caps w:val="false"/>
          <w:smallCaps w:val="false"/>
          <w:sz w:val="20"/>
        </w:rPr>
        <w:t>The Company shall not be required to pay any stamp or other tax or other governmental charge required to be paid in connection with any transfer involved in the issue of the Warrant Securities, and in the event that any such transfer is involved, the Company shall not be required to issue or deliver any Warrant Security until such tax or other charge shall have been paid or it has been established to the Company’s satisfaction that no such tax or other charge is due.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 </w:t>
      </w:r>
      <w:r>
        <w:rPr>
          <w:rFonts w:ascii="Times New Roman;Times;Serif" w:hAnsi="Times New Roman;Times;Serif"/>
          <w:b w:val="false"/>
          <w:i w:val="false"/>
          <w:caps w:val="false"/>
          <w:smallCaps w:val="false"/>
          <w:sz w:val="20"/>
        </w:rPr>
        <w:t>Prior to the issuance of any Warrants, there shall have been reserved, and the Company shall at all times through the Expiration Date keep reserved, out of its authorized but unissued Warrant Securities, a number of shares sufficient to provide for the exercise of the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OTHER PROVISIONS RELATING TO RIGHTS OF HOLDERS OF</w:t>
        <w:br/>
        <w:t>WARRANT CERTIFICATES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3.1 No Rights as Warrant Securityholder Conferred by Warrants or Warrant Certificates. </w:t>
      </w:r>
      <w:r>
        <w:rPr>
          <w:rFonts w:ascii="Times New Roman;Times;Serif" w:hAnsi="Times New Roman;Times;Serif"/>
          <w:b w:val="false"/>
          <w:i w:val="false"/>
          <w:caps w:val="false"/>
          <w:smallCaps w:val="false"/>
          <w:sz w:val="20"/>
        </w:rPr>
        <w:t>No Warrant Certificate or Warrant evidenced thereby shall entitle the holder thereof to any of the rights of a holder of Warrant Securities, including, without limitation, the right to receive the payment of dividends or distributions, if any, on the Warrant Securities or to exercise any voting rights, except to the extent expressly set forth in this Agreement or the applicable Warrant Certificate.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3.2 Lost, Stolen, Mutilated or Destroyed Warrant Certificates. </w:t>
      </w:r>
      <w:r>
        <w:rPr>
          <w:rFonts w:ascii="Times New Roman;Times;Serif" w:hAnsi="Times New Roman;Times;Serif"/>
          <w:b w:val="false"/>
          <w:i w:val="false"/>
          <w:caps w:val="false"/>
          <w:smallCaps w:val="false"/>
          <w:sz w:val="20"/>
        </w:rPr>
        <w:t>Upon receipt by the Warrant Agent of evidence reasonably satisfactory to it and the Company of the ownership of and the loss, theft, destruction or mutilation of any Warrant Certificate and/or indemnity reasonably satisfactory to the Warrant Agent and the Company and, in the case of mutilation, upon surrender of the mutilated Warrant Certificate to the Warrant Agent for cancellation, then, in the absence of notice to the Company or the Warrant Agent that such Warrant Certificate has been acquired by a bona fide purchaser, the Company shall execute, and an authorized officer of the Warrant Agent shall manually countersign and deliver, in exchange for or in lieu of the lost, stolen, destroyed or mutilated Warrant Certificate, a new Warrant Certificate of the same tenor and evidencing Warrants for a like number of Warrant Securities. Upon the issuance of any new Warrant Certificate under this Section 3.2, the Company may require the payment of a sum sufficient to cover any tax or other governmental charge that may be imposed in relation thereto and any other expenses (including the fees and expenses of the Warrant Agent) in connection therewith. Every substitute Warrant Certificate executed and delivered pursuant to this Section 3.2 in lieu of any lost, stolen or destroyed Warrant Certificate shall represent an additional contractual obligation of the Company, whether or not the lost, stolen or destroyed Warrant Certificate shall be at any time enforceable by anyone, and shall be entitled to the benefits of this Agreement equally and proportionately with any and all other Warrant Certificates duly executed and delivered hereunder. The provisions of this Section 3.2 are exclusive and shall preclude (to the extent lawful) all other rights and remedies with respect to the replacement of mutilated, lost, stolen or destroyed Warrant Certificates.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3.3 Holder of Warrant Certificate May Enforce Rights. </w:t>
      </w:r>
      <w:r>
        <w:rPr>
          <w:rFonts w:ascii="Times New Roman;Times;Serif" w:hAnsi="Times New Roman;Times;Serif"/>
          <w:b w:val="false"/>
          <w:i w:val="false"/>
          <w:caps w:val="false"/>
          <w:smallCaps w:val="false"/>
          <w:sz w:val="20"/>
        </w:rPr>
        <w:t>Notwithstanding any of the provisions of this Agreement, any holder of a Warrant Certificate, without the consent of the Warrant Agent, the holder of any Warrant Securities or the holder of any other Warrant Certificate, may, in such holder’s own behalf and for such holder’s own benefit, enforce, and may institute and maintain any suit, action or proceeding against the Company suitable to enforce, or otherwise in respect of, such holder’s right to exercise the Warrants evidenced by such holder’s Warrant Certificate in the manner provided in such holder’s Warrant Certificate and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3.4 Adjustments.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In case the Company shall at any time subdivide its issued and outstanding Warrant Securities into a greater number of shares, the Warrant Price in effect immediately prior to such subdivision shall be proportionately reduced and the number of Warrant Securities purchasable under the Warrants shall be proportionately increased. Conversely, in case the issued and outstanding Warrant Securities shall be consolidated into a smaller number of shares, the Warrant Price in effect immediately prior to such consolidation shall be proportionately increased and the number of Warrant Securities purchasable under the Warrants shall be proportionately decreased.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If at any time or from time to time the holders of the Warrant Securities (or any shares or other securities at the time receivable upon the exercise of the Warrants) shall have received or become entitled to receive, without payment therefore,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 </w:t>
      </w:r>
      <w:r>
        <w:rPr>
          <w:rFonts w:ascii="Times New Roman;Times;Serif" w:hAnsi="Times New Roman;Times;Serif"/>
          <w:b w:val="false"/>
          <w:i w:val="false"/>
          <w:caps w:val="false"/>
          <w:smallCaps w:val="false"/>
          <w:sz w:val="20"/>
        </w:rPr>
        <w:t>the Warrant Securities or any shares or other securities which are at any time directly or indirectly convertible into or exchangeable for the Warrant Securities, or any rights or options to subscribe for, purchase or otherwise acquire any of the foregoing by way of dividend or other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(ii) </w:t>
      </w:r>
      <w:r>
        <w:rPr>
          <w:rFonts w:ascii="Times New Roman;Times;Serif" w:hAnsi="Times New Roman;Times;Serif"/>
          <w:b w:val="false"/>
          <w:i w:val="false"/>
          <w:caps w:val="false"/>
          <w:smallCaps w:val="false"/>
          <w:sz w:val="20"/>
        </w:rPr>
        <w:t>any cash paid or payable otherwise than in accordance with the terms of the Warrant Securities or as a cash dividend paid or payable out of the Company’s current or retained earnings;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(iii) </w:t>
      </w:r>
      <w:r>
        <w:rPr>
          <w:rFonts w:ascii="Times New Roman;Times;Serif" w:hAnsi="Times New Roman;Times;Serif"/>
          <w:b w:val="false"/>
          <w:i w:val="false"/>
          <w:caps w:val="false"/>
          <w:smallCaps w:val="false"/>
          <w:sz w:val="20"/>
        </w:rPr>
        <w:t>any evidence of the Company’s indebtedness or rights to subscribe for or purchase the Company’s indebtedness;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(iv) </w:t>
      </w:r>
      <w:r>
        <w:rPr>
          <w:rFonts w:ascii="Times New Roman;Times;Serif" w:hAnsi="Times New Roman;Times;Serif"/>
          <w:b w:val="false"/>
          <w:i w:val="false"/>
          <w:caps w:val="false"/>
          <w:smallCaps w:val="false"/>
          <w:sz w:val="20"/>
        </w:rPr>
        <w:t>the Warrant Securities or additional share or other securities or property (including cash) by way of spinoff, split-up, reclassification, consolidation of shares or similar corporate reorganization (other than the Warrant Securities issued as a share split or adjustments in respect of which shall be covered by the terms of Section 3.4(a) above), then and in each such case, the holder of each Warrant shall, upon the exercise of the Warrant, be entitled to receive, in addition to the number of Warrant Securities receivable thereupon, and without payment of any additional consideration therefore, the amount of shares and other securities and property (including cash and indebtedness or rights to subscribe for or purchase indebtedness) which such holder would hold on the date of such exercise had such holder been the holder of record of such Warrant Securities as of the date on which holders of the Warrant Securities received or became entitled to receive such shares or all other additional shares and other securities and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w:t>
      </w:r>
      <w:r>
        <w:rPr>
          <w:rFonts w:ascii="Times New Roman;Times;Serif" w:hAnsi="Times New Roman;Times;Serif"/>
          <w:b w:val="false"/>
          <w:i w:val="false"/>
          <w:caps w:val="false"/>
          <w:smallCaps w:val="false"/>
          <w:sz w:val="20"/>
        </w:rPr>
        <w:t>In case of (i) any reclassification, capital reorganization, or change in the Warrant Securities (other than as a result of a subdivision, consolidation, or stock dividend provided for in Section 3.4(a) or Section 3.4(b) above), (ii) share exchange, amalgamation, merger or similar transaction of the Company with or into another person or entity (other than a share exchange, amalgamation, merger or similar transaction in which the Company is the acquiring or surviving corporation and which does not result in any change in the Warrant Securities other than the issuance of additional Warrant Securities) or (iii) the sale, exchange, lease, transfer or other disposition of all or substantially all of the properties and assets of the Company as an entirety (in any such case, a “</w:t>
      </w:r>
      <w:r>
        <w:rPr>
          <w:rFonts w:ascii="Times New Roman;Times;Serif" w:hAnsi="Times New Roman;Times;Serif"/>
          <w:b/>
          <w:i/>
          <w:caps w:val="false"/>
          <w:smallCaps w:val="false"/>
          <w:sz w:val="20"/>
        </w:rPr>
        <w:t>Reorganization Event</w:t>
      </w:r>
      <w:r>
        <w:rPr>
          <w:rFonts w:ascii="Times New Roman;Times;Serif" w:hAnsi="Times New Roman;Times;Serif"/>
          <w:b w:val="false"/>
          <w:i w:val="false"/>
          <w:caps w:val="false"/>
          <w:smallCaps w:val="false"/>
          <w:sz w:val="20"/>
        </w:rPr>
        <w:t xml:space="preserve">”), then, as a condition of such Reorganization Event, lawful provisions shall be made, and duly executed documents evidencing the same from the Company, its successor [or assignee] shall be delivered to the holders of the Warrants, so that the holders of the Warrants shall have the right at any time prior to the expiration of the Warrants to purchase, at a total price equal to that payable upon the exercise of the Warrants, the kind and amount of shares and other securities and property receivable in connection with such Reorganization Event by a holder of the same number of Warrant Securities as were purchasable by the holders of the Warrants immediately prior to such Reorganization Event. In any such case appropriate provisions shall be made with respect to the rights and interests of the holders of the Warrants so that the provisions hereof shall thereafter be applicable with respect to any shares or other securities and property deliverable upon exercise the Warrants, and appropriate adjustments shall be made to the Warrant Price payable hereunder provided the aggregate purchase price shall remain the same. In the case of any transaction described in clauses (ii) or (iii) above (other than in the case of an amalgamation in accordance with the </w:t>
      </w:r>
      <w:r>
        <w:rPr>
          <w:rFonts w:ascii="Times New Roman;Times;Serif" w:hAnsi="Times New Roman;Times;Serif"/>
          <w:b w:val="false"/>
          <w:i/>
          <w:caps w:val="false"/>
          <w:smallCaps w:val="false"/>
          <w:sz w:val="20"/>
        </w:rPr>
        <w:t>Business Corporations Act</w:t>
      </w:r>
      <w:r>
        <w:rPr>
          <w:rFonts w:ascii="Times New Roman;Times;Serif" w:hAnsi="Times New Roman;Times;Serif"/>
          <w:b w:val="false"/>
          <w:i w:val="false"/>
          <w:caps w:val="false"/>
          <w:smallCaps w:val="false"/>
          <w:sz w:val="20"/>
        </w:rPr>
        <w:t xml:space="preserve"> (Québec), the Company shall thereupon be relieved of any further obligation hereunder or under the Warrants, and the Company as the predecessor corporation may thereupon or at any time thereafter be dissolved, wound up or liquidated. Such successor or assuming entity thereupon may cause to be signed, and may issue either in its own name or in the name of the Company, any or all of the Warrants issuable hereunder which heretofore shall not have been signed by the Company, and may execute and deliver securities in its own name, in fulfillment of its obligations to deliver Warrant Securities upon exercise of the Warrants. All the Warrants so issued shall in all respects have the same legal rank and benefit under this Agreement as the Warrants theretofore or thereafter issued in accordance with the terms of this Agreement as though all of such Warrants had been issued at the date of the execution hereof. In any case of any such Reorganization Event, such changes in phraseology and form (but not in substance) may be made in the Warrants thereafter to be issued as may be appropriate. The Warrant Agent may receive a written opinion of legal counsel as conclusive evidence that any such Reorganization Event complies with the provisions of this Section 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 </w:t>
      </w:r>
      <w:r>
        <w:rPr>
          <w:rFonts w:ascii="Times New Roman;Times;Serif" w:hAnsi="Times New Roman;Times;Serif"/>
          <w:b w:val="false"/>
          <w:i w:val="false"/>
          <w:caps w:val="false"/>
          <w:smallCaps w:val="false"/>
          <w:sz w:val="20"/>
        </w:rPr>
        <w:t>The Company may, at its option, at any time until the Expiration Date, reduce the then current Warrant Price to any amount deemed appropriate by the Board for any period not exceeding twenty consecutive days (as evidenced in a resolution adopted by such Board), but only upon giving the notices required by Section 3.5 at least ten days prior to taking such 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 </w:t>
      </w:r>
      <w:r>
        <w:rPr>
          <w:rFonts w:ascii="Times New Roman;Times;Serif" w:hAnsi="Times New Roman;Times;Serif"/>
          <w:b w:val="false"/>
          <w:i w:val="false"/>
          <w:caps w:val="false"/>
          <w:smallCaps w:val="false"/>
          <w:sz w:val="20"/>
        </w:rPr>
        <w:t xml:space="preserve">Except as herein otherwise expressly provided, no adjustment in the Warrant Price shall be made by reason of the issuance of </w:t>
      </w:r>
      <w:r>
        <w:rPr>
          <w:rFonts w:ascii="Times New Roman;Times;Serif" w:hAnsi="Times New Roman;Times;Serif"/>
          <w:b w:val="false"/>
          <w:i w:val="false"/>
          <w:caps w:val="false"/>
          <w:smallCaps w:val="false"/>
          <w:sz w:val="20"/>
          <w:shd w:fill="FFFFFF" w:val="clear"/>
        </w:rPr>
        <w:t>any securities of the Company or for any other reason whatsoever.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 </w:t>
      </w:r>
      <w:r>
        <w:rPr>
          <w:rFonts w:ascii="Times New Roman;Times;Serif" w:hAnsi="Times New Roman;Times;Serif"/>
          <w:b w:val="false"/>
          <w:i w:val="false"/>
          <w:caps w:val="false"/>
          <w:smallCaps w:val="false"/>
          <w:sz w:val="20"/>
        </w:rPr>
        <w:t>No fractional Warrant Securities shall be issued upon the exercise of Warrants. If more than one Warrant shall be exercised at one time by the same holder, the number of whole Warrant Securities which shall be issuable upon such exercise shall be computed on the basis of the aggregate number of Warrant Securities purchased pursuant to the Warrants so exercised. Instead of any fractional Warrant Security which would otherwise be issuable upon exercise of any Warrant, the Company shall pay a cash adjustment in respect of such fraction in an amount equal to the same fraction of the last reported sale price (or bid price if there were no sales) per Warrant Security, in either case as reported on the principal registered national securities exchange on which the Warrant Securities are listed or admitted to trading on the business day that next precedes the day of exercise or, if the Warrant Securities are not then listed or admitted to trading on any registered national securities exchange, the average of the closing high bid and low asked prices as reported on the OTC Bulletin Board Service (the “</w:t>
      </w:r>
      <w:r>
        <w:rPr>
          <w:rFonts w:ascii="Times New Roman;Times;Serif" w:hAnsi="Times New Roman;Times;Serif"/>
          <w:b/>
          <w:i/>
          <w:caps w:val="false"/>
          <w:smallCaps w:val="false"/>
          <w:sz w:val="20"/>
        </w:rPr>
        <w:t>OTC Bulletin Board</w:t>
      </w:r>
      <w:r>
        <w:rPr>
          <w:rFonts w:ascii="Times New Roman;Times;Serif" w:hAnsi="Times New Roman;Times;Serif"/>
          <w:b w:val="false"/>
          <w:i w:val="false"/>
          <w:caps w:val="false"/>
          <w:smallCaps w:val="false"/>
          <w:sz w:val="20"/>
        </w:rPr>
        <w:t>”) operated by the Financial Industry Regulatory Authority, Inc. (“</w:t>
      </w:r>
      <w:r>
        <w:rPr>
          <w:rFonts w:ascii="Times New Roman;Times;Serif" w:hAnsi="Times New Roman;Times;Serif"/>
          <w:b/>
          <w:i/>
          <w:caps w:val="false"/>
          <w:smallCaps w:val="false"/>
          <w:sz w:val="20"/>
        </w:rPr>
        <w:t>FINRA</w:t>
      </w:r>
      <w:r>
        <w:rPr>
          <w:rFonts w:ascii="Times New Roman;Times;Serif" w:hAnsi="Times New Roman;Times;Serif"/>
          <w:b w:val="false"/>
          <w:i w:val="false"/>
          <w:caps w:val="false"/>
          <w:smallCaps w:val="false"/>
          <w:sz w:val="20"/>
        </w:rPr>
        <w:t>” ) or, if not available on the OTC Bulletin Board, then the average of the closing high bid and low asked prices as reported on any other U.S. quotation medium or inter-dealer quotation system on such date, or if on any such date the Warrant Securities are not listed or admitted to trading on a registered national securities exchange, are not included in the OTC Bulletin Board, and are not quoted on any other U.S. quotation medium or inter-dealer quotation system, an amount equal to the same fraction of the average of the closing bid and asked prices as furnished by any FINRA member firm selected from time to time by the Company for that purpose at the close of business on the business day that next precedes the day of exercise.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(g) </w:t>
      </w:r>
      <w:r>
        <w:rPr>
          <w:rFonts w:ascii="Times New Roman;Times;Serif" w:hAnsi="Times New Roman;Times;Serif"/>
          <w:b w:val="false"/>
          <w:i w:val="false"/>
          <w:caps w:val="false"/>
          <w:smallCaps w:val="false"/>
          <w:sz w:val="20"/>
        </w:rPr>
        <w:t>Whenever the Warrant Price then in effect is adjusted as herein provided, the Company shall mail to each holder of the Warrants at such holder’s address as it shall appear on the books of the Company a statement setting forth the adjusted Warrant Price then and thereafter effective under the provisions hereof, together with the facts, in reasonable detail, upon which such adjustment is based.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(h) </w:t>
      </w:r>
      <w:r>
        <w:rPr>
          <w:rFonts w:ascii="Times New Roman;Times;Serif" w:hAnsi="Times New Roman;Times;Serif"/>
          <w:b w:val="false"/>
          <w:i w:val="false"/>
          <w:caps w:val="false"/>
          <w:smallCaps w:val="false"/>
          <w:sz w:val="20"/>
        </w:rPr>
        <w:t>Notwithstanding anything to the contrary herein, in no event shall the Warrant Price, as adjusted in accordance with the terms hereof, be less than the par value per Warrant Security (if the Warrant Security has par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3.5 Notice to Warrantholders. </w:t>
      </w:r>
      <w:r>
        <w:rPr>
          <w:rFonts w:ascii="Times New Roman;Times;Serif" w:hAnsi="Times New Roman;Times;Serif"/>
          <w:b w:val="false"/>
          <w:i w:val="false"/>
          <w:caps w:val="false"/>
          <w:smallCaps w:val="false"/>
          <w:sz w:val="20"/>
        </w:rPr>
        <w:t>In case the Company shall (a) effect any dividend or distribution described in Section 3.4(b), (b) effect any Reorganization Event, (c) make any distribution on or in respect of the Warrant Securities in connection with the dissolution, liquidation or winding up of the Company, or (d) reduce the then current Warrant Price pursuant to Section 3.4(d), then the Company shall mail to each holder of Warrants at such holder’s address as it shall appear on the books of the Warrant Agent, at least ten days prior to the applicable date hereinafter specified, a notice stating (x) the record date for such dividend or distribution, or, if a record is not to be taken, the date as of which the holders of record of Warrant Securities that will be entitled to such dividend or distribution are to be determined, (y) the date on which such Reorganization Event, dissolution, liquidation or winding up is expected to become effective, and the date as of which it is expected that holders of Warrant Securities of record shall be entitled to exchange their Warrant Securities for securities or other property deliverable upon such Reorganization Event, dissolution, liquidation or winding up, or (z) the first date on which the then current Warrant Price shall be reduced pursuant to Section 3.4(d). No failure to mail such notice nor any defect therein or in the mailing thereof shall affect any such transaction or any adjustment in the Warrant Price required by Section 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3.6 </w:t>
      </w:r>
      <w:r>
        <w:rPr>
          <w:rFonts w:ascii="Times New Roman;Times;Serif" w:hAnsi="Times New Roman;Times;Serif"/>
          <w:b w:val="false"/>
          <w:i w:val="false"/>
          <w:caps w:val="false"/>
          <w:smallCaps w:val="false"/>
          <w:sz w:val="20"/>
        </w:rPr>
        <w:t>[If the Warrants are Subject to Acceleration by the Company, Insert — Acceleration of Warrants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At any time on or after [●], the Company shall have the right to accelerate any or all Warrants at any time by causing them to expire at the close of business on the day next preceding a specified date (the “</w:t>
      </w:r>
      <w:r>
        <w:rPr>
          <w:rFonts w:ascii="Times New Roman;Times;Serif" w:hAnsi="Times New Roman;Times;Serif"/>
          <w:b/>
          <w:i/>
          <w:caps w:val="false"/>
          <w:smallCaps w:val="false"/>
          <w:sz w:val="20"/>
        </w:rPr>
        <w:t>Acceleration Date</w:t>
      </w:r>
      <w:r>
        <w:rPr>
          <w:rFonts w:ascii="Times New Roman;Times;Serif" w:hAnsi="Times New Roman;Times;Serif"/>
          <w:b w:val="false"/>
          <w:i w:val="false"/>
          <w:caps w:val="false"/>
          <w:smallCaps w:val="false"/>
          <w:sz w:val="20"/>
        </w:rPr>
        <w:t>”), if the Market Price (as hereinafter defined) of the Warrant Securities equals or exceeds [●] percent ([●]%) of the then effective Warrant Price on any twenty Trading Days (as hereinafter defined) within a period of thirty consecutive Trading Days ending no more than five Trading Days prior to the date on which the Company gives notice to the Warrant Agent of its election to accelerate the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Market Price</w:t>
      </w:r>
      <w:r>
        <w:rPr>
          <w:rFonts w:ascii="Times New Roman;Times;Serif" w:hAnsi="Times New Roman;Times;Serif"/>
          <w:b w:val="false"/>
          <w:i w:val="false"/>
          <w:caps w:val="false"/>
          <w:smallCaps w:val="false"/>
          <w:sz w:val="20"/>
        </w:rPr>
        <w:t>” for each Trading Day shall be, if the Warrant Security is listed or admitted to trading on any registered national securities exchange, the last reported sale price, regular way (or, if no such price is reported, the average of the reported closing bid and asked prices, regular way) of the Warrant Security, in either case as reported on the principal registered national securities exchange on which the Warrant Security is listed or admitted to trading or, if not listed or admitted to trading on any registered national securities exchange, the average of the closing high bid and low asked prices as reported on the OTC Bulletin Board operated by FINRA, or if not available on the OTC Bulletin Board, then the average of the closing high bid and low asked prices as reported on any other U.S. quotation medium or inter-dealer quotation system, or if on any such date the Warrant Securities are not listed or admitted to trading on a registered national securities exchange, are not included in the OTC Bulletin Board, and are not quoted on any other U.S. quotation medium or inter-dealer quotation system, the average of the closing bid and asked prices as furnished by any FINRA member firm selected from time to time by the Company for that purpose. “Trading Day” shall be each Monday through Friday, other than any day on which securities are not traded in the system or on the exchange that is the principal market for the Warrant Securities, as determined by the Board. In the event of an acceleration of less than all of the Warrants, the Warrant Agent shall select the Warrants to be accelerated by lot, pro rata or in such other manner as it deems, in its discretion, to be fair and appropriate.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w:t>
      </w:r>
      <w:r>
        <w:rPr>
          <w:rFonts w:ascii="Times New Roman;Times;Serif" w:hAnsi="Times New Roman;Times;Serif"/>
          <w:b w:val="false"/>
          <w:i w:val="false"/>
          <w:caps w:val="false"/>
          <w:smallCaps w:val="false"/>
          <w:sz w:val="20"/>
        </w:rPr>
        <w:t>Notice of an acceleration specifying the Acceleration Date shall be sent by mail first class, postage prepaid, to each registered holder of a Warrant Certificate representing a Warrant accelerated at such holder’s address appearing on the books of the Warrant Agent not more than sixty days nor less than thirty days before the Acceleration Date. Such notice of an acceleration also shall be given no more than twenty days, and no less than ten days, prior to the mailing of notice to registered holders of Warrants pursuant to this Section 3.6, by publication at least once in a newspaper of general circulation in the City of New York.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 </w:t>
      </w:r>
      <w:r>
        <w:rPr>
          <w:rFonts w:ascii="Times New Roman;Times;Serif" w:hAnsi="Times New Roman;Times;Serif"/>
          <w:b w:val="false"/>
          <w:i w:val="false"/>
          <w:caps w:val="false"/>
          <w:smallCaps w:val="false"/>
          <w:sz w:val="20"/>
        </w:rPr>
        <w:t>Any Warrant accelerated may be exercised until [●] p.m., [City] time, on the business day next preceding the Acceleration Date. The Warrant Price shall be payable as provided in Article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EXCHANGE AND TRANSFER OF WARRANT CERTIFICATES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4.1 </w:t>
      </w:r>
      <w:r>
        <w:rPr>
          <w:rFonts w:ascii="Times New Roman;Times;Serif" w:hAnsi="Times New Roman;Times;Serif"/>
          <w:b w:val="false"/>
          <w:i w:val="false"/>
          <w:caps w:val="false"/>
          <w:smallCaps w:val="false"/>
          <w:sz w:val="20"/>
        </w:rPr>
        <w:t>Exchange and Transfer of Warrant Certificates. Upon surrender at the corporate trust office of the Warrant Agent, Warrant Certificates evidencing Warrants may be exchanged for Warrant Certificates in other denominations evidencing such Warrants or the transfer thereof may be registered in whole or in part; provided that such other Warrant Certificates evidence Warrants for the same aggregate number of Warrant Securities as the Warrant Certificates so surrendered. The Warrant Agent shall keep, at its corporate trust office, books in which, subject to such reasonable regulations as it may prescribe, it shall register Warrant Certificates and exchanges and transfers of outstanding Warrant Certificates, upon surrender of the Warrant Certificates to the Warrant Agent at its corporate trust office for exchange or registration of transfer, properly endorsed or accompanied by appropriate instruments of registration of transfer and written instructions for transfer, all in form satisfactory to the Company and the Warrant Agent. No service charge shall be made for any exchange or registration of transfer of Warrant Certificates, but the Company may require payment of a sum sufficient to cover any stamp or other tax or other governmental charge that may be imposed in connection with any such exchange or registration of transfer. Whenever any Warrant Certificates are so surrendered for exchange or registration of transfer, an authorized officer of the Warrant Agent shall manually countersign and deliver to the person or persons entitled thereto a Warrant Certificate or Warrant Certificates duly authorized and executed by the Company, as so requested. The Warrant Agent shall not be required to effect any exchange or registration of transfer which will result in the issuance of a Warrant Certificate evidencing a Warrant for a fraction of a Warrant Security or a number of Warrants for a whole number of Warrant Securities and a fraction of a Warrant Security. All Warrant Certificates issued upon any exchange or registration of transfer of Warrant Certificates shall be the valid obligations of the Company, evidencing the same obligations and entitled to the same benefits under this Agreement as the Warrant Certificate surrendered for such exchange or registration of transfer.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4.2 Treatment of Holders of Warrant Certificates. </w:t>
      </w:r>
      <w:r>
        <w:rPr>
          <w:rFonts w:ascii="Times New Roman;Times;Serif" w:hAnsi="Times New Roman;Times;Serif"/>
          <w:b w:val="false"/>
          <w:i w:val="false"/>
          <w:caps w:val="false"/>
          <w:smallCaps w:val="false"/>
          <w:sz w:val="20"/>
        </w:rPr>
        <w:t>The Company, the Warrant Agent and all other persons may treat the registered holder of a Warrant Certificate as the absolute owner thereof for any purpose and as the person entitled to exercise the rights represented by the Warrants evidenced thereby, any notice to the contrary notwithstanding.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4.3 Cancellation of Warrant Certificates. </w:t>
      </w:r>
      <w:r>
        <w:rPr>
          <w:rFonts w:ascii="Times New Roman;Times;Serif" w:hAnsi="Times New Roman;Times;Serif"/>
          <w:b w:val="false"/>
          <w:i w:val="false"/>
          <w:caps w:val="false"/>
          <w:smallCaps w:val="false"/>
          <w:sz w:val="20"/>
        </w:rPr>
        <w:t>Any Warrant Certificate surrendered for exchange, registration of transfer or exercise of the Warrants evidenced thereby shall, if surrendered to the Company, be delivered to the Warrant Agent and all Warrant Certificates surrendered or so delivered to the Warrant Agent shall be promptly canceled by the Warrant Agent and shall not be reissued and, except as expressly permitted by this Agreement, no Warrant Certificate shall be issued hereunder in exchange therefor or in lieu thereof. The Warrant Agent shall deliver to the Company from time to time or otherwise dispose of canceled Warrant Certificates in a manner satisfactory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CONCERNING THE WARRANT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5.1 Warrant Agent. </w:t>
      </w:r>
      <w:r>
        <w:rPr>
          <w:rFonts w:ascii="Times New Roman;Times;Serif" w:hAnsi="Times New Roman;Times;Serif"/>
          <w:b w:val="false"/>
          <w:i w:val="false"/>
          <w:caps w:val="false"/>
          <w:smallCaps w:val="false"/>
          <w:sz w:val="20"/>
        </w:rPr>
        <w:t>The Company hereby appoints [●] as Warrant Agent of the Company in respect of the Warrants and the Warrant Certificates upon the terms and subject to the conditions herein set forth, and [●] hereby accepts such appointment. The Warrant Agent shall have the powers and authority granted to and conferred upon it in the Warrant Certificates and hereby and such further powers and authority to act on behalf of the Company as the Company may hereafter grant to or confer upon it. All of the terms and provisions with respect to such powers and authority contained in the Warrant Certificates are subject to and governed by the terms and provisions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5.2 Conditions of Warrant Agent’s Obligations. </w:t>
      </w:r>
      <w:r>
        <w:rPr>
          <w:rFonts w:ascii="Times New Roman;Times;Serif" w:hAnsi="Times New Roman;Times;Serif"/>
          <w:b w:val="false"/>
          <w:i w:val="false"/>
          <w:caps w:val="false"/>
          <w:smallCaps w:val="false"/>
          <w:sz w:val="20"/>
        </w:rPr>
        <w:t>The Warrant Agent accepts its obligations herein set forth upon the terms and conditions hereof, including the following to all of which the Company agrees and to all of which the rights hereunder of the holders from time to time of the Warrant Certificates shall be subject: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Compensation and Indemnification. </w:t>
      </w:r>
      <w:r>
        <w:rPr>
          <w:rFonts w:ascii="Times New Roman;Times;Serif" w:hAnsi="Times New Roman;Times;Serif"/>
          <w:b w:val="false"/>
          <w:i w:val="false"/>
          <w:caps w:val="false"/>
          <w:smallCaps w:val="false"/>
          <w:sz w:val="20"/>
        </w:rPr>
        <w:t>The Company agrees promptly to pay the Warrant Agent, in addition to the compensation to be agreed upon with the Company</w:t>
      </w:r>
      <w:r>
        <w:rPr>
          <w:rFonts w:ascii="Times New Roman;Times;Serif" w:hAnsi="Times New Roman;Times;Serif"/>
          <w:b/>
          <w:i w:val="false"/>
          <w:caps w:val="false"/>
          <w:smallCaps w:val="false"/>
          <w:sz w:val="20"/>
        </w:rPr>
        <w:t xml:space="preserve">[,] </w:t>
      </w:r>
      <w:r>
        <w:rPr>
          <w:rFonts w:ascii="Times New Roman;Times;Serif" w:hAnsi="Times New Roman;Times;Serif"/>
          <w:b w:val="false"/>
          <w:i w:val="false"/>
          <w:caps w:val="false"/>
          <w:smallCaps w:val="false"/>
          <w:sz w:val="20"/>
        </w:rPr>
        <w:t>for all services rendered by the Warrant Agent and to reimburse the Warrant Agent for reasonable out-of-pocket expenses (including reasonable counsel fees) incurred without negligence, bad faith or willful misconduct by the Warrant Agent in connection with the services rendered hereunder by the Warrant Agent. The Company also agrees to indemnify the Warrant Agent for, and to hold it harmless against, any loss, liability or expense incurred without negligence, bad faith or willful misconduct on the part of the Warrant Agent, arising out of or in connection with its acting as Warrant Agent hereunder, including the reasonable costs and expenses of defending against any claim of such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 Agent for the Company. </w:t>
      </w:r>
      <w:r>
        <w:rPr>
          <w:rFonts w:ascii="Times New Roman;Times;Serif" w:hAnsi="Times New Roman;Times;Serif"/>
          <w:b w:val="false"/>
          <w:i w:val="false"/>
          <w:caps w:val="false"/>
          <w:smallCaps w:val="false"/>
          <w:sz w:val="20"/>
        </w:rPr>
        <w:t>In acting under this Agreement and in connection with the Warrant Certificates, the Warrant Agent is acting solely as agent of the Company and does not assume any obligations or relationship of agency or trust for or with any of the holders of Warrant Certificates or beneficial owners of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 Counsel. </w:t>
      </w:r>
      <w:r>
        <w:rPr>
          <w:rFonts w:ascii="Times New Roman;Times;Serif" w:hAnsi="Times New Roman;Times;Serif"/>
          <w:b w:val="false"/>
          <w:i w:val="false"/>
          <w:caps w:val="false"/>
          <w:smallCaps w:val="false"/>
          <w:sz w:val="20"/>
        </w:rPr>
        <w:t>The Warrant Agent may consult with counsel satisfactory to it, which may include counsel for the Company, and the written advice of such counsel shall be full and complete authorization and protection in respect of any action taken, suffered or omitted by it hereunder in good faith and in accordance with the advice of such counsel.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 Documents. </w:t>
      </w:r>
      <w:r>
        <w:rPr>
          <w:rFonts w:ascii="Times New Roman;Times;Serif" w:hAnsi="Times New Roman;Times;Serif"/>
          <w:b w:val="false"/>
          <w:i w:val="false"/>
          <w:caps w:val="false"/>
          <w:smallCaps w:val="false"/>
          <w:sz w:val="20"/>
        </w:rPr>
        <w:t>The Warrant Agent shall be protected and shall incur no liability for or in respect of any action taken or omitted by it in reliance upon any Warrant Certificate, notice, direction, consent, certificate, affidavit, statement or other paper or document reasonably believed by it to be genuine and to have been presented or signed by the proper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(e) Certain Transactions. </w:t>
      </w:r>
      <w:r>
        <w:rPr>
          <w:rFonts w:ascii="Times New Roman;Times;Serif" w:hAnsi="Times New Roman;Times;Serif"/>
          <w:b w:val="false"/>
          <w:i w:val="false"/>
          <w:caps w:val="false"/>
          <w:smallCaps w:val="false"/>
          <w:sz w:val="20"/>
        </w:rPr>
        <w:t>The Warrant Agent, and its officers, directors and employees, may become the owner of, or acquire any interest in, Warrants, with the same rights that it or they would have if it were not the Warrant Agent hereunder, and, to the extent permitted by applicable law, it or they may engage or be interested in any financial or other transaction with the Company and may act on, or as depositary, trustee or agent for, any committee or body of holders of Warrant Securities or other obligations of the Company as freely as if it were not the Warrant Agent hereunder. Nothing in this Agreement shall be deemed to prevent the Warrant Agent from acting as trustee under any indenture to which the Company is a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(f) No Liability for Interest. </w:t>
      </w:r>
      <w:r>
        <w:rPr>
          <w:rFonts w:ascii="Times New Roman;Times;Serif" w:hAnsi="Times New Roman;Times;Serif"/>
          <w:b w:val="false"/>
          <w:i w:val="false"/>
          <w:caps w:val="false"/>
          <w:smallCaps w:val="false"/>
          <w:sz w:val="20"/>
        </w:rPr>
        <w:t>Unless otherwise agreed with the Company, the Warrant Agent shall have no liability for interest on any monies at any time received by it pursuant to any of the provisions of this Agreement or of the Warrant Certificates.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(g) No Liability for Invalidity. </w:t>
      </w:r>
      <w:r>
        <w:rPr>
          <w:rFonts w:ascii="Times New Roman;Times;Serif" w:hAnsi="Times New Roman;Times;Serif"/>
          <w:b w:val="false"/>
          <w:i w:val="false"/>
          <w:caps w:val="false"/>
          <w:smallCaps w:val="false"/>
          <w:sz w:val="20"/>
        </w:rPr>
        <w:t>The Warrant Agent shall have no liability with respect to any invalidity of this Agreement or any of the Warrant Certificates (except as to the Warrant Agent’s countersignature thereon).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(h) No Responsibility for Representations. </w:t>
      </w:r>
      <w:r>
        <w:rPr>
          <w:rFonts w:ascii="Times New Roman;Times;Serif" w:hAnsi="Times New Roman;Times;Serif"/>
          <w:b w:val="false"/>
          <w:i w:val="false"/>
          <w:caps w:val="false"/>
          <w:smallCaps w:val="false"/>
          <w:sz w:val="20"/>
        </w:rPr>
        <w:t>The Warrant Agent shall not be responsible for any of the recitals or representations herein or in the Warrant Certificates (except as to the Warrant Agent’s countersignature thereon), all of which are made solely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 No Implied Obligations. </w:t>
      </w:r>
      <w:r>
        <w:rPr>
          <w:rFonts w:ascii="Times New Roman;Times;Serif" w:hAnsi="Times New Roman;Times;Serif"/>
          <w:b w:val="false"/>
          <w:i w:val="false"/>
          <w:caps w:val="false"/>
          <w:smallCaps w:val="false"/>
          <w:sz w:val="20"/>
        </w:rPr>
        <w:t>The Warrant Agent shall be obligated to perform only such duties as are herein and in the Warrant Certificates specifically set forth and no implied duties or obligations shall be read into this Agreement or the Warrant Certificates against the Warrant Agent. The Warrant Agent shall not be under any obligation to take any action hereunder which may tend to involve it in any expense or liability, the payment of which within a reasonable time is not, in its reasonable opinion, assured to it. The Warrant Agent shall not be accountable or under any duty or responsibility for the use by the Company of any of the Warrant Certificates authenticated by the Warrant Agent and delivered by it to the Company pursuant to this Agreement or for the application by the Company of the proceeds of the Warrant Certificates. The Warrant Agent shall have no duty or responsibility in case of any default by the Company in the performance of its covenants or agreements contained herein or in the Warrant Certificates or in the case of the receipt of any written demand from a holder of a Warrant Certificate with respect to such default, including, without limiting the generality of the foregoing, any duty or responsibility to initiate or attempt to initiate any proceedings at law or otherwise or, except as provided in Section 6.2 hereof, to make any demand upon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5.3 Resignation, Removal and Appointment of Successors.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The Company agrees, for the benefit of the holders from time to time of the Warrant Certificates, that there shall at all times be a Warrant Agent hereunder until all the Warrants have been exercised or are no longer exercisable.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The Warrant Agent may at any time resign as agent by giving written notice to the Company of such intention on its part, specifying the date on which its desired resignation shall become effective; provided that such date shall not be less than three months after the date on which such notice is given unless the Company otherwise agrees. The Warrant Agent hereunder may be removed at any time by the filing with it of an instrument in writing signed by or on behalf of the Company and specifying such removal and the intended date when it shall become effective. Such resignation or removal shall take effect upon the appointment by the Company, as hereinafter provided, of a successor Warrant Agent (which shall be a bank or trust company authorized under the laws of the jurisdiction of its organization to exercise corporate trust powers) and the acceptance of such appointment by such successor Warrant Agent. The obligation of the Company under Section 5.2(a) shall continue to the extent set forth therein notwithstanding the resignation or removal of the Warrant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w:t>
      </w:r>
      <w:r>
        <w:rPr>
          <w:rFonts w:ascii="Times New Roman;Times;Serif" w:hAnsi="Times New Roman;Times;Serif"/>
          <w:b w:val="false"/>
          <w:i w:val="false"/>
          <w:caps w:val="false"/>
          <w:smallCaps w:val="false"/>
          <w:sz w:val="20"/>
        </w:rPr>
        <w:t>In case at any time the Warrant Agent shall resign, or shall be removed, or shall become incapable of acting, or shall be adjudged a bankrupt or insolvent, or shall commence a voluntary case under the Federal bankruptcy laws, as now or hereafter constituted, or under any other applicable Federal or state bankruptcy, insolvency or similar law or shall consent to the appointment of or taking possession by a receiver, custodian, liquidator, assignee, trustee, sequestrator (or other similar official) of the Warrant Agent or its property or affairs, or shall make an assignment for the benefit of creditors, or shall admit in writing its inability to pay its debts generally as they become due, or shall take corporate action in furtherance of any such action, or a decree or order for relief by a court having jurisdiction in the premises shall have been entered in respect of the Warrant Agent in an involuntary case under the Federal bankruptcy laws, as now or hereafter constituted, or any other applicable Federal or state bankruptcy, insolvency or similar law, or a decree or order by a court having jurisdiction in the premises shall have been entered for the appointment of a receiver, custodian, liquidator, assignee, trustee, sequestrator (or similar official) of the Warrant Agent or of its property or affairs, or any public officer shall take charge or control of the Warrant Agent or of its property or affairs for the purpose of rehabilitation, conservation, winding up or liquidation, a successor Warrant Agent, qualified as aforesaid, shall be appointed by the Company by an instrument in writing, filed with the successor Warrant Agent. Upon the appointment as aforesaid of a successor Warrant Agent and acceptance by the successor Warrant Agent of such appointment, the Warrant Agent shall cease to be Warrant Agent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 </w:t>
      </w:r>
      <w:r>
        <w:rPr>
          <w:rFonts w:ascii="Times New Roman;Times;Serif" w:hAnsi="Times New Roman;Times;Serif"/>
          <w:b w:val="false"/>
          <w:i w:val="false"/>
          <w:caps w:val="false"/>
          <w:smallCaps w:val="false"/>
          <w:sz w:val="20"/>
        </w:rPr>
        <w:t>Any successor Warrant Agent appointed hereunder shall execute, acknowledge and deliver to its predecessor and to the Company an instrument accepting such appointment hereunder, and thereupon such successor Warrant Agent, without any further act, deed or conveyance, shall become vested with all the authority, rights, powers, trusts, immunities, duties and obligations of such predecessor with like effect as if originally named as Warrant Agent hereunder, and such predecessor, upon payment of its charges and disbursements then unpaid, shall thereupon become obligated to transfer, deliver and pay over, and such successor Warrant Agent shall be entitled to receive, all monies, securities and other property on deposit with or held by such predecessor, as Warrant Agent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 </w:t>
      </w:r>
      <w:r>
        <w:rPr>
          <w:rFonts w:ascii="Times New Roman;Times;Serif" w:hAnsi="Times New Roman;Times;Serif"/>
          <w:b w:val="false"/>
          <w:i w:val="false"/>
          <w:caps w:val="false"/>
          <w:smallCaps w:val="false"/>
          <w:sz w:val="20"/>
        </w:rPr>
        <w:t>Any corporation into which the Warrant Agent hereunder may be merged, amalgamated, or converted or any corporation with which the Warrant Agent may be consolidated, or any corporation resulting from any amalgamation, merger, conversion or consolidation to which the Warrant Agent shall be a party, or any corporation to which the Warrant Agent shall sell or otherwise transfer all or substantially all the assets and business of the Warrant Agent, provided that it shall be qualified as aforesaid, shall be the successor Warrant Agent under this Agreement without the execution or filing of any paper or any further act on the part of any of the parties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MISCELLANEOUS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6.1 Amendment. </w:t>
      </w:r>
      <w:r>
        <w:rPr>
          <w:rFonts w:ascii="Times New Roman;Times;Serif" w:hAnsi="Times New Roman;Times;Serif"/>
          <w:b w:val="false"/>
          <w:i w:val="false"/>
          <w:caps w:val="false"/>
          <w:smallCaps w:val="false"/>
          <w:sz w:val="20"/>
        </w:rPr>
        <w:t>This Agreement may be amended by the parties hereto, without the consent of the holder of any Warrant Certificate, for the purpose of curing any ambiguity, or of curing, correcting or supplementing any defective provision contained herein, or making any other provisions with respect to matters or questions arising under this Agreement as the Company and the Warrant Agent may deem necessary or desirable; provided that such action shall not materially adversely affect the interests of the holders of the Warrant Certificates.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6.2 Notices and Demands to the Company and Warrant Agent. </w:t>
      </w:r>
      <w:r>
        <w:rPr>
          <w:rFonts w:ascii="Times New Roman;Times;Serif" w:hAnsi="Times New Roman;Times;Serif"/>
          <w:b w:val="false"/>
          <w:i w:val="false"/>
          <w:caps w:val="false"/>
          <w:smallCaps w:val="false"/>
          <w:sz w:val="20"/>
        </w:rPr>
        <w:t>If the Warrant Agent shall receive any notice or demand addressed to the Company by the holder of a Warrant Certificate pursuant to the provisions of the Warrant Certificates, the Warrant Agent shall promptly forward such notice or demand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6.3 Addresses. </w:t>
      </w:r>
      <w:r>
        <w:rPr>
          <w:rFonts w:ascii="Times New Roman;Times;Serif" w:hAnsi="Times New Roman;Times;Serif"/>
          <w:b w:val="false"/>
          <w:i w:val="false"/>
          <w:caps w:val="false"/>
          <w:smallCaps w:val="false"/>
          <w:sz w:val="20"/>
        </w:rPr>
        <w:t>Any communication from the Company to the Warrant Agent with respect to this Agreement shall be addressed to [●], Attention: [●] and any communication from the Warrant Agent to the Company with respect to this Agreement shall be addressed to Milestone Pharmaceuticals Inc. 1111 Dr. Frederik-Philips Boulevard, Suite 420, Montréal, Québec, Canada H4M 2X6, Attention: [●] (or such other address as shall be specified in writing by the Warrant Agent or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6.4 Governing Law. </w:t>
      </w:r>
      <w:r>
        <w:rPr>
          <w:rFonts w:ascii="Times New Roman;Times;Serif" w:hAnsi="Times New Roman;Times;Serif"/>
          <w:b w:val="false"/>
          <w:i w:val="false"/>
          <w:caps w:val="false"/>
          <w:smallCaps w:val="false"/>
          <w:sz w:val="20"/>
        </w:rPr>
        <w:t>This Agreement and each Warrant Certificate issued hereunder shall be governed by and construed in accordance with the laws of the State of New York.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6.5 Delivery of Prospectus. </w:t>
      </w:r>
      <w:r>
        <w:rPr>
          <w:rFonts w:ascii="Times New Roman;Times;Serif" w:hAnsi="Times New Roman;Times;Serif"/>
          <w:b w:val="false"/>
          <w:i w:val="false"/>
          <w:caps w:val="false"/>
          <w:smallCaps w:val="false"/>
          <w:sz w:val="20"/>
        </w:rPr>
        <w:t>The Company shall furnish to the Warrant Agent sufficient copies of a prospectus meeting the requirements of the Securities Act of 1933, as amended, relating to the Warrant Securities deliverable upon exercise of the Warrants (the “</w:t>
      </w:r>
      <w:r>
        <w:rPr>
          <w:rFonts w:ascii="Times New Roman;Times;Serif" w:hAnsi="Times New Roman;Times;Serif"/>
          <w:b/>
          <w:i/>
          <w:caps w:val="false"/>
          <w:smallCaps w:val="false"/>
          <w:sz w:val="20"/>
        </w:rPr>
        <w:t>Prospectus</w:t>
      </w:r>
      <w:r>
        <w:rPr>
          <w:rFonts w:ascii="Times New Roman;Times;Serif" w:hAnsi="Times New Roman;Times;Serif"/>
          <w:b w:val="false"/>
          <w:i w:val="false"/>
          <w:caps w:val="false"/>
          <w:smallCaps w:val="false"/>
          <w:sz w:val="20"/>
        </w:rPr>
        <w:t>”), and the Warrant Agent agrees that upon the exercise of any Warrant, the Warrant Agent will deliver to the holder of the Warrant Certificate evidencing such Warrant, prior to or concurrently with the delivery of the Warrant Securities issued upon such exercise, a Prospectus. The Warrant Agent shall not, by reason of any such delivery, assume any responsibility for the accuracy or adequacy of such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6.6 Obtaining of Governmental Approvals. </w:t>
      </w:r>
      <w:r>
        <w:rPr>
          <w:rFonts w:ascii="Times New Roman;Times;Serif" w:hAnsi="Times New Roman;Times;Serif"/>
          <w:b w:val="false"/>
          <w:i w:val="false"/>
          <w:caps w:val="false"/>
          <w:smallCaps w:val="false"/>
          <w:sz w:val="20"/>
        </w:rPr>
        <w:t>The Company will from time to time take all action which may be necessary to obtain and keep effective any and all permits, consents and approvals of governmental agencies and authorities and securities act filings under United States Federal and state laws (including without limitation a registration statement in respect of the Warrants and Warrant Securities under the Securities Act of 1933, as amended), which may be or become requisite in connection with the issuance, sale, transfer, and delivery of the Warrant Securities issued upon exercise of the Warrants, the issuance, sale, transfer and delivery of the Warrants or upon the expiration of the period during which the Warrants are exercisable.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6.7 Persons Having Rights Under the Agreement. </w:t>
      </w:r>
      <w:r>
        <w:rPr>
          <w:rFonts w:ascii="Times New Roman;Times;Serif" w:hAnsi="Times New Roman;Times;Serif"/>
          <w:b w:val="false"/>
          <w:i w:val="false"/>
          <w:caps w:val="false"/>
          <w:smallCaps w:val="false"/>
          <w:sz w:val="20"/>
        </w:rPr>
        <w:t>Nothing in this Agreement shall give to any person other than the Company, the Warrant Agent and the holders of the Warrant Certificates any right, remedy or claim under or by reason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6.8 Headings. </w:t>
      </w:r>
      <w:r>
        <w:rPr>
          <w:rFonts w:ascii="Times New Roman;Times;Serif" w:hAnsi="Times New Roman;Times;Serif"/>
          <w:b w:val="false"/>
          <w:i w:val="false"/>
          <w:caps w:val="false"/>
          <w:smallCaps w:val="false"/>
          <w:sz w:val="20"/>
        </w:rPr>
        <w:t>The descriptive headings of the several Articles and Sections of this Agreement are inserted for convenience only and shall not control or affect the meaning or construction of any of the provisions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6.9 Counterparts. </w:t>
      </w:r>
      <w:r>
        <w:rPr>
          <w:rFonts w:ascii="Times New Roman;Times;Serif" w:hAnsi="Times New Roman;Times;Serif"/>
          <w:b w:val="false"/>
          <w:i w:val="false"/>
          <w:caps w:val="false"/>
          <w:smallCaps w:val="false"/>
          <w:sz w:val="20"/>
        </w:rPr>
        <w:t>This Agreement may be executed in any number of counterparts, each of which as so executed shall be deemed to be an original, but such counterparts shall together constitute but one and the same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6.10 Inspection of Agreement. </w:t>
      </w:r>
      <w:r>
        <w:rPr>
          <w:rFonts w:ascii="Times New Roman;Times;Serif" w:hAnsi="Times New Roman;Times;Serif"/>
          <w:b w:val="false"/>
          <w:i w:val="false"/>
          <w:caps w:val="false"/>
          <w:smallCaps w:val="false"/>
          <w:sz w:val="20"/>
        </w:rPr>
        <w:t>A copy of this Agreement shall be available at all reasonable times at the principal corporate trust office of the Warrant Agent for inspection by the holder of any Warrant Certificate. The Warrant Agent may require such holder to submit such holder’s Warrant Certificate for inspection by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In Witness Whereof,</w:t>
      </w:r>
      <w:r>
        <w:rPr>
          <w:rFonts w:ascii="Times New Roman;Times;Serif" w:hAnsi="Times New Roman;Times;Serif"/>
          <w:b w:val="false"/>
          <w:i w:val="false"/>
          <w:caps w:val="false"/>
          <w:smallCaps w:val="false"/>
          <w:sz w:val="20"/>
        </w:rPr>
        <w:t xml:space="preserve"> the parties hereto have caused this Agreement to be duly executed as of the day and year first above written.</w:t>
      </w:r>
    </w:p>
    <w:p>
      <w:pPr>
        <w:pStyle w:val="TextBody"/>
        <w:bidi w:val="0"/>
        <w:spacing w:before="0" w:after="0"/>
        <w:ind w:left="0" w:right="0" w:hanging="0"/>
        <w:jc w:val="left"/>
        <w:rPr>
          <w:caps w:val="false"/>
          <w:smallCaps w:val="false"/>
        </w:rPr>
      </w:pPr>
      <w:r>
        <w:rPr>
          <w:caps w:val="false"/>
          <w:smallCaps w:val="false"/>
        </w:rPr>
        <w:t> </w:t>
      </w:r>
    </w:p>
    <w:tbl>
      <w:tblPr>
        <w:tblW w:w="4893" w:type="dxa"/>
        <w:jc w:val="left"/>
        <w:tblInd w:w="0" w:type="dxa"/>
        <w:tblLayout w:type="fixed"/>
        <w:tblCellMar>
          <w:top w:w="0" w:type="dxa"/>
          <w:left w:w="0" w:type="dxa"/>
          <w:bottom w:w="0" w:type="dxa"/>
          <w:right w:w="0" w:type="dxa"/>
        </w:tblCellMar>
      </w:tblPr>
      <w:tblGrid>
        <w:gridCol w:w="75"/>
        <w:gridCol w:w="1898"/>
        <w:gridCol w:w="2718"/>
        <w:gridCol w:w="202"/>
      </w:tblGrid>
      <w:tr>
        <w:trPr/>
        <w:tc>
          <w:tcPr>
            <w:tcW w:w="75" w:type="dxa"/>
            <w:tcBorders/>
            <w:vAlign w:val="center"/>
          </w:tcPr>
          <w:p>
            <w:pPr>
              <w:pStyle w:val="TableContents"/>
              <w:bidi w:val="0"/>
              <w:spacing w:before="0" w:after="283"/>
              <w:jc w:val="left"/>
              <w:rPr/>
            </w:pPr>
            <w:r>
              <w:rPr/>
              <w:t> </w:t>
            </w:r>
          </w:p>
        </w:tc>
        <w:tc>
          <w:tcPr>
            <w:tcW w:w="4818" w:type="dxa"/>
            <w:gridSpan w:val="3"/>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MILESTONE PHARMACEUTICALS INC., as Company</w:t>
            </w:r>
          </w:p>
        </w:tc>
      </w:tr>
      <w:tr>
        <w:trPr/>
        <w:tc>
          <w:tcPr>
            <w:tcW w:w="75" w:type="dxa"/>
            <w:tcBorders/>
            <w:vAlign w:val="center"/>
          </w:tcPr>
          <w:p>
            <w:pPr>
              <w:pStyle w:val="TableContents"/>
              <w:bidi w:val="0"/>
              <w:spacing w:before="0" w:after="283"/>
              <w:jc w:val="left"/>
              <w:rPr/>
            </w:pPr>
            <w:r>
              <w:rPr/>
              <w:t> </w:t>
            </w:r>
          </w:p>
        </w:tc>
        <w:tc>
          <w:tcPr>
            <w:tcW w:w="4616" w:type="dxa"/>
            <w:gridSpan w:val="2"/>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8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718" w:type="dxa"/>
            <w:tcBorders>
              <w:bottom w:val="single" w:sz="8" w:space="0" w:color="000000"/>
            </w:tcBorders>
            <w:tcMar>
              <w:bottom w:w="28" w:type="dxa"/>
            </w:tcMar>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8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w:t>
            </w:r>
          </w:p>
        </w:tc>
        <w:tc>
          <w:tcPr>
            <w:tcW w:w="2718" w:type="dxa"/>
            <w:tcBorders>
              <w:bottom w:val="single" w:sz="8" w:space="0" w:color="000000"/>
            </w:tcBorders>
            <w:tcMar>
              <w:bottom w:w="28" w:type="dxa"/>
            </w:tcMar>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8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718" w:type="dxa"/>
            <w:tcBorders>
              <w:bottom w:val="single" w:sz="8" w:space="0" w:color="000000"/>
            </w:tcBorders>
            <w:tcMar>
              <w:bottom w:w="28" w:type="dxa"/>
            </w:tcMar>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616" w:type="dxa"/>
            <w:gridSpan w:val="2"/>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898" w:type="dxa"/>
            <w:tcBorders/>
            <w:vAlign w:val="center"/>
          </w:tcPr>
          <w:p>
            <w:pPr>
              <w:pStyle w:val="TableContents"/>
              <w:bidi w:val="0"/>
              <w:spacing w:before="0" w:after="283"/>
              <w:jc w:val="left"/>
              <w:rPr>
                <w:rFonts w:ascii="Times New Roman;Times;Serif" w:hAnsi="Times New Roman;Times;Serif"/>
                <w:b/>
                <w:smallCaps/>
                <w:sz w:val="20"/>
              </w:rPr>
            </w:pPr>
            <w:r>
              <w:rPr>
                <w:rFonts w:ascii="Times New Roman;Times;Serif" w:hAnsi="Times New Roman;Times;Serif"/>
                <w:b/>
                <w:smallCaps/>
                <w:sz w:val="20"/>
              </w:rPr>
              <w:t>Attest:</w:t>
            </w:r>
          </w:p>
        </w:tc>
        <w:tc>
          <w:tcPr>
            <w:tcW w:w="2718" w:type="dxa"/>
            <w:tcBorders>
              <w:bottom w:val="single" w:sz="8" w:space="0" w:color="000000"/>
            </w:tcBorders>
            <w:tcMar>
              <w:bottom w:w="28" w:type="dxa"/>
            </w:tcMar>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898" w:type="dxa"/>
            <w:tcBorders/>
            <w:vAlign w:val="center"/>
          </w:tcPr>
          <w:p>
            <w:pPr>
              <w:pStyle w:val="TableContents"/>
              <w:bidi w:val="0"/>
              <w:spacing w:before="0" w:after="283"/>
              <w:jc w:val="left"/>
              <w:rPr/>
            </w:pPr>
            <w:r>
              <w:rPr/>
              <w:t> </w:t>
            </w:r>
          </w:p>
        </w:tc>
        <w:tc>
          <w:tcPr>
            <w:tcW w:w="2718" w:type="dxa"/>
            <w:tcBorders>
              <w:bottom w:val="single" w:sz="8" w:space="0" w:color="000000"/>
            </w:tcBorders>
            <w:tcMar>
              <w:bottom w:w="28" w:type="dxa"/>
            </w:tcMar>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ind w:left="0" w:right="0" w:hanging="720"/>
              <w:jc w:val="left"/>
              <w:rPr/>
            </w:pPr>
            <w:r>
              <w:rPr/>
              <w:t> </w:t>
            </w:r>
          </w:p>
        </w:tc>
        <w:tc>
          <w:tcPr>
            <w:tcW w:w="4616" w:type="dxa"/>
            <w:gridSpan w:val="2"/>
            <w:tcBorders/>
            <w:vAlign w:val="center"/>
          </w:tcPr>
          <w:p>
            <w:pPr>
              <w:pStyle w:val="TableContents"/>
              <w:bidi w:val="0"/>
              <w:spacing w:before="0" w:after="283"/>
              <w:ind w:left="0" w:right="0" w:hanging="720"/>
              <w:jc w:val="left"/>
              <w:rPr/>
            </w:pPr>
            <w:r>
              <w:rPr/>
              <w:t> </w:t>
            </w:r>
          </w:p>
        </w:tc>
        <w:tc>
          <w:tcPr>
            <w:tcW w:w="202"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616" w:type="dxa"/>
            <w:gridSpan w:val="2"/>
            <w:tcBorders/>
            <w:vAlign w:val="center"/>
          </w:tcPr>
          <w:p>
            <w:pPr>
              <w:pStyle w:val="TableContents"/>
              <w:bidi w:val="0"/>
              <w:spacing w:before="0" w:after="283"/>
              <w:jc w:val="left"/>
              <w:rPr>
                <w:rFonts w:ascii="Times New Roman;Times;Serif" w:hAnsi="Times New Roman;Times;Serif"/>
                <w:b/>
                <w:smallCaps/>
                <w:sz w:val="20"/>
              </w:rPr>
            </w:pPr>
            <w:r>
              <w:rPr>
                <w:rFonts w:ascii="Times New Roman;Times;Serif" w:hAnsi="Times New Roman;Times;Serif"/>
                <w:b/>
                <w:smallCaps/>
                <w:sz w:val="20"/>
              </w:rPr>
              <w:t>Countersigned</w:t>
            </w:r>
          </w:p>
        </w:tc>
        <w:tc>
          <w:tcPr>
            <w:tcW w:w="202"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616"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as Warrant Agent</w:t>
            </w:r>
          </w:p>
        </w:tc>
        <w:tc>
          <w:tcPr>
            <w:tcW w:w="202"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616" w:type="dxa"/>
            <w:gridSpan w:val="2"/>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8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718" w:type="dxa"/>
            <w:tcBorders>
              <w:bottom w:val="single" w:sz="8" w:space="0" w:color="000000"/>
            </w:tcBorders>
            <w:tcMar>
              <w:bottom w:w="28" w:type="dxa"/>
            </w:tcMar>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8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718" w:type="dxa"/>
            <w:tcBorders>
              <w:bottom w:val="single" w:sz="8" w:space="0" w:color="000000"/>
            </w:tcBorders>
            <w:tcMar>
              <w:bottom w:w="28" w:type="dxa"/>
            </w:tcMar>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8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718" w:type="dxa"/>
            <w:tcBorders>
              <w:bottom w:val="single" w:sz="8" w:space="0" w:color="000000"/>
            </w:tcBorders>
            <w:tcMar>
              <w:bottom w:w="28" w:type="dxa"/>
            </w:tcMar>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616" w:type="dxa"/>
            <w:gridSpan w:val="2"/>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898" w:type="dxa"/>
            <w:tcBorders/>
            <w:vAlign w:val="center"/>
          </w:tcPr>
          <w:p>
            <w:pPr>
              <w:pStyle w:val="TableContents"/>
              <w:bidi w:val="0"/>
              <w:spacing w:before="0" w:after="283"/>
              <w:jc w:val="left"/>
              <w:rPr>
                <w:rFonts w:ascii="Times New Roman;Times;Serif" w:hAnsi="Times New Roman;Times;Serif"/>
                <w:b/>
                <w:smallCaps/>
                <w:sz w:val="20"/>
              </w:rPr>
            </w:pPr>
            <w:r>
              <w:rPr>
                <w:rFonts w:ascii="Times New Roman;Times;Serif" w:hAnsi="Times New Roman;Times;Serif"/>
                <w:b/>
                <w:smallCaps/>
                <w:sz w:val="20"/>
              </w:rPr>
              <w:t>Attest:  </w:t>
            </w:r>
          </w:p>
        </w:tc>
        <w:tc>
          <w:tcPr>
            <w:tcW w:w="2718" w:type="dxa"/>
            <w:tcBorders>
              <w:bottom w:val="single" w:sz="8" w:space="0" w:color="000000"/>
            </w:tcBorders>
            <w:tcMar>
              <w:bottom w:w="28" w:type="dxa"/>
            </w:tcMar>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898" w:type="dxa"/>
            <w:tcBorders/>
            <w:vAlign w:val="center"/>
          </w:tcPr>
          <w:p>
            <w:pPr>
              <w:pStyle w:val="TableContents"/>
              <w:bidi w:val="0"/>
              <w:spacing w:before="0" w:after="283"/>
              <w:jc w:val="left"/>
              <w:rPr/>
            </w:pPr>
            <w:r>
              <w:rPr/>
              <w:t> </w:t>
            </w:r>
          </w:p>
        </w:tc>
        <w:tc>
          <w:tcPr>
            <w:tcW w:w="2718" w:type="dxa"/>
            <w:tcBorders>
              <w:bottom w:val="single" w:sz="8" w:space="0" w:color="000000"/>
            </w:tcBorders>
            <w:tcMar>
              <w:bottom w:w="28" w:type="dxa"/>
            </w:tcMar>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smallCaps/>
          <w:sz w:val="20"/>
        </w:rPr>
      </w:pPr>
      <w:r>
        <w:rPr>
          <w:rFonts w:ascii="Times New Roman;Times;Serif" w:hAnsi="Times New Roman;Times;Serif"/>
          <w:b w:val="false"/>
          <w:i w:val="false"/>
          <w:smallCaps/>
          <w:sz w:val="20"/>
        </w:rPr>
        <w:t>[SIGNATURE PAGE TO MILESTONE PHARMACEUTICALS INC. PREFERRED SHARE WARRANT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Exhibit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WARRANT CERTIFICATE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[FACE OF WARRANT CERTIFICATE]</w:t>
      </w:r>
    </w:p>
    <w:p>
      <w:pPr>
        <w:pStyle w:val="TextBody"/>
        <w:bidi w:val="0"/>
        <w:spacing w:before="0" w:after="0"/>
        <w:ind w:left="0" w:right="0" w:hanging="0"/>
        <w:jc w:val="left"/>
        <w:rPr>
          <w:caps w:val="false"/>
          <w:smallCaps w:val="false"/>
        </w:rPr>
      </w:pPr>
      <w:r>
        <w:rPr>
          <w:caps w:val="false"/>
          <w:smallCaps w:val="false"/>
        </w:rPr>
        <w:t> </w:t>
      </w:r>
    </w:p>
    <w:tbl>
      <w:tblPr>
        <w:tblW w:w="9475" w:type="dxa"/>
        <w:jc w:val="left"/>
        <w:tblInd w:w="0" w:type="dxa"/>
        <w:tblLayout w:type="fixed"/>
        <w:tblCellMar>
          <w:top w:w="0" w:type="dxa"/>
          <w:left w:w="0" w:type="dxa"/>
          <w:bottom w:w="0" w:type="dxa"/>
          <w:right w:w="0" w:type="dxa"/>
        </w:tblCellMar>
      </w:tblPr>
      <w:tblGrid>
        <w:gridCol w:w="3695"/>
        <w:gridCol w:w="5780"/>
      </w:tblGrid>
      <w:tr>
        <w:trPr/>
        <w:tc>
          <w:tcPr>
            <w:tcW w:w="369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r>
              <w:rPr>
                <w:rFonts w:ascii="Times New Roman;Times;Serif" w:hAnsi="Times New Roman;Times;Serif"/>
                <w:b/>
                <w:i/>
              </w:rPr>
              <w:t xml:space="preserve">Form of Legend if Warrants are not </w:t>
              <w:br/>
              <w:t>immediately exercisable.</w:t>
            </w:r>
            <w:r>
              <w:rPr>
                <w:rFonts w:ascii="Times New Roman;Times;Serif" w:hAnsi="Times New Roman;Times;Serif"/>
              </w:rPr>
              <w:t>]</w:t>
            </w:r>
          </w:p>
        </w:tc>
        <w:tc>
          <w:tcPr>
            <w:tcW w:w="578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 xml:space="preserve">[Prior to [●], Warrants evidenced by this Warrant Certificate </w:t>
              <w:br/>
              <w:t>cannot be exercised.]</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EXERCISABLE ONLY IF COUNTERSIGNED BY THE WARRANT AGENT AS PROVIDED HEREIN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VOID AFTER [●] P.M., [City] time, 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Milestone Pharmaceuticals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 CERTIFICATE REPRESENTING</w:t>
        <w:br/>
        <w:t>WARRANTS TO PURCHASE</w:t>
        <w:br/>
        <w:t>[TITLE OF WARRANT SECURITIES]</w:t>
      </w:r>
    </w:p>
    <w:p>
      <w:pPr>
        <w:pStyle w:val="TextBody"/>
        <w:bidi w:val="0"/>
        <w:spacing w:before="0" w:after="0"/>
        <w:ind w:left="0" w:right="0" w:hanging="0"/>
        <w:jc w:val="left"/>
        <w:rPr>
          <w:caps w:val="false"/>
          <w:smallCaps w:val="false"/>
        </w:rPr>
      </w:pPr>
      <w:r>
        <w:rPr>
          <w:caps w:val="false"/>
          <w:smallCaps w:val="false"/>
        </w:rPr>
        <w:t> </w:t>
      </w:r>
    </w:p>
    <w:tbl>
      <w:tblPr>
        <w:tblW w:w="2005" w:type="dxa"/>
        <w:jc w:val="left"/>
        <w:tblInd w:w="0" w:type="dxa"/>
        <w:tblLayout w:type="fixed"/>
        <w:tblCellMar>
          <w:top w:w="0" w:type="dxa"/>
          <w:left w:w="0" w:type="dxa"/>
          <w:bottom w:w="0" w:type="dxa"/>
          <w:right w:w="0" w:type="dxa"/>
        </w:tblCellMar>
      </w:tblPr>
      <w:tblGrid>
        <w:gridCol w:w="755"/>
        <w:gridCol w:w="1250"/>
      </w:tblGrid>
      <w:tr>
        <w:trPr/>
        <w:tc>
          <w:tcPr>
            <w:tcW w:w="75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 [●]</w:t>
            </w:r>
          </w:p>
        </w:tc>
        <w:tc>
          <w:tcPr>
            <w:tcW w:w="1250" w:type="dxa"/>
            <w:tcBorders/>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 Warrants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certifies that [●] or registered assigns is the registered owner of the above indicated number of Warrants, each Warrant entitling such owner to purchase, at any time [after [●] p.m., [City] time, [on [●] and] on or before [●] p.m., [City] time, on [●], [●] [TITLE OF WARRANT SECURITIES], no par value per share, in the capital of Milestone Pharmaceuticals Inc.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(such [preferred shares], “</w:t>
      </w:r>
      <w:r>
        <w:rPr>
          <w:rFonts w:ascii="Times New Roman;Times;Serif" w:hAnsi="Times New Roman;Times;Serif"/>
          <w:b/>
          <w:i/>
          <w:caps w:val="false"/>
          <w:smallCaps w:val="false"/>
          <w:sz w:val="20"/>
        </w:rPr>
        <w:t>Warrant Securities</w:t>
      </w:r>
      <w:r>
        <w:rPr>
          <w:rFonts w:ascii="Times New Roman;Times;Serif" w:hAnsi="Times New Roman;Times;Serif"/>
          <w:b w:val="false"/>
          <w:i w:val="false"/>
          <w:caps w:val="false"/>
          <w:smallCaps w:val="false"/>
          <w:sz w:val="20"/>
        </w:rPr>
        <w:t>”) on the following basis: during the period from [●], through and including [●], the exercise price per Warrant Security will be $[●], subject to adjustment as provided in the Warrant Agreement (as hereinafter defined) (the “</w:t>
      </w:r>
      <w:r>
        <w:rPr>
          <w:rFonts w:ascii="Times New Roman;Times;Serif" w:hAnsi="Times New Roman;Times;Serif"/>
          <w:b/>
          <w:i/>
          <w:caps w:val="false"/>
          <w:smallCaps w:val="false"/>
          <w:sz w:val="20"/>
        </w:rPr>
        <w:t>Warrant Price</w:t>
      </w:r>
      <w:r>
        <w:rPr>
          <w:rFonts w:ascii="Times New Roman;Times;Serif" w:hAnsi="Times New Roman;Times;Serif"/>
          <w:b w:val="false"/>
          <w:i w:val="false"/>
          <w:caps w:val="false"/>
          <w:smallCaps w:val="false"/>
          <w:sz w:val="20"/>
        </w:rPr>
        <w:t>”). The Holder may exercise the Warrants evidenced hereby by providing certain information set forth on the back hereof and by paying in full, in lawful money of the United States of America, [in cash or by certified check or official bank check in New York Clearing House funds] [by bank wire transfer in immediately available funds], the Warrant Price for each Warrant Security with respect to which this Warrant is exercised to the Warrant Agent (as hereinafter defined) and by surrendering this Warrant Certificate, with the purchase form on the back hereof duly executed, at the corporate trust office of [name of Warrant Agent], or its successor as warrant agent (the “</w:t>
      </w:r>
      <w:r>
        <w:rPr>
          <w:rFonts w:ascii="Times New Roman;Times;Serif" w:hAnsi="Times New Roman;Times;Serif"/>
          <w:b/>
          <w:i/>
          <w:caps w:val="false"/>
          <w:smallCaps w:val="false"/>
          <w:sz w:val="20"/>
        </w:rPr>
        <w:t>Warrant Agent</w:t>
      </w:r>
      <w:r>
        <w:rPr>
          <w:rFonts w:ascii="Times New Roman;Times;Serif" w:hAnsi="Times New Roman;Times;Serif"/>
          <w:b w:val="false"/>
          <w:i w:val="false"/>
          <w:caps w:val="false"/>
          <w:smallCaps w:val="false"/>
          <w:sz w:val="20"/>
        </w:rPr>
        <w:t>”), which is, on the date hereof, at the address specified on the reverse hereof, and upon compliance with and subject to the conditions set forth herein and in the Warrant Agreement (as hereinafter defined).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w:t>
      </w:r>
      <w:r>
        <w:rPr>
          <w:rFonts w:ascii="Times New Roman;Times;Serif" w:hAnsi="Times New Roman;Times;Serif"/>
          <w:b/>
          <w:i/>
          <w:caps w:val="false"/>
          <w:smallCaps w:val="false"/>
          <w:sz w:val="20"/>
        </w:rPr>
        <w:t>Holder</w:t>
      </w:r>
      <w:r>
        <w:rPr>
          <w:rFonts w:ascii="Times New Roman;Times;Serif" w:hAnsi="Times New Roman;Times;Serif"/>
          <w:b w:val="false"/>
          <w:i w:val="false"/>
          <w:caps w:val="false"/>
          <w:smallCaps w:val="false"/>
          <w:sz w:val="20"/>
        </w:rPr>
        <w:t>” as used herein shall mean the person in whose name at the time this Warrant Certificate shall be registered upon the books to be maintained by the Warrant Agent for that purpose pursuant to Section 4 of the Warrant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Warrants evidenced by this Warrant Certificate may be exercised to purchase a whole number of Warrant Securities in registered form. Upon any exercise of fewer than all of the Warrants evidenced by this Warrant Certificate, there shall be issued to the Holder hereof a new Warrant Certificate evidencing Warrants for the number of Warrant Securities remaining unexercised.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Warrant Certificate is issued under and in accordance with the Warrant Agreement dated as of [●] (the “</w:t>
      </w:r>
      <w:r>
        <w:rPr>
          <w:rFonts w:ascii="Times New Roman;Times;Serif" w:hAnsi="Times New Roman;Times;Serif"/>
          <w:b/>
          <w:i/>
          <w:caps w:val="false"/>
          <w:smallCaps w:val="false"/>
          <w:sz w:val="20"/>
        </w:rPr>
        <w:t>Warrant Agreement</w:t>
      </w:r>
      <w:r>
        <w:rPr>
          <w:rFonts w:ascii="Times New Roman;Times;Serif" w:hAnsi="Times New Roman;Times;Serif"/>
          <w:b w:val="false"/>
          <w:i w:val="false"/>
          <w:caps w:val="false"/>
          <w:smallCaps w:val="false"/>
          <w:sz w:val="20"/>
        </w:rPr>
        <w:t>”), between the Company and the Warrant Agent and is subject to the terms and provisions contained in the Warrant Agreement, to all of which terms and provisions the Holder of this Warrant Certificate consents by acceptance hereof. Copies of the Warrant Agreement are on file at the above-mentioned office of the Warrant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 of this Warrant Certificate may be registered when this Warrant Certificate is surrendered at the corporate trust office of the Warrant Agent by the registered owner or such owner’s assigns, in the manner and subject to the limitations provided in the Warrant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countersignature by the Warrant Agent and prior to the expiration of this Warrant Certificate, this Warrant Certificate may be exchanged at the corporate trust office of the Warrant Agent for Warrant Certificates representing Warrants for the same aggregate number of Warrant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Warrant Certificate shall not entitle the Holder hereof to any of the rights of a holder of the Warrant Securities, including, without limitation, the right to receive payments of dividends or distributions, if any, on the Warrant Securities (except to the extent set forth in the Warrant Agreement) or to exercise any voting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hereby made to the further provisions of this Warrant Certificate set forth on the reverse hereof, which further provisions shall for all purposes have the same effect as if set forth at this place.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Warrant Certificate shall not be valid or obligatory for any purpose until countersigned by the Warrant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In Witness Whereof</w:t>
      </w:r>
      <w:r>
        <w:rPr>
          <w:rFonts w:ascii="Times New Roman;Times;Serif" w:hAnsi="Times New Roman;Times;Serif"/>
          <w:b w:val="false"/>
          <w:i w:val="false"/>
          <w:caps w:val="false"/>
          <w:smallCaps w:val="false"/>
          <w:sz w:val="20"/>
        </w:rPr>
        <w:t>, the Company has caused this Warrant to be executed in its name and on its behalf by the facsimile signatures of its duly authorized officers.</w:t>
      </w:r>
    </w:p>
    <w:p>
      <w:pPr>
        <w:pStyle w:val="TextBody"/>
        <w:bidi w:val="0"/>
        <w:spacing w:before="0" w:after="0"/>
        <w:ind w:left="0" w:right="0" w:hanging="0"/>
        <w:jc w:val="left"/>
        <w:rPr>
          <w:caps w:val="false"/>
          <w:smallCaps w:val="false"/>
        </w:rPr>
      </w:pPr>
      <w:r>
        <w:rPr>
          <w:caps w:val="false"/>
          <w:smallCaps w:val="false"/>
        </w:rPr>
        <w:t> </w:t>
      </w:r>
    </w:p>
    <w:tbl>
      <w:tblPr>
        <w:tblW w:w="3859" w:type="dxa"/>
        <w:jc w:val="left"/>
        <w:tblInd w:w="0" w:type="dxa"/>
        <w:tblLayout w:type="fixed"/>
        <w:tblCellMar>
          <w:top w:w="0" w:type="dxa"/>
          <w:left w:w="0" w:type="dxa"/>
          <w:bottom w:w="0" w:type="dxa"/>
          <w:right w:w="0" w:type="dxa"/>
        </w:tblCellMar>
      </w:tblPr>
      <w:tblGrid>
        <w:gridCol w:w="1829"/>
        <w:gridCol w:w="1955"/>
        <w:gridCol w:w="75"/>
      </w:tblGrid>
      <w:tr>
        <w:trPr/>
        <w:tc>
          <w:tcPr>
            <w:tcW w:w="182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Dated:</w:t>
            </w:r>
          </w:p>
        </w:tc>
        <w:tc>
          <w:tcPr>
            <w:tcW w:w="1955"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829"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78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Milestone Pharmaceuticals Inc.</w:t>
            </w:r>
            <w:r>
              <w:rPr>
                <w:rFonts w:ascii="Times New Roman;Times;Serif" w:hAnsi="Times New Roman;Times;Serif"/>
                <w:sz w:val="20"/>
              </w:rPr>
              <w:t>, as Company</w:t>
            </w:r>
          </w:p>
        </w:tc>
        <w:tc>
          <w:tcPr>
            <w:tcW w:w="75" w:type="dxa"/>
            <w:tcBorders/>
            <w:vAlign w:val="center"/>
          </w:tcPr>
          <w:p>
            <w:pPr>
              <w:pStyle w:val="TableContents"/>
              <w:bidi w:val="0"/>
              <w:spacing w:before="0" w:after="283"/>
              <w:jc w:val="left"/>
              <w:rPr/>
            </w:pPr>
            <w:r>
              <w:rPr/>
              <w:t> </w:t>
            </w:r>
          </w:p>
        </w:tc>
      </w:tr>
      <w:tr>
        <w:trPr/>
        <w:tc>
          <w:tcPr>
            <w:tcW w:w="1829"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82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955"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82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955"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82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955"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829"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829"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ATTEST:   </w:t>
            </w:r>
          </w:p>
        </w:tc>
        <w:tc>
          <w:tcPr>
            <w:tcW w:w="1955"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829" w:type="dxa"/>
            <w:tcBorders/>
            <w:vAlign w:val="center"/>
          </w:tcPr>
          <w:p>
            <w:pPr>
              <w:pStyle w:val="TableContents"/>
              <w:bidi w:val="0"/>
              <w:spacing w:before="0" w:after="283"/>
              <w:jc w:val="left"/>
              <w:rPr/>
            </w:pPr>
            <w:r>
              <w:rPr/>
              <w:t> </w:t>
            </w:r>
          </w:p>
        </w:tc>
        <w:tc>
          <w:tcPr>
            <w:tcW w:w="1955"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829"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784"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COUNTERSIGNED</w:t>
            </w:r>
          </w:p>
        </w:tc>
        <w:tc>
          <w:tcPr>
            <w:tcW w:w="75" w:type="dxa"/>
            <w:tcBorders/>
            <w:vAlign w:val="center"/>
          </w:tcPr>
          <w:p>
            <w:pPr>
              <w:pStyle w:val="TableContents"/>
              <w:bidi w:val="0"/>
              <w:spacing w:before="0" w:after="283"/>
              <w:jc w:val="left"/>
              <w:rPr/>
            </w:pPr>
            <w:r>
              <w:rPr/>
              <w:t> </w:t>
            </w:r>
          </w:p>
        </w:tc>
      </w:tr>
      <w:tr>
        <w:trPr/>
        <w:tc>
          <w:tcPr>
            <w:tcW w:w="378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as Warrant Agent</w:t>
            </w:r>
          </w:p>
        </w:tc>
        <w:tc>
          <w:tcPr>
            <w:tcW w:w="75" w:type="dxa"/>
            <w:tcBorders/>
            <w:vAlign w:val="center"/>
          </w:tcPr>
          <w:p>
            <w:pPr>
              <w:pStyle w:val="TableContents"/>
              <w:bidi w:val="0"/>
              <w:spacing w:before="0" w:after="283"/>
              <w:jc w:val="left"/>
              <w:rPr/>
            </w:pPr>
            <w:r>
              <w:rPr/>
              <w:t> </w:t>
            </w:r>
          </w:p>
        </w:tc>
      </w:tr>
      <w:tr>
        <w:trPr/>
        <w:tc>
          <w:tcPr>
            <w:tcW w:w="1829"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82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955"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82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955"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82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955"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829"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829"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ATTEST:</w:t>
            </w:r>
          </w:p>
        </w:tc>
        <w:tc>
          <w:tcPr>
            <w:tcW w:w="1955"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829" w:type="dxa"/>
            <w:tcBorders/>
            <w:vAlign w:val="center"/>
          </w:tcPr>
          <w:p>
            <w:pPr>
              <w:pStyle w:val="TableContents"/>
              <w:bidi w:val="0"/>
              <w:spacing w:before="0" w:after="283"/>
              <w:jc w:val="left"/>
              <w:rPr/>
            </w:pPr>
            <w:r>
              <w:rPr/>
              <w:t> </w:t>
            </w:r>
          </w:p>
        </w:tc>
        <w:tc>
          <w:tcPr>
            <w:tcW w:w="1955"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[REVERSE OF WARRANT CERTIFICATE]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(Instructions for Exercise of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exercise any Warrants evidenced hereby for Warrant Securities (as hereinafter defined), the Holder must pay, in lawful money of the United States of America, [in cash or by certified check or official bank check in New York Clearing House funds] [by bank wire transfer in immediately available funds], the Warrant Price in full for Warrants exercised, to [●] [address of Warrant Agent], Attention: [●], which payment must specify the name of the Holder and the number of Warrants exercised by such Holder. In addition, the Holder must complete the information required below and present this Warrant Certificate in person or by mail (certified or registered mail is recommended) to the Warrant Agent at the appropriate address set forth above. This Warrant Certificate, completed and duly executed, must be received by the Warrant Agent within five business days of the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be executed upon exercise of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irrevocably elects to exercise ______ Warrants, evidenced by this Warrant Certificate, to purchase _______ [TITLE OF WARRANT SECURITIES], no par value per share, in the capital of Milestone Pharmaceuticals Inc. (such [preferred shares], the “</w:t>
      </w:r>
      <w:r>
        <w:rPr>
          <w:rFonts w:ascii="Times New Roman;Times;Serif" w:hAnsi="Times New Roman;Times;Serif"/>
          <w:b/>
          <w:i/>
          <w:caps w:val="false"/>
          <w:smallCaps w:val="false"/>
          <w:sz w:val="20"/>
        </w:rPr>
        <w:t>Warrant Securities</w:t>
      </w:r>
      <w:r>
        <w:rPr>
          <w:rFonts w:ascii="Times New Roman;Times;Serif" w:hAnsi="Times New Roman;Times;Serif"/>
          <w:b w:val="false"/>
          <w:i w:val="false"/>
          <w:caps w:val="false"/>
          <w:smallCaps w:val="false"/>
          <w:sz w:val="20"/>
        </w:rPr>
        <w:t>”), and represents that the undersigned has tendered payment for such Warrant Securities, in lawful money of the United States of America, [in cash or by certified check or official bank check in New York Clearing House funds] [by bank wire transfer in immediately available funds], to the order of Milestone Pharmaceuticals Inc., c/o [insert name and address of Warrant Agent], in the amount of $_________ in accordance with the terms hereof. The undersigned requests that said Warrant Securities be in fully registered form in the authorized denominations, registered in such names and delivered all as specified in accordance with the instructions set forth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number of Warrants exercised is less than all of the Warrants evidenced hereby, the undersigned requests that a new Warrant Certificate evidencing the Warrants for the number of Warrant Securities remaining unexercised be issued and delivered to the undersigned unless otherwise specified in the instructions below.</w:t>
      </w:r>
    </w:p>
    <w:p>
      <w:pPr>
        <w:pStyle w:val="TextBody"/>
        <w:bidi w:val="0"/>
        <w:spacing w:before="0" w:after="0"/>
        <w:ind w:left="0" w:right="0" w:hanging="0"/>
        <w:jc w:val="left"/>
        <w:rPr>
          <w:caps w:val="false"/>
          <w:smallCaps w:val="false"/>
        </w:rPr>
      </w:pPr>
      <w:r>
        <w:rPr>
          <w:caps w:val="false"/>
          <w:smallCaps w:val="false"/>
        </w:rPr>
        <w:t> </w:t>
      </w:r>
    </w:p>
    <w:tbl>
      <w:tblPr>
        <w:tblW w:w="1929" w:type="dxa"/>
        <w:jc w:val="left"/>
        <w:tblInd w:w="0" w:type="dxa"/>
        <w:tblLayout w:type="fixed"/>
        <w:tblCellMar>
          <w:top w:w="0" w:type="dxa"/>
          <w:left w:w="0" w:type="dxa"/>
          <w:bottom w:w="0" w:type="dxa"/>
          <w:right w:w="0" w:type="dxa"/>
        </w:tblCellMar>
      </w:tblPr>
      <w:tblGrid>
        <w:gridCol w:w="665"/>
        <w:gridCol w:w="60"/>
        <w:gridCol w:w="60"/>
        <w:gridCol w:w="1026"/>
        <w:gridCol w:w="118"/>
      </w:tblGrid>
      <w:tr>
        <w:trPr/>
        <w:tc>
          <w:tcPr>
            <w:tcW w:w="66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Dated:</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Name:</w:t>
            </w:r>
          </w:p>
        </w:tc>
        <w:tc>
          <w:tcPr>
            <w:tcW w:w="118"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85" w:type="dxa"/>
            <w:gridSpan w:val="3"/>
            <w:tcBorders/>
            <w:vAlign w:val="center"/>
          </w:tcPr>
          <w:p>
            <w:pPr>
              <w:pStyle w:val="TableContents"/>
              <w:bidi w:val="0"/>
              <w:spacing w:before="0" w:after="283"/>
              <w:jc w:val="left"/>
              <w:rPr/>
            </w:pPr>
            <w:r>
              <w:rPr/>
              <w:t> </w:t>
            </w:r>
          </w:p>
        </w:tc>
        <w:tc>
          <w:tcPr>
            <w:tcW w:w="1144" w:type="dxa"/>
            <w:gridSpan w:val="2"/>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Please Print</w:t>
            </w:r>
          </w:p>
        </w:tc>
      </w:tr>
    </w:tbl>
    <w:p>
      <w:pPr>
        <w:pStyle w:val="TextBody"/>
        <w:bidi w:val="0"/>
        <w:spacing w:before="0" w:after="0"/>
        <w:ind w:left="0" w:right="0" w:hanging="0"/>
        <w:jc w:val="left"/>
        <w:rPr>
          <w:caps w:val="false"/>
          <w:smallCaps w:val="false"/>
        </w:rPr>
      </w:pPr>
      <w:r>
        <w:rPr>
          <w:caps w:val="false"/>
          <w:smallCaps w:val="false"/>
        </w:rPr>
        <w:t> </w:t>
      </w:r>
    </w:p>
    <w:tbl>
      <w:tblPr>
        <w:tblW w:w="4924" w:type="dxa"/>
        <w:jc w:val="left"/>
        <w:tblInd w:w="0" w:type="dxa"/>
        <w:tblLayout w:type="fixed"/>
        <w:tblCellMar>
          <w:top w:w="0" w:type="dxa"/>
          <w:left w:w="0" w:type="dxa"/>
          <w:bottom w:w="0" w:type="dxa"/>
          <w:right w:w="0" w:type="dxa"/>
        </w:tblCellMar>
      </w:tblPr>
      <w:tblGrid>
        <w:gridCol w:w="2460"/>
        <w:gridCol w:w="2464"/>
      </w:tblGrid>
      <w:tr>
        <w:trPr/>
        <w:tc>
          <w:tcPr>
            <w:tcW w:w="4924" w:type="dxa"/>
            <w:gridSpan w:val="2"/>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Address:</w:t>
            </w:r>
          </w:p>
        </w:tc>
      </w:tr>
      <w:tr>
        <w:trPr/>
        <w:tc>
          <w:tcPr>
            <w:tcW w:w="2460" w:type="dxa"/>
            <w:tcBorders>
              <w:bottom w:val="single" w:sz="8" w:space="0" w:color="000000"/>
            </w:tcBorders>
            <w:tcMar>
              <w:bottom w:w="28" w:type="dxa"/>
            </w:tcMar>
            <w:vAlign w:val="center"/>
          </w:tcPr>
          <w:p>
            <w:pPr>
              <w:pStyle w:val="TableContents"/>
              <w:bidi w:val="0"/>
              <w:spacing w:before="0" w:after="283"/>
              <w:jc w:val="left"/>
              <w:rPr/>
            </w:pPr>
            <w:r>
              <w:rPr/>
              <w:t> </w:t>
            </w:r>
          </w:p>
        </w:tc>
        <w:tc>
          <w:tcPr>
            <w:tcW w:w="2464" w:type="dxa"/>
            <w:tcBorders/>
            <w:vAlign w:val="center"/>
          </w:tcPr>
          <w:p>
            <w:pPr>
              <w:pStyle w:val="TableContents"/>
              <w:bidi w:val="0"/>
              <w:spacing w:before="0" w:after="283"/>
              <w:jc w:val="left"/>
              <w:rPr/>
            </w:pPr>
            <w:r>
              <w:rPr/>
              <w:t> </w:t>
            </w:r>
          </w:p>
        </w:tc>
      </w:tr>
      <w:tr>
        <w:trPr/>
        <w:tc>
          <w:tcPr>
            <w:tcW w:w="4924" w:type="dxa"/>
            <w:gridSpan w:val="2"/>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(Insert Social Security or Other Identifying Number</w:t>
              <w:br/>
              <w:t>of Holder)</w:t>
            </w:r>
          </w:p>
        </w:tc>
      </w:tr>
    </w:tbl>
    <w:p>
      <w:pPr>
        <w:pStyle w:val="TextBody"/>
        <w:bidi w:val="0"/>
        <w:spacing w:before="0" w:after="0"/>
        <w:ind w:left="0" w:right="0" w:hanging="0"/>
        <w:jc w:val="left"/>
        <w:rPr>
          <w:caps w:val="false"/>
          <w:smallCaps w:val="false"/>
        </w:rPr>
      </w:pPr>
      <w:r>
        <w:rPr>
          <w:caps w:val="false"/>
          <w:smallCaps w:val="false"/>
        </w:rPr>
        <w:t> </w:t>
      </w:r>
    </w:p>
    <w:tbl>
      <w:tblPr>
        <w:tblW w:w="3145" w:type="dxa"/>
        <w:jc w:val="left"/>
        <w:tblInd w:w="0" w:type="dxa"/>
        <w:tblLayout w:type="fixed"/>
        <w:tblCellMar>
          <w:top w:w="0" w:type="dxa"/>
          <w:left w:w="0" w:type="dxa"/>
          <w:bottom w:w="0" w:type="dxa"/>
          <w:right w:w="0" w:type="dxa"/>
        </w:tblCellMar>
      </w:tblPr>
      <w:tblGrid>
        <w:gridCol w:w="2150"/>
        <w:gridCol w:w="920"/>
        <w:gridCol w:w="75"/>
      </w:tblGrid>
      <w:tr>
        <w:trPr/>
        <w:tc>
          <w:tcPr>
            <w:tcW w:w="21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Signature Guaranteed:</w:t>
            </w:r>
          </w:p>
        </w:tc>
        <w:tc>
          <w:tcPr>
            <w:tcW w:w="920"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15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Signature</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must conform in all respects to name of holder as specified on the face of this Warrant Certificate and must bear a signature guarantee by a FINRA member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Warrant may be exercised at the following addresses: By hand 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mail 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[Instructions as to form and delivery of Warrant Securities and, if applicable, Warrant Certificates evidencing Warrants for the number of Warrant Securities remaining unexercised—complete as appropriate.]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ASSIGNMENT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assignment to be executed if Warrant Holder desires to transfer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For Value Received</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______________ hereby sells, assigns and transfers unto:</w:t>
      </w:r>
    </w:p>
    <w:p>
      <w:pPr>
        <w:pStyle w:val="TextBody"/>
        <w:bidi w:val="0"/>
        <w:spacing w:before="0" w:after="0"/>
        <w:ind w:left="0" w:right="0" w:hanging="0"/>
        <w:jc w:val="left"/>
        <w:rPr>
          <w:caps w:val="false"/>
          <w:smallCaps w:val="false"/>
        </w:rPr>
      </w:pPr>
      <w:r>
        <w:rPr>
          <w:caps w:val="false"/>
          <w:smallCaps w:val="false"/>
        </w:rPr>
        <w:t> </w:t>
      </w:r>
    </w:p>
    <w:tbl>
      <w:tblPr>
        <w:tblW w:w="10150" w:type="dxa"/>
        <w:jc w:val="left"/>
        <w:tblInd w:w="0" w:type="dxa"/>
        <w:tblLayout w:type="fixed"/>
        <w:tblCellMar>
          <w:top w:w="0" w:type="dxa"/>
          <w:left w:w="0" w:type="dxa"/>
          <w:bottom w:w="28" w:type="dxa"/>
          <w:right w:w="0" w:type="dxa"/>
        </w:tblCellMar>
      </w:tblPr>
      <w:tblGrid>
        <w:gridCol w:w="4820"/>
        <w:gridCol w:w="60"/>
        <w:gridCol w:w="5270"/>
      </w:tblGrid>
      <w:tr>
        <w:trPr/>
        <w:tc>
          <w:tcPr>
            <w:tcW w:w="4820"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270" w:type="dxa"/>
            <w:tcBorders>
              <w:bottom w:val="single" w:sz="8" w:space="0" w:color="000000"/>
            </w:tcBorders>
            <w:vAlign w:val="center"/>
          </w:tcPr>
          <w:p>
            <w:pPr>
              <w:pStyle w:val="TableContents"/>
              <w:bidi w:val="0"/>
              <w:spacing w:before="0" w:after="283"/>
              <w:jc w:val="left"/>
              <w:rPr/>
            </w:pPr>
            <w:r>
              <w:rPr/>
              <w:t> </w:t>
            </w:r>
          </w:p>
        </w:tc>
      </w:tr>
      <w:tr>
        <w:trPr/>
        <w:tc>
          <w:tcPr>
            <w:tcW w:w="4820"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(Please print name and address including zip code)</w:t>
            </w:r>
          </w:p>
        </w:tc>
        <w:tc>
          <w:tcPr>
            <w:tcW w:w="60" w:type="dxa"/>
            <w:tcBorders/>
            <w:tcMar>
              <w:bottom w:w="0" w:type="dxa"/>
            </w:tcMar>
            <w:vAlign w:val="center"/>
          </w:tcPr>
          <w:p>
            <w:pPr>
              <w:pStyle w:val="TableContents"/>
              <w:bidi w:val="0"/>
              <w:spacing w:before="0" w:after="283"/>
              <w:jc w:val="left"/>
              <w:rPr/>
            </w:pPr>
            <w:r>
              <w:rPr/>
              <w:t> </w:t>
            </w:r>
          </w:p>
        </w:tc>
        <w:tc>
          <w:tcPr>
            <w:tcW w:w="5270"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Please print Social Security or other identifying number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 represented by the within Warrant to purchase __________ [Title of Warrant Securities] of Milestone Pharmaceuticals Inc. to which the within Warrant relates and appoints ____________________ attorney to transfer such right on the books of the Warrant Agent with full power of substitution in the premises.</w:t>
      </w:r>
    </w:p>
    <w:p>
      <w:pPr>
        <w:pStyle w:val="TextBody"/>
        <w:bidi w:val="0"/>
        <w:spacing w:before="0" w:after="0"/>
        <w:ind w:left="0" w:right="0" w:hanging="0"/>
        <w:jc w:val="left"/>
        <w:rPr>
          <w:caps w:val="false"/>
          <w:smallCaps w:val="false"/>
        </w:rPr>
      </w:pPr>
      <w:r>
        <w:rPr>
          <w:caps w:val="false"/>
          <w:smallCaps w:val="false"/>
        </w:rPr>
        <w:t> </w:t>
      </w:r>
    </w:p>
    <w:tbl>
      <w:tblPr>
        <w:tblW w:w="2370" w:type="dxa"/>
        <w:jc w:val="left"/>
        <w:tblInd w:w="0" w:type="dxa"/>
        <w:tblLayout w:type="fixed"/>
        <w:tblCellMar>
          <w:top w:w="0" w:type="dxa"/>
          <w:left w:w="0" w:type="dxa"/>
          <w:bottom w:w="0" w:type="dxa"/>
          <w:right w:w="0" w:type="dxa"/>
        </w:tblCellMar>
      </w:tblPr>
      <w:tblGrid>
        <w:gridCol w:w="665"/>
        <w:gridCol w:w="60"/>
        <w:gridCol w:w="60"/>
        <w:gridCol w:w="650"/>
        <w:gridCol w:w="935"/>
      </w:tblGrid>
      <w:tr>
        <w:trPr/>
        <w:tc>
          <w:tcPr>
            <w:tcW w:w="66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Dated:</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Name:</w:t>
            </w:r>
          </w:p>
        </w:tc>
        <w:tc>
          <w:tcPr>
            <w:tcW w:w="935" w:type="dxa"/>
            <w:tcBorders>
              <w:bottom w:val="single" w:sz="8" w:space="0" w:color="000000"/>
            </w:tcBorders>
            <w:tcMar>
              <w:bottom w:w="30" w:type="dxa"/>
            </w:tcMar>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Signature</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must conform in all respects to name of holder as specified on the face of the Warrant)</w:t>
      </w:r>
    </w:p>
    <w:p>
      <w:pPr>
        <w:pStyle w:val="TextBody"/>
        <w:bidi w:val="0"/>
        <w:spacing w:before="0" w:after="0"/>
        <w:ind w:left="0" w:right="0" w:hanging="0"/>
        <w:jc w:val="left"/>
        <w:rPr>
          <w:caps w:val="false"/>
          <w:smallCaps w:val="false"/>
        </w:rPr>
      </w:pPr>
      <w:r>
        <w:rPr>
          <w:caps w:val="false"/>
          <w:smallCaps w:val="false"/>
        </w:rPr>
        <w:t> </w:t>
      </w:r>
    </w:p>
    <w:tbl>
      <w:tblPr>
        <w:tblW w:w="1865" w:type="dxa"/>
        <w:jc w:val="left"/>
        <w:tblInd w:w="0" w:type="dxa"/>
        <w:tblLayout w:type="fixed"/>
        <w:tblCellMar>
          <w:top w:w="0" w:type="dxa"/>
          <w:left w:w="0" w:type="dxa"/>
          <w:bottom w:w="0" w:type="dxa"/>
          <w:right w:w="0" w:type="dxa"/>
        </w:tblCellMar>
      </w:tblPr>
      <w:tblGrid>
        <w:gridCol w:w="1790"/>
        <w:gridCol w:w="75"/>
      </w:tblGrid>
      <w:tr>
        <w:trPr/>
        <w:tc>
          <w:tcPr>
            <w:tcW w:w="17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Signature Guaranteed</w:t>
            </w:r>
          </w:p>
        </w:tc>
        <w:tc>
          <w:tcPr>
            <w:tcW w:w="75" w:type="dxa"/>
            <w:tcBorders/>
            <w:vAlign w:val="center"/>
          </w:tcPr>
          <w:p>
            <w:pPr>
              <w:pStyle w:val="TableContents"/>
              <w:bidi w:val="0"/>
              <w:spacing w:before="0" w:after="283"/>
              <w:jc w:val="left"/>
              <w:rPr/>
            </w:pPr>
            <w:r>
              <w:rPr/>
              <w:t> </w:t>
            </w:r>
          </w:p>
        </w:tc>
      </w:tr>
      <w:tr>
        <w:trPr/>
        <w:tc>
          <w:tcPr>
            <w:tcW w:w="1790"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jc w:val="left"/>
        <w:rPr/>
      </w:pPr>
      <w:bookmarkStart w:id="39" w:name="tm2614252d2_ex4-7.htm"/>
      <w:bookmarkStart w:id="40" w:name="kstm2614252d2_ex47"/>
      <w:bookmarkEnd w:id="39"/>
      <w:bookmarkEnd w:id="40"/>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4.7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Milestone Pharmaceuticals Inc.</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and</w:t>
      </w:r>
    </w:p>
    <w:p>
      <w:pPr>
        <w:pStyle w:val="TextBody"/>
        <w:bidi w:val="0"/>
        <w:spacing w:before="0" w:after="0"/>
        <w:ind w:left="0" w:right="0" w:hanging="0"/>
        <w:jc w:val="center"/>
        <w:rPr>
          <w:smallCaps/>
        </w:rPr>
      </w:pPr>
      <w:r>
        <w:rPr>
          <w:smallCaps/>
          <w:u w:val="single"/>
        </w:rPr>
        <w:t>                          </w:t>
      </w:r>
      <w:r>
        <w:rPr>
          <w:rFonts w:ascii="Times New Roman;Times;Serif" w:hAnsi="Times New Roman;Times;Serif"/>
          <w:b/>
          <w:i w:val="false"/>
          <w:smallCaps/>
          <w:sz w:val="20"/>
        </w:rPr>
        <w:t>, As Warrant Agent</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Form of Debt Securities</w:t>
        <w:br/>
        <w:t>Warrant Agreement</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Dated As Of 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Milestone Pharmaceuticals Inc. Form of Debt Securities Warrant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This Debt Securities Warrant Agreement</w:t>
      </w:r>
      <w:r>
        <w:rPr>
          <w:rFonts w:ascii="Times New Roman;Times;Serif" w:hAnsi="Times New Roman;Times;Serif"/>
          <w:b w:val="false"/>
          <w:i w:val="false"/>
          <w:caps w:val="false"/>
          <w:smallCaps w:val="false"/>
          <w:sz w:val="20"/>
        </w:rPr>
        <w:t xml:space="preserve"> (this “</w:t>
      </w:r>
      <w:r>
        <w:rPr>
          <w:rFonts w:ascii="Times New Roman;Times;Serif" w:hAnsi="Times New Roman;Times;Serif"/>
          <w:b/>
          <w:i/>
          <w:caps w:val="false"/>
          <w:smallCaps w:val="false"/>
          <w:sz w:val="20"/>
        </w:rPr>
        <w:t>Agreement</w:t>
      </w:r>
      <w:r>
        <w:rPr>
          <w:rFonts w:ascii="Times New Roman;Times;Serif" w:hAnsi="Times New Roman;Times;Serif"/>
          <w:b w:val="false"/>
          <w:i w:val="false"/>
          <w:caps w:val="false"/>
          <w:smallCaps w:val="false"/>
          <w:sz w:val="20"/>
        </w:rPr>
        <w:t xml:space="preserve">”), dated as of [●], between </w:t>
      </w:r>
      <w:r>
        <w:rPr>
          <w:rFonts w:ascii="Times New Roman;Times;Serif" w:hAnsi="Times New Roman;Times;Serif"/>
          <w:b/>
          <w:i w:val="false"/>
          <w:smallCaps/>
          <w:sz w:val="20"/>
        </w:rPr>
        <w:t>Milestone Pharmaceuticals Inc.</w:t>
      </w:r>
      <w:r>
        <w:rPr>
          <w:rFonts w:ascii="Times New Roman;Times;Serif" w:hAnsi="Times New Roman;Times;Serif"/>
          <w:b w:val="false"/>
          <w:i w:val="false"/>
          <w:caps w:val="false"/>
          <w:smallCaps w:val="false"/>
          <w:sz w:val="20"/>
        </w:rPr>
        <w:t>, a corporation organized under the laws of the province of Québec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and [●], a [corporation] [national banking association] organized and existing under the laws of [●] and having a corporate trust office in [●], as warrant agent (the “</w:t>
      </w:r>
      <w:r>
        <w:rPr>
          <w:rFonts w:ascii="Times New Roman;Times;Serif" w:hAnsi="Times New Roman;Times;Serif"/>
          <w:b/>
          <w:i/>
          <w:caps w:val="false"/>
          <w:smallCaps w:val="false"/>
          <w:sz w:val="20"/>
        </w:rPr>
        <w:t>Warrant Agent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Whereas</w:t>
      </w:r>
      <w:r>
        <w:rPr>
          <w:rFonts w:ascii="Times New Roman;Times;Serif" w:hAnsi="Times New Roman;Times;Serif"/>
          <w:b w:val="false"/>
          <w:i w:val="false"/>
          <w:caps w:val="false"/>
          <w:smallCaps w:val="false"/>
          <w:sz w:val="20"/>
        </w:rPr>
        <w:t>, the Company has entered into an indenture dated as of [●] (the “</w:t>
      </w:r>
      <w:r>
        <w:rPr>
          <w:rFonts w:ascii="Times New Roman;Times;Serif" w:hAnsi="Times New Roman;Times;Serif"/>
          <w:b/>
          <w:i/>
          <w:caps w:val="false"/>
          <w:smallCaps w:val="false"/>
          <w:sz w:val="20"/>
        </w:rPr>
        <w:t>Indenture</w:t>
      </w:r>
      <w:r>
        <w:rPr>
          <w:rFonts w:ascii="Times New Roman;Times;Serif" w:hAnsi="Times New Roman;Times;Serif"/>
          <w:b w:val="false"/>
          <w:i w:val="false"/>
          <w:caps w:val="false"/>
          <w:smallCaps w:val="false"/>
          <w:sz w:val="20"/>
        </w:rPr>
        <w:t>”), with [●], as trustee (such trustee, and any successors to such trustee, herein called the “</w:t>
      </w:r>
      <w:r>
        <w:rPr>
          <w:rFonts w:ascii="Times New Roman;Times;Serif" w:hAnsi="Times New Roman;Times;Serif"/>
          <w:b/>
          <w:i/>
          <w:caps w:val="false"/>
          <w:smallCaps w:val="false"/>
          <w:sz w:val="20"/>
        </w:rPr>
        <w:t>Trustee</w:t>
      </w:r>
      <w:r>
        <w:rPr>
          <w:rFonts w:ascii="Times New Roman;Times;Serif" w:hAnsi="Times New Roman;Times;Serif"/>
          <w:b w:val="false"/>
          <w:i w:val="false"/>
          <w:caps w:val="false"/>
          <w:smallCaps w:val="false"/>
          <w:sz w:val="20"/>
        </w:rPr>
        <w:t>”), providing for the issuance from time to time of its debt securities, to be issued in one or more series as provided in the Indenture (the “</w:t>
      </w:r>
      <w:r>
        <w:rPr>
          <w:rFonts w:ascii="Times New Roman;Times;Serif" w:hAnsi="Times New Roman;Times;Serif"/>
          <w:b/>
          <w:i/>
          <w:caps w:val="false"/>
          <w:smallCaps w:val="false"/>
          <w:sz w:val="20"/>
        </w:rPr>
        <w:t>Debt Securities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Whereas,</w:t>
      </w:r>
      <w:r>
        <w:rPr>
          <w:rFonts w:ascii="Times New Roman;Times;Serif" w:hAnsi="Times New Roman;Times;Serif"/>
          <w:b w:val="false"/>
          <w:i w:val="false"/>
          <w:caps w:val="false"/>
          <w:smallCaps w:val="false"/>
          <w:sz w:val="20"/>
        </w:rPr>
        <w:t xml:space="preserve"> the Company proposes to sell [</w:t>
      </w:r>
      <w:r>
        <w:rPr>
          <w:rFonts w:ascii="Times New Roman;Times;Serif" w:hAnsi="Times New Roman;Times;Serif"/>
          <w:b/>
          <w:i/>
          <w:caps w:val="false"/>
          <w:smallCaps w:val="false"/>
          <w:sz w:val="20"/>
        </w:rPr>
        <w:t xml:space="preserve">If Warrants are sold with other securities </w:t>
      </w:r>
      <w:r>
        <w:rPr>
          <w:rFonts w:ascii="Times New Roman;Times;Serif" w:hAnsi="Times New Roman;Times;Serif"/>
          <w:b w:val="false"/>
          <w:i w:val="false"/>
          <w:caps w:val="false"/>
          <w:smallCaps w:val="false"/>
          <w:sz w:val="20"/>
        </w:rPr>
        <w:t>—[title of such other securities being offered] (the “</w:t>
      </w:r>
      <w:r>
        <w:rPr>
          <w:rFonts w:ascii="Times New Roman;Times;Serif" w:hAnsi="Times New Roman;Times;Serif"/>
          <w:b/>
          <w:i/>
          <w:caps w:val="false"/>
          <w:smallCaps w:val="false"/>
          <w:sz w:val="20"/>
        </w:rPr>
        <w:t>Other Securities</w:t>
      </w:r>
      <w:r>
        <w:rPr>
          <w:rFonts w:ascii="Times New Roman;Times;Serif" w:hAnsi="Times New Roman;Times;Serif"/>
          <w:b w:val="false"/>
          <w:i w:val="false"/>
          <w:caps w:val="false"/>
          <w:smallCaps w:val="false"/>
          <w:sz w:val="20"/>
        </w:rPr>
        <w:t>”) with] warrant certificates evidencing one or more warrants (the “</w:t>
      </w:r>
      <w:r>
        <w:rPr>
          <w:rFonts w:ascii="Times New Roman;Times;Serif" w:hAnsi="Times New Roman;Times;Serif"/>
          <w:b/>
          <w:i/>
          <w:caps w:val="false"/>
          <w:smallCaps w:val="false"/>
          <w:sz w:val="20"/>
        </w:rPr>
        <w:t>Warrants</w:t>
      </w:r>
      <w:r>
        <w:rPr>
          <w:rFonts w:ascii="Times New Roman;Times;Serif" w:hAnsi="Times New Roman;Times;Serif"/>
          <w:b w:val="false"/>
          <w:i w:val="false"/>
          <w:caps w:val="false"/>
          <w:smallCaps w:val="false"/>
          <w:sz w:val="20"/>
        </w:rPr>
        <w:t>” or, individually, a “</w:t>
      </w:r>
      <w:r>
        <w:rPr>
          <w:rFonts w:ascii="Times New Roman;Times;Serif" w:hAnsi="Times New Roman;Times;Serif"/>
          <w:b/>
          <w:i/>
          <w:caps w:val="false"/>
          <w:smallCaps w:val="false"/>
          <w:sz w:val="20"/>
        </w:rPr>
        <w:t>Warrant</w:t>
      </w:r>
      <w:r>
        <w:rPr>
          <w:rFonts w:ascii="Times New Roman;Times;Serif" w:hAnsi="Times New Roman;Times;Serif"/>
          <w:b w:val="false"/>
          <w:i w:val="false"/>
          <w:caps w:val="false"/>
          <w:smallCaps w:val="false"/>
          <w:sz w:val="20"/>
        </w:rPr>
        <w:t>”) representing the right to purchase [title of Debt Securities purchasable through exercise of Warrants] (the “</w:t>
      </w:r>
      <w:r>
        <w:rPr>
          <w:rFonts w:ascii="Times New Roman;Times;Serif" w:hAnsi="Times New Roman;Times;Serif"/>
          <w:b/>
          <w:i/>
          <w:caps w:val="false"/>
          <w:smallCaps w:val="false"/>
          <w:sz w:val="20"/>
        </w:rPr>
        <w:t>Warrant Debt Securities</w:t>
      </w:r>
      <w:r>
        <w:rPr>
          <w:rFonts w:ascii="Times New Roman;Times;Serif" w:hAnsi="Times New Roman;Times;Serif"/>
          <w:b w:val="false"/>
          <w:i w:val="false"/>
          <w:caps w:val="false"/>
          <w:smallCaps w:val="false"/>
          <w:sz w:val="20"/>
        </w:rPr>
        <w:t>”), such warrant certificates and other warrant certificates issued pursuant to this Agreement being herein called the “</w:t>
      </w:r>
      <w:r>
        <w:rPr>
          <w:rFonts w:ascii="Times New Roman;Times;Serif" w:hAnsi="Times New Roman;Times;Serif"/>
          <w:b/>
          <w:i/>
          <w:caps w:val="false"/>
          <w:smallCaps w:val="false"/>
          <w:sz w:val="20"/>
        </w:rPr>
        <w:t>Warrant Certificates</w:t>
      </w:r>
      <w:r>
        <w:rPr>
          <w:rFonts w:ascii="Times New Roman;Times;Serif" w:hAnsi="Times New Roman;Times;Serif"/>
          <w:b w:val="false"/>
          <w:i w:val="false"/>
          <w:caps w:val="false"/>
          <w:smallCaps w:val="false"/>
          <w:sz w:val="20"/>
        </w:rPr>
        <w: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 xml:space="preserve">Whereas, </w:t>
      </w:r>
      <w:r>
        <w:rPr>
          <w:rFonts w:ascii="Times New Roman;Times;Serif" w:hAnsi="Times New Roman;Times;Serif"/>
          <w:b w:val="false"/>
          <w:i w:val="false"/>
          <w:caps w:val="false"/>
          <w:smallCaps w:val="false"/>
          <w:sz w:val="20"/>
        </w:rPr>
        <w:t>the Company desires the Warrant Agent to act on behalf of the Company, and the Warrant Agent is willing so to act, in connection with the issuance, registration, transfer, exchange, exercise and replacement of the Warrant Certificates, and, in this Agreement, the Company wishes to set forth, among other things, the form and provisions of the Warrant Certificates and the terms and conditions on which they may be issued, registered, transferred, exchanged, exercised and replaced.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Now Therefore,</w:t>
      </w:r>
      <w:r>
        <w:rPr>
          <w:rFonts w:ascii="Times New Roman;Times;Serif" w:hAnsi="Times New Roman;Times;Serif"/>
          <w:b w:val="false"/>
          <w:i w:val="false"/>
          <w:caps w:val="false"/>
          <w:smallCaps w:val="false"/>
          <w:sz w:val="20"/>
        </w:rPr>
        <w:t xml:space="preserve"> in consideration of the premises and of the mutual agreements herein contained, the parties hereto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1</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ISSUANCE OF WARRANTS AND EXECUTION AND</w:t>
        <w:br/>
        <w:t>DELIVERY OF WARRANT CERTIFICATES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1.1 Issuance of Warrants. </w:t>
      </w:r>
      <w:r>
        <w:rPr>
          <w:rFonts w:ascii="Times New Roman;Times;Serif" w:hAnsi="Times New Roman;Times;Serif"/>
          <w:b w:val="false"/>
          <w:i w:val="false"/>
          <w:caps w:val="false"/>
          <w:smallCaps w:val="false"/>
          <w:sz w:val="20"/>
        </w:rPr>
        <w:t>[</w:t>
      </w:r>
      <w:r>
        <w:rPr>
          <w:rFonts w:ascii="Times New Roman;Times;Serif" w:hAnsi="Times New Roman;Times;Serif"/>
          <w:b/>
          <w:i/>
          <w:caps w:val="false"/>
          <w:smallCaps w:val="false"/>
          <w:sz w:val="20"/>
        </w:rPr>
        <w:t>If Warrants alone</w:t>
      </w:r>
      <w:r>
        <w:rPr>
          <w:rFonts w:ascii="Times New Roman;Times;Serif" w:hAnsi="Times New Roman;Times;Serif"/>
          <w:b w:val="false"/>
          <w:i w:val="false"/>
          <w:caps w:val="false"/>
          <w:smallCaps w:val="false"/>
          <w:sz w:val="20"/>
        </w:rPr>
        <w:t xml:space="preserve"> — Upon issuance, each Warrant Certificate shall evidence one or more Warrants.] [</w:t>
      </w:r>
      <w:r>
        <w:rPr>
          <w:rFonts w:ascii="Times New Roman;Times;Serif" w:hAnsi="Times New Roman;Times;Serif"/>
          <w:b/>
          <w:i/>
          <w:caps w:val="false"/>
          <w:smallCaps w:val="false"/>
          <w:sz w:val="20"/>
        </w:rPr>
        <w:t>If Other Securities and Warrants</w:t>
      </w:r>
      <w:r>
        <w:rPr>
          <w:rFonts w:ascii="Times New Roman;Times;Serif" w:hAnsi="Times New Roman;Times;Serif"/>
          <w:b w:val="false"/>
          <w:i w:val="false"/>
          <w:caps w:val="false"/>
          <w:smallCaps w:val="false"/>
          <w:sz w:val="20"/>
        </w:rPr>
        <w:t xml:space="preserve"> — Warrant Certificates will be issued in connection with the issuance of the Other Securities but shall be separately transferable and each Warrant Certificate shall evidence one or more Warrants.] Each Warrant evidenced thereby shall represent the right, subject to the provisions contained herein and therein, to purchase one Warrant Debt Security. [</w:t>
      </w:r>
      <w:r>
        <w:rPr>
          <w:rFonts w:ascii="Times New Roman;Times;Serif" w:hAnsi="Times New Roman;Times;Serif"/>
          <w:b/>
          <w:i/>
          <w:caps w:val="false"/>
          <w:smallCaps w:val="false"/>
          <w:sz w:val="20"/>
        </w:rPr>
        <w:t>If Other Securities and Warrants</w:t>
      </w:r>
      <w:r>
        <w:rPr>
          <w:rFonts w:ascii="Times New Roman;Times;Serif" w:hAnsi="Times New Roman;Times;Serif"/>
          <w:b w:val="false"/>
          <w:i w:val="false"/>
          <w:caps w:val="false"/>
          <w:smallCaps w:val="false"/>
          <w:sz w:val="20"/>
        </w:rPr>
        <w:t xml:space="preserve"> — Warrant Certificates will be issued with the Other Securities and each Warrant Certificate will evidence [●] Warrants for each [$[●] principal amount] [[●] shares] of Other Securities issued.]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 Execution and Delivery of Warrant Certificates.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 xml:space="preserve">Each Warrant Certificate, whenever issued, shall be in registered form substantially in the form set forth in </w:t>
      </w:r>
      <w:r>
        <w:rPr>
          <w:rFonts w:ascii="Times New Roman;Times;Serif" w:hAnsi="Times New Roman;Times;Serif"/>
          <w:b/>
          <w:i w:val="false"/>
          <w:caps w:val="false"/>
          <w:smallCaps w:val="false"/>
          <w:sz w:val="20"/>
        </w:rPr>
        <w:t>Exhibit A</w:t>
      </w:r>
      <w:r>
        <w:rPr>
          <w:rFonts w:ascii="Times New Roman;Times;Serif" w:hAnsi="Times New Roman;Times;Serif"/>
          <w:b w:val="false"/>
          <w:i w:val="false"/>
          <w:caps w:val="false"/>
          <w:smallCaps w:val="false"/>
          <w:sz w:val="20"/>
        </w:rPr>
        <w:t xml:space="preserve"> hereto, shall be dated the date of its countersignature by the Warrant Agent and may have such letters, numbers, or other marks of identification or designation and such legends or endorsements printed, lithographed or engraved thereon as the officers of the Company executing the same may approve (execution thereof to be conclusive evidence of such approval) and as are not inconsistent with the provisions of this Agreement, or as may be required to comply with any law or with any rule or regulation made pursuant thereto or with any rule or regulation of any securities exchange on which the Warrants may be listed, or to conform to usage. The Warrant Certificates shall be signed on behalf of the Company by any of its present or future chief executive officers, presidents, senior vice presidents, vice presidents, chief financial officers, chief legal officers, treasurers, assistant treasurers, controllers, assistant controllers, secretaries or assistant secretaries, as authorized by the board of directors of the Company (the “</w:t>
      </w:r>
      <w:r>
        <w:rPr>
          <w:rFonts w:ascii="Times New Roman;Times;Serif" w:hAnsi="Times New Roman;Times;Serif"/>
          <w:b/>
          <w:i/>
          <w:caps w:val="false"/>
          <w:smallCaps w:val="false"/>
          <w:sz w:val="20"/>
        </w:rPr>
        <w:t>Board</w:t>
      </w:r>
      <w:r>
        <w:rPr>
          <w:rFonts w:ascii="Times New Roman;Times;Serif" w:hAnsi="Times New Roman;Times;Serif"/>
          <w:b w:val="false"/>
          <w:i w:val="false"/>
          <w:caps w:val="false"/>
          <w:smallCaps w:val="false"/>
          <w:sz w:val="20"/>
        </w:rPr>
        <w:t>”). Such signatures may be manual or facsimile signatures of such authorized officers and may be imprinted or otherwise reproduced on the Warrant Certificates.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No Warrant Certificate shall be valid for any purpose, and no Warrant evidenced thereby shall be exercisable, until such Warrant Certificate has been countersigned by the manual signature of the Warrant Agent. Such signature by the Warrant Agent upon any Warrant Certificate executed by the Company shall be conclusive evidence that the Warrant Certificate so countersigned has been duly issued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w:t>
      </w:r>
      <w:r>
        <w:rPr>
          <w:rFonts w:ascii="Times New Roman;Times;Serif" w:hAnsi="Times New Roman;Times;Serif"/>
          <w:b w:val="false"/>
          <w:i w:val="false"/>
          <w:caps w:val="false"/>
          <w:smallCaps w:val="false"/>
          <w:sz w:val="20"/>
        </w:rPr>
        <w:t>In case any officer of the Company who shall have signed any of the Warrant Certificates either manually or by facsimile signature shall cease for any reason to be such officer before the Warrant Certificates so signed shall have been countersigned and delivered by the Warrant Agent, such Warrant Certificates may be countersigned and delivered notwithstanding that the person who signed such Warrant Certificates ceased to be such officer of the Company; and any Warrant Certificate may be signed on behalf of the Company by such persons as, at the actual date of the execution of such Warrant Certificate, shall be the proper officers of the Company, although at the date of the execution of this Agreement any such person was not such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 </w:t>
      </w:r>
      <w:r>
        <w:rPr>
          <w:rFonts w:ascii="Times New Roman;Times;Serif" w:hAnsi="Times New Roman;Times;Serif"/>
          <w:b w:val="false"/>
          <w:i w:val="false"/>
          <w:caps w:val="false"/>
          <w:smallCaps w:val="false"/>
          <w:sz w:val="20"/>
        </w:rPr>
        <w:t>The term “</w:t>
      </w:r>
      <w:r>
        <w:rPr>
          <w:rFonts w:ascii="Times New Roman;Times;Serif" w:hAnsi="Times New Roman;Times;Serif"/>
          <w:b/>
          <w:i/>
          <w:caps w:val="false"/>
          <w:smallCaps w:val="false"/>
          <w:sz w:val="20"/>
        </w:rPr>
        <w:t>holder</w:t>
      </w:r>
      <w:r>
        <w:rPr>
          <w:rFonts w:ascii="Times New Roman;Times;Serif" w:hAnsi="Times New Roman;Times;Serif"/>
          <w:b w:val="false"/>
          <w:i w:val="false"/>
          <w:caps w:val="false"/>
          <w:smallCaps w:val="false"/>
          <w:sz w:val="20"/>
        </w:rPr>
        <w:t>” or “</w:t>
      </w:r>
      <w:r>
        <w:rPr>
          <w:rFonts w:ascii="Times New Roman;Times;Serif" w:hAnsi="Times New Roman;Times;Serif"/>
          <w:b/>
          <w:i/>
          <w:caps w:val="false"/>
          <w:smallCaps w:val="false"/>
          <w:sz w:val="20"/>
        </w:rPr>
        <w:t>holder of a Warrant Certificate</w:t>
      </w:r>
      <w:r>
        <w:rPr>
          <w:rFonts w:ascii="Times New Roman;Times;Serif" w:hAnsi="Times New Roman;Times;Serif"/>
          <w:b w:val="false"/>
          <w:i w:val="false"/>
          <w:caps w:val="false"/>
          <w:smallCaps w:val="false"/>
          <w:sz w:val="20"/>
        </w:rPr>
        <w:t>” as used herein shall mean any person in whose name at the time any Warrant Certificate shall be registered upon the books to be maintained by the Warrant Agent for that purpose.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1.3 Issuance of Warrant Certificates. </w:t>
      </w:r>
      <w:r>
        <w:rPr>
          <w:rFonts w:ascii="Times New Roman;Times;Serif" w:hAnsi="Times New Roman;Times;Serif"/>
          <w:b w:val="false"/>
          <w:i w:val="false"/>
          <w:caps w:val="false"/>
          <w:smallCaps w:val="false"/>
          <w:sz w:val="20"/>
        </w:rPr>
        <w:t>Warrant Certificates evidencing the right to purchase Warrant Debt Securities may be executed by the Company and delivered to the Warrant Agent upon the execution of this Agreement or from time to time thereafter. The Warrant Agent shall, upon receipt of Warrant Certificates duly executed on behalf of the Company, countersign such Warrant Certificates and shall deliver such Warrant Certificates to or upon the order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2</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WARRANT PRICE, DURATION AND EXERCISE OF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2.1 Warrant Price. </w:t>
      </w:r>
      <w:r>
        <w:rPr>
          <w:rFonts w:ascii="Times New Roman;Times;Serif" w:hAnsi="Times New Roman;Times;Serif"/>
          <w:b w:val="false"/>
          <w:i w:val="false"/>
          <w:caps w:val="false"/>
          <w:smallCaps w:val="false"/>
          <w:sz w:val="20"/>
        </w:rPr>
        <w:t>During the period specified in Section 2.2, each Warrant shall, subject to the terms of this Agreement and the applicable Warrant Certificate, entitle the holder thereof to purchase the principal amount of Warrant Debt Securities specified in the applicable Warrant Certificate at an exercise price of [●]% of the principal amount of Warrant Debt Securities [plus accrued amortization, if any, of the original issue discount of the Warrant Debt Securities] [plus accrued interest, if any, from the most recent date from which interest shall have been paid on the Warrant Debt Securities or, if no interest shall have been paid on the Warrant Debt Securities, from the date of their initial issuance.] [The original issue discount ($[●] for each $1,000 principal amount of Warrant Debt Securities) will be amortized at a [●]% annual rate, computed on a[n] [semi-] annual basis [using a 360-day year consisting of twelve 30-day months].] Such purchase price for the Warrant Debt Securities is referred to in this Agreement as the “</w:t>
      </w:r>
      <w:r>
        <w:rPr>
          <w:rFonts w:ascii="Times New Roman;Times;Serif" w:hAnsi="Times New Roman;Times;Serif"/>
          <w:b/>
          <w:i/>
          <w:caps w:val="false"/>
          <w:smallCaps w:val="false"/>
          <w:sz w:val="20"/>
        </w:rPr>
        <w:t>Warrant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2.2 Duration of Warrants. </w:t>
      </w:r>
      <w:r>
        <w:rPr>
          <w:rFonts w:ascii="Times New Roman;Times;Serif" w:hAnsi="Times New Roman;Times;Serif"/>
          <w:b w:val="false"/>
          <w:i w:val="false"/>
          <w:caps w:val="false"/>
          <w:smallCaps w:val="false"/>
          <w:sz w:val="20"/>
        </w:rPr>
        <w:t>Each Warrant may be exercised in whole or in part at any time, as specified herein, on or after [the date thereof] [●] and at or before [●] p.m., [City] time, on [●] or such later date as the Company may designate by notice to the Warrant Agent and the holders of Warrant Certificates mailed to their addresses as set forth in the record books of the Warrant Agent (the “</w:t>
      </w:r>
      <w:r>
        <w:rPr>
          <w:rFonts w:ascii="Times New Roman;Times;Serif" w:hAnsi="Times New Roman;Times;Serif"/>
          <w:b/>
          <w:i/>
          <w:caps w:val="false"/>
          <w:smallCaps w:val="false"/>
          <w:sz w:val="20"/>
        </w:rPr>
        <w:t>Expiration Date</w:t>
      </w:r>
      <w:r>
        <w:rPr>
          <w:rFonts w:ascii="Times New Roman;Times;Serif" w:hAnsi="Times New Roman;Times;Serif"/>
          <w:b w:val="false"/>
          <w:i w:val="false"/>
          <w:caps w:val="false"/>
          <w:smallCaps w:val="false"/>
          <w:sz w:val="20"/>
        </w:rPr>
        <w:t>”). Each Warrant not exercised at or before [●] p.m., [City] time, on the Expiration Date shall become void, and all rights of the holder of the Warrant Certificate evidencing such Warrant under this Agreement shall cease to have any force or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2.3 Exercise of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During the period specified in Section 2.2, the Warrants may be exercised to purchase a whole number of Warrant Debt Securities in registered form by providing certain information as set forth on the reverse side of the Warrant Certificate and by paying in full, in lawful money of the United States of America, [in cash or by certified check or official bank check in New York Clearing House funds] [by bank wire transfer in immediately available funds] the Warrant Price for each Warrant Debt Security with respect to which a Warrant is being exercised to the Warrant Agent at its corporate trust office, provided that such exercise is subject to receipt within five business days of such payment by the Warrant Agent of the Warrant Certificate with the form of election to purchase Warrant Debt Securities set forth on the reverse side of the Warrant Certificate properly completed and duly executed. The date on which payment in full of the Warrant Price is received by the Warrant Agent shall, subject to receipt of the Warrant Certificate, in accordance with this Section 2.3(a), be deemed to be the date on which the Warrant is exercised; provided, however, that if, at the date of receipt of such Warrant Certificates and payment in full of the Warrant Price, the transfer books for the Warrant Debt Securities purchasable upon the exercise of such Warrants shall be closed, no such receipt of such Warrant Certificates and no such payment of such Warrant Price shall be effective to constitute the person so designated to be named as the holder of record of such Warrant Debt Securities on such date, but shall be effective to constitute such person as the holder of record of such Warrant Debt Securities for all purposes at the opening of business on the next succeeding day on which the transfer books for the Warrant Debt Securities purchasable upon the exercise of such Warrants shall be opened, and the certificates for the Warrant Debt Securities in respect of which such Warrants are then exercised shall be issuable as of the date on such next succeeding day on which the transfer books shall next be opened, and until such date the Company shall be under no duty to deliver any certificate for such Warrant Debt Securities. The Warrant Agent shall deposit all funds received by it in payment of the Warrant Price in an account of the Company maintained with it and shall advise the Company by telephone at the end of each day on which a payment for the exercise of Warrants is received of the amount so deposited to its account. The Warrant Agent shall promptly confirm such telephone advice to the Company in writing.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The Warrant Agent shall, from time to time, as promptly as practicable, advise the Company of (i) the number of Warrant Debt Securities with respect to which Warrants were exercised, (ii) the instructions of each holder of the Warrant Certificates evidencing such Warrants with respect to delivery of the Warrant Debt Securities to which such holder is entitled upon such exercise, (iii) delivery of Warrant Certificates evidencing the balance, if any, of the Warrants for the remaining Warrant Debt Securities after such exercise, and (iv) such other information as the Company or the Trustee shall reasonably require.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w:t>
      </w:r>
      <w:r>
        <w:rPr>
          <w:rFonts w:ascii="Times New Roman;Times;Serif" w:hAnsi="Times New Roman;Times;Serif"/>
          <w:b w:val="false"/>
          <w:i w:val="false"/>
          <w:caps w:val="false"/>
          <w:smallCaps w:val="false"/>
          <w:sz w:val="20"/>
        </w:rPr>
        <w:t>As soon as practicable after the exercise of any Warrant, the Company shall issue pursuant to the Indenture, in authorized denominations, to or upon the order of the holder of the Warrant Certificate evidencing such Warrant the Warrant Debt Securities to which such holder is entitled, in fully registered form, registered in such name or names as may be directed by such holder. If fewer than all of the Warrants evidenced by such Warrant Certificate are exercised, the Company shall execute, and an authorized officer of the Warrant Agent shall manually countersign and deliver, a new Warrant Certificate evidencing Warrants for the number of Warrant Debt Securities remaining unexercised.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 </w:t>
      </w:r>
      <w:r>
        <w:rPr>
          <w:rFonts w:ascii="Times New Roman;Times;Serif" w:hAnsi="Times New Roman;Times;Serif"/>
          <w:b w:val="false"/>
          <w:i w:val="false"/>
          <w:caps w:val="false"/>
          <w:smallCaps w:val="false"/>
          <w:sz w:val="20"/>
        </w:rPr>
        <w:t>The Company shall not be required to pay any stamp or other tax or other governmental charge required to be paid in connection with any transfer involved in the issue of the Warrant Debt Securities, and in the event that any such transfer is involved, the Company shall not be required to issue or deliver any Warrant Debt Securities until such tax or other charge shall have been paid or it has been established to the Company’s satisfaction that no such tax or other charge is due.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 </w:t>
      </w:r>
      <w:r>
        <w:rPr>
          <w:rFonts w:ascii="Times New Roman;Times;Serif" w:hAnsi="Times New Roman;Times;Serif"/>
          <w:b w:val="false"/>
          <w:i w:val="false"/>
          <w:caps w:val="false"/>
          <w:smallCaps w:val="false"/>
          <w:sz w:val="20"/>
        </w:rPr>
        <w:t>Prior to the issuance of any Warrants, there shall have been reserved, and the Company shall at all times through the Expiration Date keep reserved, out of its authorized but unissued Warrant Debt Securities, a number of shares sufficient to provide for the exercise of the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3</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OTHER PROVISIONS RELATING TO RIGHTS OF HOLDERS OF</w:t>
        <w:br/>
        <w:t>WARRANT CERTIFICATES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3.1 No Rights as Holder of Warrant Debt Securities Conferred by Warrants or Warrant Certificates. </w:t>
      </w:r>
      <w:r>
        <w:rPr>
          <w:rFonts w:ascii="Times New Roman;Times;Serif" w:hAnsi="Times New Roman;Times;Serif"/>
          <w:b w:val="false"/>
          <w:i w:val="false"/>
          <w:caps w:val="false"/>
          <w:smallCaps w:val="false"/>
          <w:sz w:val="20"/>
        </w:rPr>
        <w:t>No Warrant Certificate or Warrant evidenced thereby shall entitle the holder thereof to any of the rights of a holder of Warrant Debt Securities, including, without limitation, the right to receive the payment of principal of (or premium, if any) or interest, if any, on the Warrant Debt Securities or to enforce any of the covenants in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3.2 Lost, Stolen, Mutilated or Destroyed Warrant Certificates. </w:t>
      </w:r>
      <w:r>
        <w:rPr>
          <w:rFonts w:ascii="Times New Roman;Times;Serif" w:hAnsi="Times New Roman;Times;Serif"/>
          <w:b w:val="false"/>
          <w:i w:val="false"/>
          <w:caps w:val="false"/>
          <w:smallCaps w:val="false"/>
          <w:sz w:val="20"/>
        </w:rPr>
        <w:t>Upon receipt by the Warrant Agent of evidence reasonably satisfactory to it and the Company of the ownership of and the loss, theft, destruction or mutilation of any Warrant Certificate and/or indemnity reasonably satisfactory to the Warrant Agent and the Company and, in the case of mutilation, upon surrender of the mutilated Warrant Certificate to the Warrant Agent for cancellation, then, in the absence of notice to the Company or the Warrant Agent that such Warrant Certificate has been acquired by a bona fide purchaser, the Company shall execute, and an authorized officer of the Warrant Agent shall manually countersign and deliver, in exchange for or in lieu of the lost, stolen, destroyed or mutilated Warrant Certificate, a new Warrant Certificate of the same tenor and evidencing Warrants for a like principal amount of Warrant Debt Securities. Upon the issuance of any new Warrant Certificate under this Section 3.2, the Company may require the payment of a sum sufficient to cover any tax or other governmental charge that may be imposed in relation thereto and any other expenses (including the fees and expenses of the Warrant Agent) in connection therewith. Every substitute Warrant Certificate executed and delivered pursuant to this Section 3.2 in lieu of any lost, stolen or destroyed Warrant Certificate shall represent an additional contractual obligation of the Company, whether or not the lost, stolen or destroyed Warrant Certificate shall be at any time enforceable by anyone, and shall be entitled to the benefits of this Agreement equally and proportionately with any and all other Warrant Certificates duly executed and delivered hereunder. The provisions of this Section 3.2 are exclusive and shall preclude (to the extent lawful) all other rights and remedies with respect to the replacement of mutilated, lost, stolen or destroyed Warrant Certificates.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3.3 Holder of Warrant Certificate May Enforce Rights.</w:t>
      </w:r>
      <w:r>
        <w:rPr>
          <w:rFonts w:ascii="Times New Roman;Times;Serif" w:hAnsi="Times New Roman;Times;Serif"/>
          <w:b w:val="false"/>
          <w:i w:val="false"/>
          <w:caps w:val="false"/>
          <w:smallCaps w:val="false"/>
          <w:sz w:val="20"/>
        </w:rPr>
        <w:t xml:space="preserve"> Notwithstanding any of the provisions of this Agreement, any holder of a Warrant Certificate, without the consent of the Warrant Agent, , the Trustee, the holder of any Warrant Debt Securities or the holder of any other Warrant Certificate, may, in such holder’s own behalf and for such holder’s own benefit, enforce, and may institute and maintain any suit, action or proceeding against the Company suitable to enforce, or otherwise in respect of, such holder’s right to exercise the Warrants evidenced by such holder’s Warrant Certificate in the manner provided in such holder’s Warrant Certificates and in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3.4 Amalgamation, Merger, Sale, Conveyance or Lease.</w:t>
      </w:r>
      <w:r>
        <w:rPr>
          <w:rFonts w:ascii="Times New Roman;Times;Serif" w:hAnsi="Times New Roman;Times;Serif"/>
          <w:b w:val="false"/>
          <w:i w:val="false"/>
          <w:caps w:val="false"/>
          <w:smallCaps w:val="false"/>
          <w:sz w:val="20"/>
        </w:rPr>
        <w:t xml:space="preserve"> In case of (a) any share exchange, amalgamation, merger or similar transaction of the Company with or into another person or entity (other than a share exchange, merger or similar transaction in which the Company is the acquiring or surviving corporation) or (b) the sale, exchange, lease, transfer or other disposition of all or substantially all of the properties and assets of the Company as an entirety (in any such case, a “</w:t>
      </w:r>
      <w:r>
        <w:rPr>
          <w:rFonts w:ascii="Times New Roman;Times;Serif" w:hAnsi="Times New Roman;Times;Serif"/>
          <w:b/>
          <w:i/>
          <w:caps w:val="false"/>
          <w:smallCaps w:val="false"/>
          <w:sz w:val="20"/>
        </w:rPr>
        <w:t>Reorganization Event</w:t>
      </w:r>
      <w:r>
        <w:rPr>
          <w:rFonts w:ascii="Times New Roman;Times;Serif" w:hAnsi="Times New Roman;Times;Serif"/>
          <w:b w:val="false"/>
          <w:i w:val="false"/>
          <w:caps w:val="false"/>
          <w:smallCaps w:val="false"/>
          <w:sz w:val="20"/>
        </w:rPr>
        <w:t xml:space="preserve">”), then, as a condition of such Reorganization Event, lawful provisions shall be made, and duly executed documents evidencing the same from the Company’s successor or assignee shall be delivered to the holders of the Warrants, so that such successor shall succeed to and be substituted for the Company, and assume all the Company’s obligations under, this Agreement and the Warrants. The Company shall thereupon (other than in the case of an amalgamation in accordance with the </w:t>
      </w:r>
      <w:r>
        <w:rPr>
          <w:rFonts w:ascii="Times New Roman;Times;Serif" w:hAnsi="Times New Roman;Times;Serif"/>
          <w:b w:val="false"/>
          <w:i/>
          <w:caps w:val="false"/>
          <w:smallCaps w:val="false"/>
          <w:sz w:val="20"/>
        </w:rPr>
        <w:t xml:space="preserve">Business Corporations Act </w:t>
      </w:r>
      <w:r>
        <w:rPr>
          <w:rFonts w:ascii="Times New Roman;Times;Serif" w:hAnsi="Times New Roman;Times;Serif"/>
          <w:b w:val="false"/>
          <w:i w:val="false"/>
          <w:caps w:val="false"/>
          <w:smallCaps w:val="false"/>
          <w:sz w:val="20"/>
        </w:rPr>
        <w:t>(Québec)) be relieved of any further obligation hereunder or under the Warrants, and the Company as the predecessor corporation may thereupon or at any time thereafter be dissolved, wound up or liquidated. Such successor or assuming entity thereupon may cause to be signed, and may issue either in its own name or in the name of the Company, any or all of the Warrants issuable hereunder which heretofore shall not have been signed by the Company, and may execute and deliver securities in its own name, in fulfillment of its obligations to deliver Warrant Debt Securities upon exercise of the Warrants. All the Warrants so issued shall in all respects have the same legal rank and benefit under this Agreement as the Warrants theretofore or thereafter issued in accordance with the terms of this Agreement as though all of such Warrants had been issued at the date of the execution hereof. In any case of any such Reorganization Event, such changes in phraseology and form (but not in substance) may be made in the Warrants thereafter to be issued as may be appropriate. The Warrant Agent may receive a written opinion of legal counsel as conclusive evidence that any such Reorganization Event complies with the provisions of this Section 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3.5 Notice to Warrantholders. </w:t>
      </w:r>
      <w:r>
        <w:rPr>
          <w:rFonts w:ascii="Times New Roman;Times;Serif" w:hAnsi="Times New Roman;Times;Serif"/>
          <w:b w:val="false"/>
          <w:i w:val="false"/>
          <w:caps w:val="false"/>
          <w:smallCaps w:val="false"/>
          <w:sz w:val="20"/>
        </w:rPr>
        <w:t>In case the Company shall (a) effect any Reorganization Event or (b) make any distribution on or in respect of the [title of Warrant Debt Securities] in connection with the dissolution, liquidation or winding up of the Company, then the Company shall mail to each holder of Warrants at such holder’s address as it shall appear on the books of the Warrant Agent, at least ten days prior to the applicable date hereinafter specified, a notice stating the date on which such Reorganization Event, dissolution, liquidation or winding up is expected to become effective, and the date as of which it is expected that holders of [title of Warrant Debt Securities] of record shall be entitled to exchange their [title of Warrant Debt Securities] for securities or other property deliverable upon such Reorganization Event, dissolution, liquidation or winding up. No failure to mail such notice nor any defect therein or in the mailing thereof shall affect any such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4</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EXCHANGE AND TRANSFER OF WARRANT CERTIFICATES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4.1 </w:t>
      </w:r>
      <w:r>
        <w:rPr>
          <w:rFonts w:ascii="Times New Roman;Times;Serif" w:hAnsi="Times New Roman;Times;Serif"/>
          <w:b w:val="false"/>
          <w:i w:val="false"/>
          <w:caps w:val="false"/>
          <w:smallCaps w:val="false"/>
          <w:sz w:val="20"/>
        </w:rPr>
        <w:t>Exchange and Transfer of Warrant Certificates. Upon surrender at the corporate trust office of the Warrant Agent, Warrant Certificates evidencing Warrants may be exchanged for Warrant Certificates in other denominations evidencing such Warrants or the transfer thereof may be registered in whole or in part; provided that such other Warrant Certificates evidence Warrants for the same aggregate principal amount of Warrant Debt Securities as the Warrant Certificates so surrendered. The Warrant Agent shall keep, at its corporate trust office, books in which, subject to such reasonable regulations as it may prescribe, it shall register Warrant Certificates and exchanges and transfers of outstanding Warrant Certificates, upon surrender of the Warrant Certificates to the Warrant Agent at its corporate trust office for exchange or registration of transfer, properly endorsed or accompanied by appropriate instruments of registration of transfer and written instructions for transfer, all in form satisfactory to the Company and the Warrant Agent. No service charge shall be made for any exchange or registration of transfer of Warrant Certificates, but the Company may require payment of a sum sufficient to cover any stamp or other tax or other governmental charge that may be imposed in connection with any such exchange or registration of transfer. Whenever any Warrant Certificates are so surrendered for exchange or registration of transfer, an authorized officer of the Warrant Agent shall manually countersign and deliver to the person or persons entitled thereto a Warrant Certificate or Warrant Certificates duly authorized and executed by the Company, as so requested. The Warrant Agent shall not be required to effect any exchange or registration of transfer which will result in the issuance of a Warrant Certificate evidencing a Warrant for a fraction of a Warrant Debt Security or a number of Warrants for a whole number of Warrant Debt Securities and a fraction of a Warrant Debt Security. All Warrant Certificates issued upon any exchange or registration of transfer of Warrant Certificates shall be the valid obligations of the Company, evidencing the same obligations and entitled to the same benefits under this Agreement as the Warrant Certificate surrendered for such exchange or registration of transfer.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4.2 Treatment of Holders of Warrant Certificates. </w:t>
      </w:r>
      <w:r>
        <w:rPr>
          <w:rFonts w:ascii="Times New Roman;Times;Serif" w:hAnsi="Times New Roman;Times;Serif"/>
          <w:b w:val="false"/>
          <w:i w:val="false"/>
          <w:caps w:val="false"/>
          <w:smallCaps w:val="false"/>
          <w:sz w:val="20"/>
        </w:rPr>
        <w:t>The Company, the Warrant Agent and all other persons may treat the registered holder of a Warrant Certificate as the absolute owner thereof for any purpose and as the person entitled to exercise the rights represented by the Warrants evidenced thereby, any notice to the contrary notwithstanding.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4.3 Cancellation of Warrant Certificates. </w:t>
      </w:r>
      <w:r>
        <w:rPr>
          <w:rFonts w:ascii="Times New Roman;Times;Serif" w:hAnsi="Times New Roman;Times;Serif"/>
          <w:b w:val="false"/>
          <w:i w:val="false"/>
          <w:caps w:val="false"/>
          <w:smallCaps w:val="false"/>
          <w:sz w:val="20"/>
        </w:rPr>
        <w:t>Any Warrant Certificate surrendered for exchange, registration of transfer or exercise of the Warrants evidenced thereby shall, if surrendered to the Company, be delivered to the Warrant Agent and all Warrant Certificates surrendered or so delivered to the Warrant Agent shall be promptly canceled by the Warrant Agent and shall not be reissued and, except as expressly permitted by this Agreement, no Warrant Certificate shall be issued hereunder in exchange therefor or in lieu thereof. The Warrant Agent shall deliver to the Company from time to time or otherwise dispose of canceled Warrant Certificates in a manner satisfactory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5</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CONCERNING THE WARRANT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5.1 Warrant Agent. </w:t>
      </w:r>
      <w:r>
        <w:rPr>
          <w:rFonts w:ascii="Times New Roman;Times;Serif" w:hAnsi="Times New Roman;Times;Serif"/>
          <w:b w:val="false"/>
          <w:i w:val="false"/>
          <w:caps w:val="false"/>
          <w:smallCaps w:val="false"/>
          <w:sz w:val="20"/>
        </w:rPr>
        <w:t>The Company hereby appoints [●] as Warrant Agent of the Company in respect of the Warrants and the Warrant Certificates upon the terms and subject to the conditions herein set forth, and [●] hereby accepts such appointment. The Warrant Agent shall have the powers and authority granted to and conferred upon it in the Warrant Certificates and hereby and such further powers and authority to act on behalf of the Company as the Company may hereafter grant to or confer upon it. All of the terms and provisions with respect to such powers and authority contained in the Warrant Certificates are subject to and governed by the terms and provisions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5.2 Conditions of Warrant Agent’s Obligations. </w:t>
      </w:r>
      <w:r>
        <w:rPr>
          <w:rFonts w:ascii="Times New Roman;Times;Serif" w:hAnsi="Times New Roman;Times;Serif"/>
          <w:b w:val="false"/>
          <w:i w:val="false"/>
          <w:caps w:val="false"/>
          <w:smallCaps w:val="false"/>
          <w:sz w:val="20"/>
        </w:rPr>
        <w:t>The Warrant Agent accepts its obligations herein set forth upon the terms and conditions hereof, including the following to all of which the Company agrees and to all of which the rights hereunder of the holders from time to time of the Warrant Certificates shall be subject: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 Compensation and Indemnification. </w:t>
      </w:r>
      <w:r>
        <w:rPr>
          <w:rFonts w:ascii="Times New Roman;Times;Serif" w:hAnsi="Times New Roman;Times;Serif"/>
          <w:b w:val="false"/>
          <w:i w:val="false"/>
          <w:caps w:val="false"/>
          <w:smallCaps w:val="false"/>
          <w:sz w:val="20"/>
        </w:rPr>
        <w:t>The Company agrees promptly to pay the Warrant Agent the compensation to be agreed upon with the Company for all services rendered by the Warrant Agent and to reimburse the Warrant Agent for reasonable out-of-pocket expenses (including reasonable counsel fees) incurred without negligence, bad faith or willful misconduct by the Warrant Agent in connection with the services rendered hereunder by the Warrant Agent. The Company also agrees to indemnify the Warrant Agent for, and to hold it harmless against, any loss, liability or expense incurred without negligence, bad faith or willful misconduct on the part of the Warrant Agent, arising out of or in connection with its acting as Warrant Agent hereunder, including the reasonable costs and expenses of defending against any claim of such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(b) Agent for the Company. </w:t>
      </w:r>
      <w:r>
        <w:rPr>
          <w:rFonts w:ascii="Times New Roman;Times;Serif" w:hAnsi="Times New Roman;Times;Serif"/>
          <w:b w:val="false"/>
          <w:i w:val="false"/>
          <w:caps w:val="false"/>
          <w:smallCaps w:val="false"/>
          <w:sz w:val="20"/>
        </w:rPr>
        <w:t>In acting under this Agreement and in connection with the Warrant Certificates, the Warrant Agent is acting solely as agent of the Company and does not assume any obligations or relationship of agency or trust for or with any of the holders of Warrant Certificates or beneficial owners of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(c) Counsel. </w:t>
      </w:r>
      <w:r>
        <w:rPr>
          <w:rFonts w:ascii="Times New Roman;Times;Serif" w:hAnsi="Times New Roman;Times;Serif"/>
          <w:b w:val="false"/>
          <w:i w:val="false"/>
          <w:caps w:val="false"/>
          <w:smallCaps w:val="false"/>
          <w:sz w:val="20"/>
        </w:rPr>
        <w:t>The Warrant Agent may consult with counsel satisfactory to it, which may include counsel for the Company, and the written advice of such counsel shall be full and complete authorization and protection in respect of any action taken, suffered or omitted by it hereunder in good faith and in accordance with the advice of such counsel.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 Documents. </w:t>
      </w:r>
      <w:r>
        <w:rPr>
          <w:rFonts w:ascii="Times New Roman;Times;Serif" w:hAnsi="Times New Roman;Times;Serif"/>
          <w:b w:val="false"/>
          <w:i w:val="false"/>
          <w:caps w:val="false"/>
          <w:smallCaps w:val="false"/>
          <w:sz w:val="20"/>
        </w:rPr>
        <w:t>The Warrant Agent shall be protected and shall incur no liability for or in respect of any action taken or omitted by it in reliance upon any Warrant Certificate, notice, direction, consent, certificate, affidavit, statement or other paper or document reasonably believed by it to be genuine and to have been presented or signed by the proper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(e) Certain Transactions. </w:t>
      </w:r>
      <w:r>
        <w:rPr>
          <w:rFonts w:ascii="Times New Roman;Times;Serif" w:hAnsi="Times New Roman;Times;Serif"/>
          <w:b w:val="false"/>
          <w:i w:val="false"/>
          <w:caps w:val="false"/>
          <w:smallCaps w:val="false"/>
          <w:sz w:val="20"/>
        </w:rPr>
        <w:t>The Warrant Agent, and its officers, directors and employees, may become the owner of, or acquire any interest in, Warrants, with the same rights that it or they would have if it were not the Warrant Agent hereunder, and, to the extent permitted by applicable law, it or they may engage or be interested in any financial or other transaction with the Company and may act on, or as depositary, trustee or agent for, any committee or body of holders of Warrant Debt Securities or other obligations of the Company as freely as if it were not the Warrant Agent hereunder. Nothing in this Agreement shall be deemed to prevent the Warrant Agent from acting as trustee under any indenture to which the Company is a party, including, without limitation, as Trustee under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(f) No Liability for Interest. </w:t>
      </w:r>
      <w:r>
        <w:rPr>
          <w:rFonts w:ascii="Times New Roman;Times;Serif" w:hAnsi="Times New Roman;Times;Serif"/>
          <w:b w:val="false"/>
          <w:i w:val="false"/>
          <w:caps w:val="false"/>
          <w:smallCaps w:val="false"/>
          <w:sz w:val="20"/>
        </w:rPr>
        <w:t>Unless otherwise agreed with the Company, the Warrant Agent shall have no liability for interest on any monies at any time received by it pursuant to any of the provisions of this Agreement or of the Warrant Certificates.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(g) No Liability for Invalidity. </w:t>
      </w:r>
      <w:r>
        <w:rPr>
          <w:rFonts w:ascii="Times New Roman;Times;Serif" w:hAnsi="Times New Roman;Times;Serif"/>
          <w:b w:val="false"/>
          <w:i w:val="false"/>
          <w:caps w:val="false"/>
          <w:smallCaps w:val="false"/>
          <w:sz w:val="20"/>
        </w:rPr>
        <w:t>The Warrant Agent shall have no liability with respect to any invalidity of this Agreement or any of the Warrant Certificates (except as to the Warrant Agent’s countersignature thereon).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(h) No Responsibility for Representations. </w:t>
      </w:r>
      <w:r>
        <w:rPr>
          <w:rFonts w:ascii="Times New Roman;Times;Serif" w:hAnsi="Times New Roman;Times;Serif"/>
          <w:b w:val="false"/>
          <w:i w:val="false"/>
          <w:caps w:val="false"/>
          <w:smallCaps w:val="false"/>
          <w:sz w:val="20"/>
        </w:rPr>
        <w:t>The Warrant Agent shall not be responsible for any of the recitals or representations herein or in the Warrant Certificates (except as to the Warrant Agent’s countersignature thereon), all of which are made solely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(i) No Implied Obligations. </w:t>
      </w:r>
      <w:r>
        <w:rPr>
          <w:rFonts w:ascii="Times New Roman;Times;Serif" w:hAnsi="Times New Roman;Times;Serif"/>
          <w:b w:val="false"/>
          <w:i w:val="false"/>
          <w:caps w:val="false"/>
          <w:smallCaps w:val="false"/>
          <w:sz w:val="20"/>
        </w:rPr>
        <w:t>The Warrant Agent shall be obligated to perform only such duties as are herein and in the Warrant Certificates specifically set forth and no implied duties or obligations shall be read into this Agreement or the Warrant Certificates against the Warrant Agent. The Warrant Agent shall not be under any obligation to take any action hereunder which may tend to involve it in any expense or liability, the payment of which within a reasonable time is not, in its reasonable opinion, assured to it. The Warrant Agent shall not be accountable or under any duty or responsibility for the use by the Company of any of the Warrant Certificates authenticated by the Warrant Agent and delivered by it to the Company pursuant to this Agreement or for the application by the Company of the proceeds of the Warrant Certificates. The Warrant Agent shall have no duty or responsibility in case of any default by the Company in the performance of its covenants or agreements contained herein or in the Warrant Certificates or in the case of the receipt of any written demand from a holder of a Warrant Certificate with respect to such default, including, without limiting the generality of the foregoing, any duty or responsibility to initiate or attempt to initiate any proceedings at law or otherwise or, except as provided in Section 6.2 hereof, to make any demand upon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5.3 Resignation, Removal and Appointment of Successors.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 </w:t>
      </w:r>
      <w:r>
        <w:rPr>
          <w:rFonts w:ascii="Times New Roman;Times;Serif" w:hAnsi="Times New Roman;Times;Serif"/>
          <w:b w:val="false"/>
          <w:i w:val="false"/>
          <w:caps w:val="false"/>
          <w:smallCaps w:val="false"/>
          <w:sz w:val="20"/>
        </w:rPr>
        <w:t>The Company agrees, for the benefit of the holders from time to time of the Warrant Certificates, that there shall at all times be a Warrant Agent hereunder until all the Warrants have been exercised or are no longer exercisable.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 </w:t>
      </w:r>
      <w:r>
        <w:rPr>
          <w:rFonts w:ascii="Times New Roman;Times;Serif" w:hAnsi="Times New Roman;Times;Serif"/>
          <w:b w:val="false"/>
          <w:i w:val="false"/>
          <w:caps w:val="false"/>
          <w:smallCaps w:val="false"/>
          <w:sz w:val="20"/>
        </w:rPr>
        <w:t>The Warrant Agent may at any time resign as agent by giving written notice to the Company of such intention on its part, specifying the date on which its desired resignation shall become effective; provided that such date shall not be less than three months after the date on which such notice is given unless the Company otherwise agrees. The Warrant Agent hereunder may be removed at any time by the filing with it of an instrument in writing signed by or on behalf of the Company and specifying such removal and the intended date when it shall become effective. Such resignation or removal shall take effect upon the appointment by the Company, as hereinafter provided, of a successor Warrant Agent (which shall be a bank or trust company authorized under the laws of the jurisdiction of its organization to exercise corporate trust powers) and the acceptance of such appointment by such successor Warrant Agent. The obligation of the Company under Section 5.2(a) shall continue to the extent set forth therein notwithstanding the resignation or removal of the Warrant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 </w:t>
      </w:r>
      <w:r>
        <w:rPr>
          <w:rFonts w:ascii="Times New Roman;Times;Serif" w:hAnsi="Times New Roman;Times;Serif"/>
          <w:b w:val="false"/>
          <w:i w:val="false"/>
          <w:caps w:val="false"/>
          <w:smallCaps w:val="false"/>
          <w:sz w:val="20"/>
        </w:rPr>
        <w:t>In case at any time the Warrant Agent shall resign, or shall be removed, or shall become incapable of acting, or shall be adjudged a bankrupt or insolvent, or shall commence a voluntary case under the Federal bankruptcy laws, as now or hereafter constituted, or under any other applicable Federal or state bankruptcy, insolvency or similar law or shall consent to the appointment of or taking possession by a receiver, custodian, liquidator, assignee, trustee, sequestrator (or other similar official) of the Warrant Agent or its property or affairs, or shall make an assignment for the benefit of creditors, or shall admit in writing its inability to pay its debts generally as they become due, or shall take corporate action in furtherance of any such action, or a decree or order for relief by a court having jurisdiction in the premises shall have been entered in respect of the Warrant Agent in an involuntary case under the Federal bankruptcy laws, as now or hereafter constituted, or any other applicable Federal or state bankruptcy, insolvency or similar law, or a decree or order by a court having jurisdiction in the premises shall have been entered for the appointment of a receiver, custodian, liquidator, assignee, trustee, sequestrator (or similar official) of the Warrant Agent or of its property or affairs, or any public officer shall take charge or control of the Warrant Agent or of its property or affairs for the purpose of rehabilitation, conservation, winding up or liquidation, a successor Warrant Agent, qualified as aforesaid, shall be appointed by the Company by an instrument in writing, filed with the successor Warrant Agent. Upon the appointment as aforesaid of a successor Warrant Agent and acceptance by the successor Warrant Agent of such appointment, the Warrant Agent shall cease to be Warrant Agent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 </w:t>
      </w:r>
      <w:r>
        <w:rPr>
          <w:rFonts w:ascii="Times New Roman;Times;Serif" w:hAnsi="Times New Roman;Times;Serif"/>
          <w:b w:val="false"/>
          <w:i w:val="false"/>
          <w:caps w:val="false"/>
          <w:smallCaps w:val="false"/>
          <w:sz w:val="20"/>
        </w:rPr>
        <w:t>Any successor Warrant Agent appointed hereunder shall execute, acknowledge and deliver to its predecessor and to the Company an instrument accepting such appointment hereunder, and thereupon such successor Warrant Agent, without any further act, deed or conveyance, shall become vested with all the authority, rights, powers, trusts, immunities, duties and obligations of such predecessor with like effect as if originally named as Warrant Agent hereunder, and such predecessor, upon payment of its charges and disbursements then unpaid, shall thereupon become obligated to transfer, deliver and pay over, and such successor Warrant Agent shall be entitled to receive, all monies, securities and other property on deposit with or held by such predecessor, as Warrant Agent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 </w:t>
      </w:r>
      <w:r>
        <w:rPr>
          <w:rFonts w:ascii="Times New Roman;Times;Serif" w:hAnsi="Times New Roman;Times;Serif"/>
          <w:b w:val="false"/>
          <w:i w:val="false"/>
          <w:caps w:val="false"/>
          <w:smallCaps w:val="false"/>
          <w:sz w:val="20"/>
        </w:rPr>
        <w:t>Any corporation into which the Warrant Agent hereunder may be amalgamated., merged or converted or any corporation with which the Warrant Agent may be consolidated, or any corporation resulting from any amalgamation, merger, conversion or consolidation to which the Warrant Agent shall be a party, or any corporation to which the Warrant Agent shall sell or otherwise transfer all or substantially all the assets and business of the Warrant Agent, provided that it shall be qualified as aforesaid, shall be the successor Warrant Agent under this Agreement without the execution or filing of any paper or any further act on the part of any of the parties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Article 6</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MISCELLANEOUS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6.1 Amendment. </w:t>
      </w:r>
      <w:r>
        <w:rPr>
          <w:rFonts w:ascii="Times New Roman;Times;Serif" w:hAnsi="Times New Roman;Times;Serif"/>
          <w:b w:val="false"/>
          <w:i w:val="false"/>
          <w:caps w:val="false"/>
          <w:smallCaps w:val="false"/>
          <w:sz w:val="20"/>
        </w:rPr>
        <w:t>This Agreement may be amended by the parties hereto, without the consent of the holder of any Warrant Certificate, for the purpose of curing any ambiguity, or of curing, correcting or supplementing any defective provision contained herein, or making any other provisions with respect to matters or questions arising under this Agreement as the Company and the Warrant Agent may deem necessary or desirable; provided that such action shall not materially adversely affect the interests of the holders of the Warrant Certificates.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6.2 Notices and Demands to the Company and Warrant Agent. </w:t>
      </w:r>
      <w:r>
        <w:rPr>
          <w:rFonts w:ascii="Times New Roman;Times;Serif" w:hAnsi="Times New Roman;Times;Serif"/>
          <w:b w:val="false"/>
          <w:i w:val="false"/>
          <w:caps w:val="false"/>
          <w:smallCaps w:val="false"/>
          <w:sz w:val="20"/>
        </w:rPr>
        <w:t>If the Warrant Agent shall receive any notice or demand addressed to the Company by the holder of a Warrant Certificate pursuant to the provisions of the Warrant Certificates, the Warrant Agent shall promptly forward such notice or demand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6.3 Addresses. </w:t>
      </w:r>
      <w:r>
        <w:rPr>
          <w:rFonts w:ascii="Times New Roman;Times;Serif" w:hAnsi="Times New Roman;Times;Serif"/>
          <w:b w:val="false"/>
          <w:i w:val="false"/>
          <w:caps w:val="false"/>
          <w:smallCaps w:val="false"/>
          <w:sz w:val="20"/>
        </w:rPr>
        <w:t>Any communication from the Company to the Warrant Agent with respect to this Agreement shall be addressed to [●], Attention: [●] and any communication from the Warrant Agent to the Company with respect to this Agreement shall be addressed to Milestone Pharmaceuticals Inc., 1111 Dr. Frederik-Philips Boulevard, Suite 420, Montréal, Québec, Canada H4M 2X6, Attention: [●] (or such other address as shall be specified in writing by the Warrant Agent or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6.4 Governing Law. </w:t>
      </w:r>
      <w:r>
        <w:rPr>
          <w:rFonts w:ascii="Times New Roman;Times;Serif" w:hAnsi="Times New Roman;Times;Serif"/>
          <w:b w:val="false"/>
          <w:i w:val="false"/>
          <w:caps w:val="false"/>
          <w:smallCaps w:val="false"/>
          <w:sz w:val="20"/>
        </w:rPr>
        <w:t>This Agreement and each Warrant Certificate issued hereunder shall be governed by and construed in accordance with the laws of the State of New York.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6.5 Delivery of Prospectus. </w:t>
      </w:r>
      <w:r>
        <w:rPr>
          <w:rFonts w:ascii="Times New Roman;Times;Serif" w:hAnsi="Times New Roman;Times;Serif"/>
          <w:b w:val="false"/>
          <w:i w:val="false"/>
          <w:caps w:val="false"/>
          <w:smallCaps w:val="false"/>
          <w:sz w:val="20"/>
        </w:rPr>
        <w:t>The Company shall furnish to the Warrant Agent sufficient copies of a prospectus meeting the requirements of the Securities Act of 1933, as amended, relating to the Warrant Debt Securities deliverable upon exercise of the Warrants (the “</w:t>
      </w:r>
      <w:r>
        <w:rPr>
          <w:rFonts w:ascii="Times New Roman;Times;Serif" w:hAnsi="Times New Roman;Times;Serif"/>
          <w:b/>
          <w:i/>
          <w:caps w:val="false"/>
          <w:smallCaps w:val="false"/>
          <w:sz w:val="20"/>
        </w:rPr>
        <w:t>Prospectus</w:t>
      </w:r>
      <w:r>
        <w:rPr>
          <w:rFonts w:ascii="Times New Roman;Times;Serif" w:hAnsi="Times New Roman;Times;Serif"/>
          <w:b w:val="false"/>
          <w:i w:val="false"/>
          <w:caps w:val="false"/>
          <w:smallCaps w:val="false"/>
          <w:sz w:val="20"/>
        </w:rPr>
        <w:t>”), and the Warrant Agent agrees that upon the exercise of any Warrant, the Warrant Agent will deliver to the holder of the Warrant Certificate evidencing such Warrant, prior to or concurrently with the delivery of the Warrant Debt Securities issued upon such exercise, a Prospectus. The Warrant Agent shall not, by reason of any such delivery, assume any responsibility for the accuracy or adequacy of such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6.6 Obtaining of Governmental Approvals. </w:t>
      </w:r>
      <w:r>
        <w:rPr>
          <w:rFonts w:ascii="Times New Roman;Times;Serif" w:hAnsi="Times New Roman;Times;Serif"/>
          <w:b w:val="false"/>
          <w:i w:val="false"/>
          <w:caps w:val="false"/>
          <w:smallCaps w:val="false"/>
          <w:sz w:val="20"/>
        </w:rPr>
        <w:t>The Company will from time to time take all action which may be necessary to obtain and keep effective any and all permits, consents and approvals of governmental agencies and authorities and securities act filings under United States Federal and state laws (including without limitation a registration statement in respect of the Warrants and Warrant Debt Securities under the Securities Act of 1933, as amended), which may be or become requisite in connection with the issuance, sale, transfer, and delivery of the Warrant Debt Securities issued upon exercise of the Warrants, the issuance, sale, transfer and delivery of the Warrants or upon the expiration of the period during which the Warrants are exercisable.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6.7 Persons Having Rights Under the Agreement. </w:t>
      </w:r>
      <w:r>
        <w:rPr>
          <w:rFonts w:ascii="Times New Roman;Times;Serif" w:hAnsi="Times New Roman;Times;Serif"/>
          <w:b w:val="false"/>
          <w:i w:val="false"/>
          <w:caps w:val="false"/>
          <w:smallCaps w:val="false"/>
          <w:sz w:val="20"/>
        </w:rPr>
        <w:t>Nothing in this Agreement shall give to any person other than the Company, the Warrant Agent and the holders of the Warrant Certificates any right, remedy or claim under or by reason of this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6.8 Headings. </w:t>
      </w:r>
      <w:r>
        <w:rPr>
          <w:rFonts w:ascii="Times New Roman;Times;Serif" w:hAnsi="Times New Roman;Times;Serif"/>
          <w:b w:val="false"/>
          <w:i w:val="false"/>
          <w:caps w:val="false"/>
          <w:smallCaps w:val="false"/>
          <w:sz w:val="20"/>
        </w:rPr>
        <w:t>The descriptive headings of the several Articles and Sections of this Agreement are inserted for convenience only and shall not control or affect the meaning or construction of any of the provisions hereof.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6.9 Counterparts. </w:t>
      </w:r>
      <w:r>
        <w:rPr>
          <w:rFonts w:ascii="Times New Roman;Times;Serif" w:hAnsi="Times New Roman;Times;Serif"/>
          <w:b w:val="false"/>
          <w:i w:val="false"/>
          <w:caps w:val="false"/>
          <w:smallCaps w:val="false"/>
          <w:sz w:val="20"/>
        </w:rPr>
        <w:t>This Agreement may be executed in any number of counterparts, each of which as so executed shall be deemed to be an original, but such counterparts shall together constitute but one and the same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6.10 Inspection of Agreement. </w:t>
      </w:r>
      <w:r>
        <w:rPr>
          <w:rFonts w:ascii="Times New Roman;Times;Serif" w:hAnsi="Times New Roman;Times;Serif"/>
          <w:b w:val="false"/>
          <w:i w:val="false"/>
          <w:caps w:val="false"/>
          <w:smallCaps w:val="false"/>
          <w:sz w:val="20"/>
        </w:rPr>
        <w:t>A copy of this Agreement shall be available at all reasonable times at the principal corporate trust office of the Warrant Agent for inspection by the holder of any Warrant Certificate. The Warrant Agent may require such holder to submit such holder’s Warrant Certificate for inspection by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In Witness Whereof,</w:t>
      </w:r>
      <w:r>
        <w:rPr>
          <w:rFonts w:ascii="Times New Roman;Times;Serif" w:hAnsi="Times New Roman;Times;Serif"/>
          <w:b w:val="false"/>
          <w:i w:val="false"/>
          <w:caps w:val="false"/>
          <w:smallCaps w:val="false"/>
          <w:sz w:val="20"/>
        </w:rPr>
        <w:t xml:space="preserve"> the parties hereto have caused this Agreement to be duly executed as of the day and year first above written.</w:t>
      </w:r>
    </w:p>
    <w:p>
      <w:pPr>
        <w:pStyle w:val="TextBody"/>
        <w:bidi w:val="0"/>
        <w:spacing w:before="0" w:after="0"/>
        <w:ind w:left="0" w:right="0" w:hanging="0"/>
        <w:jc w:val="left"/>
        <w:rPr>
          <w:caps w:val="false"/>
          <w:smallCaps w:val="false"/>
        </w:rPr>
      </w:pPr>
      <w:r>
        <w:rPr>
          <w:caps w:val="false"/>
          <w:smallCaps w:val="false"/>
        </w:rPr>
        <w:t> </w:t>
      </w:r>
    </w:p>
    <w:tbl>
      <w:tblPr>
        <w:tblW w:w="4893" w:type="dxa"/>
        <w:jc w:val="left"/>
        <w:tblInd w:w="0" w:type="dxa"/>
        <w:tblLayout w:type="fixed"/>
        <w:tblCellMar>
          <w:top w:w="0" w:type="dxa"/>
          <w:left w:w="0" w:type="dxa"/>
          <w:bottom w:w="0" w:type="dxa"/>
          <w:right w:w="0" w:type="dxa"/>
        </w:tblCellMar>
      </w:tblPr>
      <w:tblGrid>
        <w:gridCol w:w="75"/>
        <w:gridCol w:w="1898"/>
        <w:gridCol w:w="2718"/>
        <w:gridCol w:w="202"/>
      </w:tblGrid>
      <w:tr>
        <w:trPr/>
        <w:tc>
          <w:tcPr>
            <w:tcW w:w="75" w:type="dxa"/>
            <w:tcBorders/>
            <w:vAlign w:val="center"/>
          </w:tcPr>
          <w:p>
            <w:pPr>
              <w:pStyle w:val="TableContents"/>
              <w:bidi w:val="0"/>
              <w:spacing w:before="0" w:after="283"/>
              <w:jc w:val="left"/>
              <w:rPr/>
            </w:pPr>
            <w:r>
              <w:rPr/>
              <w:t> </w:t>
            </w:r>
          </w:p>
        </w:tc>
        <w:tc>
          <w:tcPr>
            <w:tcW w:w="4818" w:type="dxa"/>
            <w:gridSpan w:val="3"/>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MILESTONE PHARMACEUTICALS INC., as Company</w:t>
            </w:r>
          </w:p>
        </w:tc>
      </w:tr>
      <w:tr>
        <w:trPr/>
        <w:tc>
          <w:tcPr>
            <w:tcW w:w="75" w:type="dxa"/>
            <w:tcBorders/>
            <w:vAlign w:val="center"/>
          </w:tcPr>
          <w:p>
            <w:pPr>
              <w:pStyle w:val="TableContents"/>
              <w:bidi w:val="0"/>
              <w:spacing w:before="0" w:after="283"/>
              <w:jc w:val="left"/>
              <w:rPr/>
            </w:pPr>
            <w:r>
              <w:rPr/>
              <w:t> </w:t>
            </w:r>
          </w:p>
        </w:tc>
        <w:tc>
          <w:tcPr>
            <w:tcW w:w="4616" w:type="dxa"/>
            <w:gridSpan w:val="2"/>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8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718" w:type="dxa"/>
            <w:tcBorders>
              <w:bottom w:val="single" w:sz="8" w:space="0" w:color="000000"/>
            </w:tcBorders>
            <w:tcMar>
              <w:bottom w:w="28" w:type="dxa"/>
            </w:tcMar>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8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w:t>
            </w:r>
          </w:p>
        </w:tc>
        <w:tc>
          <w:tcPr>
            <w:tcW w:w="2718" w:type="dxa"/>
            <w:tcBorders>
              <w:bottom w:val="single" w:sz="8" w:space="0" w:color="000000"/>
            </w:tcBorders>
            <w:tcMar>
              <w:bottom w:w="28" w:type="dxa"/>
            </w:tcMar>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8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718" w:type="dxa"/>
            <w:tcBorders>
              <w:bottom w:val="single" w:sz="8" w:space="0" w:color="000000"/>
            </w:tcBorders>
            <w:tcMar>
              <w:bottom w:w="28" w:type="dxa"/>
            </w:tcMar>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616" w:type="dxa"/>
            <w:gridSpan w:val="2"/>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898" w:type="dxa"/>
            <w:tcBorders/>
            <w:vAlign w:val="center"/>
          </w:tcPr>
          <w:p>
            <w:pPr>
              <w:pStyle w:val="TableContents"/>
              <w:bidi w:val="0"/>
              <w:spacing w:before="0" w:after="283"/>
              <w:jc w:val="left"/>
              <w:rPr>
                <w:rFonts w:ascii="Times New Roman;Times;Serif" w:hAnsi="Times New Roman;Times;Serif"/>
                <w:b/>
                <w:smallCaps/>
                <w:sz w:val="20"/>
              </w:rPr>
            </w:pPr>
            <w:r>
              <w:rPr>
                <w:rFonts w:ascii="Times New Roman;Times;Serif" w:hAnsi="Times New Roman;Times;Serif"/>
                <w:b/>
                <w:smallCaps/>
                <w:sz w:val="20"/>
              </w:rPr>
              <w:t>Attest:</w:t>
            </w:r>
          </w:p>
        </w:tc>
        <w:tc>
          <w:tcPr>
            <w:tcW w:w="2718" w:type="dxa"/>
            <w:tcBorders>
              <w:bottom w:val="single" w:sz="8" w:space="0" w:color="000000"/>
            </w:tcBorders>
            <w:tcMar>
              <w:bottom w:w="28" w:type="dxa"/>
            </w:tcMar>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898" w:type="dxa"/>
            <w:tcBorders/>
            <w:vAlign w:val="center"/>
          </w:tcPr>
          <w:p>
            <w:pPr>
              <w:pStyle w:val="TableContents"/>
              <w:bidi w:val="0"/>
              <w:spacing w:before="0" w:after="283"/>
              <w:jc w:val="left"/>
              <w:rPr/>
            </w:pPr>
            <w:r>
              <w:rPr/>
              <w:t> </w:t>
            </w:r>
          </w:p>
        </w:tc>
        <w:tc>
          <w:tcPr>
            <w:tcW w:w="2718" w:type="dxa"/>
            <w:tcBorders>
              <w:bottom w:val="single" w:sz="8" w:space="0" w:color="000000"/>
            </w:tcBorders>
            <w:tcMar>
              <w:bottom w:w="28" w:type="dxa"/>
            </w:tcMar>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ind w:left="0" w:right="0" w:hanging="720"/>
              <w:jc w:val="left"/>
              <w:rPr/>
            </w:pPr>
            <w:r>
              <w:rPr/>
              <w:t> </w:t>
            </w:r>
          </w:p>
        </w:tc>
        <w:tc>
          <w:tcPr>
            <w:tcW w:w="4616" w:type="dxa"/>
            <w:gridSpan w:val="2"/>
            <w:tcBorders/>
            <w:vAlign w:val="center"/>
          </w:tcPr>
          <w:p>
            <w:pPr>
              <w:pStyle w:val="TableContents"/>
              <w:bidi w:val="0"/>
              <w:spacing w:before="0" w:after="283"/>
              <w:ind w:left="0" w:right="0" w:hanging="720"/>
              <w:jc w:val="left"/>
              <w:rPr/>
            </w:pPr>
            <w:r>
              <w:rPr/>
              <w:t> </w:t>
            </w:r>
          </w:p>
        </w:tc>
        <w:tc>
          <w:tcPr>
            <w:tcW w:w="202"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616" w:type="dxa"/>
            <w:gridSpan w:val="2"/>
            <w:tcBorders/>
            <w:vAlign w:val="center"/>
          </w:tcPr>
          <w:p>
            <w:pPr>
              <w:pStyle w:val="TableContents"/>
              <w:bidi w:val="0"/>
              <w:spacing w:before="0" w:after="283"/>
              <w:jc w:val="left"/>
              <w:rPr>
                <w:rFonts w:ascii="Times New Roman;Times;Serif" w:hAnsi="Times New Roman;Times;Serif"/>
                <w:b/>
                <w:smallCaps/>
                <w:sz w:val="20"/>
              </w:rPr>
            </w:pPr>
            <w:r>
              <w:rPr>
                <w:rFonts w:ascii="Times New Roman;Times;Serif" w:hAnsi="Times New Roman;Times;Serif"/>
                <w:b/>
                <w:smallCaps/>
                <w:sz w:val="20"/>
              </w:rPr>
              <w:t>Countersigned</w:t>
            </w:r>
          </w:p>
        </w:tc>
        <w:tc>
          <w:tcPr>
            <w:tcW w:w="202"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616"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as Warrant Agent</w:t>
            </w:r>
          </w:p>
        </w:tc>
        <w:tc>
          <w:tcPr>
            <w:tcW w:w="202"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616" w:type="dxa"/>
            <w:gridSpan w:val="2"/>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8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718" w:type="dxa"/>
            <w:tcBorders>
              <w:bottom w:val="single" w:sz="8" w:space="0" w:color="000000"/>
            </w:tcBorders>
            <w:tcMar>
              <w:bottom w:w="28" w:type="dxa"/>
            </w:tcMar>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8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718" w:type="dxa"/>
            <w:tcBorders>
              <w:bottom w:val="single" w:sz="8" w:space="0" w:color="000000"/>
            </w:tcBorders>
            <w:tcMar>
              <w:bottom w:w="28" w:type="dxa"/>
            </w:tcMar>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8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718" w:type="dxa"/>
            <w:tcBorders>
              <w:bottom w:val="single" w:sz="8" w:space="0" w:color="000000"/>
            </w:tcBorders>
            <w:tcMar>
              <w:bottom w:w="28" w:type="dxa"/>
            </w:tcMar>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616" w:type="dxa"/>
            <w:gridSpan w:val="2"/>
            <w:tcBorders/>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898" w:type="dxa"/>
            <w:tcBorders/>
            <w:vAlign w:val="center"/>
          </w:tcPr>
          <w:p>
            <w:pPr>
              <w:pStyle w:val="TableContents"/>
              <w:bidi w:val="0"/>
              <w:spacing w:before="0" w:after="283"/>
              <w:jc w:val="left"/>
              <w:rPr>
                <w:rFonts w:ascii="Times New Roman;Times;Serif" w:hAnsi="Times New Roman;Times;Serif"/>
                <w:b/>
                <w:smallCaps/>
                <w:sz w:val="20"/>
              </w:rPr>
            </w:pPr>
            <w:r>
              <w:rPr>
                <w:rFonts w:ascii="Times New Roman;Times;Serif" w:hAnsi="Times New Roman;Times;Serif"/>
                <w:b/>
                <w:smallCaps/>
                <w:sz w:val="20"/>
              </w:rPr>
              <w:t>Attest:  </w:t>
            </w:r>
          </w:p>
        </w:tc>
        <w:tc>
          <w:tcPr>
            <w:tcW w:w="2718" w:type="dxa"/>
            <w:tcBorders>
              <w:bottom w:val="single" w:sz="8" w:space="0" w:color="000000"/>
            </w:tcBorders>
            <w:tcMar>
              <w:bottom w:w="28" w:type="dxa"/>
            </w:tcMar>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898" w:type="dxa"/>
            <w:tcBorders/>
            <w:vAlign w:val="center"/>
          </w:tcPr>
          <w:p>
            <w:pPr>
              <w:pStyle w:val="TableContents"/>
              <w:bidi w:val="0"/>
              <w:spacing w:before="0" w:after="283"/>
              <w:jc w:val="left"/>
              <w:rPr/>
            </w:pPr>
            <w:r>
              <w:rPr/>
              <w:t> </w:t>
            </w:r>
          </w:p>
        </w:tc>
        <w:tc>
          <w:tcPr>
            <w:tcW w:w="2718" w:type="dxa"/>
            <w:tcBorders>
              <w:bottom w:val="single" w:sz="8" w:space="0" w:color="000000"/>
            </w:tcBorders>
            <w:tcMar>
              <w:bottom w:w="28" w:type="dxa"/>
            </w:tcMar>
            <w:vAlign w:val="center"/>
          </w:tcPr>
          <w:p>
            <w:pPr>
              <w:pStyle w:val="TableContents"/>
              <w:bidi w:val="0"/>
              <w:spacing w:before="0" w:after="283"/>
              <w:jc w:val="left"/>
              <w:rPr/>
            </w:pPr>
            <w:r>
              <w:rPr/>
              <w:t> </w:t>
            </w:r>
          </w:p>
        </w:tc>
        <w:tc>
          <w:tcPr>
            <w:tcW w:w="202"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MILESTONE PHARMACEUTICALS INC. DEBT SECURITIES WARRANT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Exhibit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WARRANT CERTIFICATE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[FACE OF WARRANT CERTIFICATE]</w:t>
      </w:r>
    </w:p>
    <w:p>
      <w:pPr>
        <w:pStyle w:val="TextBody"/>
        <w:bidi w:val="0"/>
        <w:spacing w:before="0" w:after="0"/>
        <w:ind w:left="0" w:right="0" w:hanging="0"/>
        <w:jc w:val="left"/>
        <w:rPr>
          <w:caps w:val="false"/>
          <w:smallCaps w:val="false"/>
        </w:rPr>
      </w:pPr>
      <w:r>
        <w:rPr>
          <w:caps w:val="false"/>
          <w:smallCaps w:val="false"/>
        </w:rPr>
        <w:t> </w:t>
      </w:r>
    </w:p>
    <w:tbl>
      <w:tblPr>
        <w:tblW w:w="7495" w:type="dxa"/>
        <w:jc w:val="left"/>
        <w:tblInd w:w="0" w:type="dxa"/>
        <w:tblLayout w:type="fixed"/>
        <w:tblCellMar>
          <w:top w:w="0" w:type="dxa"/>
          <w:left w:w="0" w:type="dxa"/>
          <w:bottom w:w="0" w:type="dxa"/>
          <w:right w:w="0" w:type="dxa"/>
        </w:tblCellMar>
      </w:tblPr>
      <w:tblGrid>
        <w:gridCol w:w="4160"/>
        <w:gridCol w:w="3335"/>
      </w:tblGrid>
      <w:tr>
        <w:trPr/>
        <w:tc>
          <w:tcPr>
            <w:tcW w:w="41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b/>
                <w:i/>
                <w:sz w:val="20"/>
              </w:rPr>
              <w:t xml:space="preserve">Form of Legend if Warrants are not immediately </w:t>
              <w:br/>
              <w:t>exercisable.</w:t>
            </w:r>
            <w:r>
              <w:rPr>
                <w:rFonts w:ascii="Times New Roman;Times;Serif" w:hAnsi="Times New Roman;Times;Serif"/>
                <w:sz w:val="20"/>
              </w:rPr>
              <w:t>]</w:t>
            </w:r>
          </w:p>
        </w:tc>
        <w:tc>
          <w:tcPr>
            <w:tcW w:w="33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[Prior to [●], Warrants evidenced by this</w:t>
              <w:br/>
              <w:t>Warrant Certificate cannot be exercised.]</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EXERCISABLE ONLY IF COUNTERSIGNED BY THE WARRANT AGENT AS PROVIDED HEREIN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VOID AFTER [●] P.M., [City] time, 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Milestone Pharmaceuticals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 CERTIFICATE REPRESENTING</w:t>
        <w:br/>
        <w:t>WARRANTS TO PURCHASE</w:t>
        <w:br/>
        <w:t>[TITLE OF WARRANT DEBT SECURITIES]</w:t>
      </w:r>
    </w:p>
    <w:p>
      <w:pPr>
        <w:pStyle w:val="TextBody"/>
        <w:bidi w:val="0"/>
        <w:spacing w:before="0" w:after="0"/>
        <w:ind w:left="0" w:right="0" w:hanging="0"/>
        <w:jc w:val="left"/>
        <w:rPr>
          <w:caps w:val="false"/>
          <w:smallCaps w:val="false"/>
        </w:rPr>
      </w:pPr>
      <w:r>
        <w:rPr>
          <w:caps w:val="false"/>
          <w:smallCaps w:val="false"/>
        </w:rPr>
        <w:t> </w:t>
      </w:r>
    </w:p>
    <w:tbl>
      <w:tblPr>
        <w:tblW w:w="1705" w:type="dxa"/>
        <w:jc w:val="left"/>
        <w:tblInd w:w="0" w:type="dxa"/>
        <w:tblLayout w:type="fixed"/>
        <w:tblCellMar>
          <w:top w:w="0" w:type="dxa"/>
          <w:left w:w="0" w:type="dxa"/>
          <w:bottom w:w="0" w:type="dxa"/>
          <w:right w:w="0" w:type="dxa"/>
        </w:tblCellMar>
      </w:tblPr>
      <w:tblGrid>
        <w:gridCol w:w="75"/>
        <w:gridCol w:w="590"/>
        <w:gridCol w:w="1040"/>
      </w:tblGrid>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 [●]</w:t>
            </w:r>
          </w:p>
        </w:tc>
        <w:tc>
          <w:tcPr>
            <w:tcW w:w="1040" w:type="dxa"/>
            <w:tcBorders/>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 Warrants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certifies that [●] or registered assigns is the registered owner of the above indicated number of Warrants, each Warrant entitling such owner to purchase, at any time [after [●] p.m., [City] time, [on [●] and] on or before [●] p.m., [City] time, on [●], $[●] principal amount of [TITLE OF WARRANT DEBT SECURITIES] (the “</w:t>
      </w:r>
      <w:r>
        <w:rPr>
          <w:rFonts w:ascii="Times New Roman;Times;Serif" w:hAnsi="Times New Roman;Times;Serif"/>
          <w:b/>
          <w:i/>
          <w:caps w:val="false"/>
          <w:smallCaps w:val="false"/>
          <w:sz w:val="20"/>
        </w:rPr>
        <w:t>Warrant Debt Securities</w:t>
      </w:r>
      <w:r>
        <w:rPr>
          <w:rFonts w:ascii="Times New Roman;Times;Serif" w:hAnsi="Times New Roman;Times;Serif"/>
          <w:b w:val="false"/>
          <w:i w:val="false"/>
          <w:caps w:val="false"/>
          <w:smallCaps w:val="false"/>
          <w:sz w:val="20"/>
        </w:rPr>
        <w:t>”), of Milestone Pharmaceuticals Inc.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issued or to be issued under the Indenture (as hereinafter defined), on the following basis: during the period from [●], through and including [●], each Warrant shall entitle the Holder thereof, subject to the provisions of this Agreement, to purchase the principal amount of Warrant Debt Securities stated in the Warrant Certificate at the warrant price (the “</w:t>
      </w:r>
      <w:r>
        <w:rPr>
          <w:rFonts w:ascii="Times New Roman;Times;Serif" w:hAnsi="Times New Roman;Times;Serif"/>
          <w:b/>
          <w:i/>
          <w:caps w:val="false"/>
          <w:smallCaps w:val="false"/>
          <w:sz w:val="20"/>
        </w:rPr>
        <w:t>Warrant Price</w:t>
      </w:r>
      <w:r>
        <w:rPr>
          <w:rFonts w:ascii="Times New Roman;Times;Serif" w:hAnsi="Times New Roman;Times;Serif"/>
          <w:b w:val="false"/>
          <w:i w:val="false"/>
          <w:caps w:val="false"/>
          <w:smallCaps w:val="false"/>
          <w:sz w:val="20"/>
        </w:rPr>
        <w:t>”) of [●]% of the principal amount of Warrant Debt Securities [plus accrued amortization, if any, of the original issue discount of the Warrant Debt Securities] [plus accrued interest, if any, from the most recent date from which interest shall have been paid on the Warrant Debt Securities or, if no interest shall have been paid on the Warrant Debt Securities, from the date of their original issuance]. [The original issue discount ($[●] for each $1,000 principal amount of Warrant Debt Securities) will be amortized at a [●]% annual rate, computed on a[n] [semi-]annual basis [using a 360-day year consisting of twelve 30-day months]. The Holder may exercise the Warrants evidenced hereby by providing certain information set forth on the back hereof and by paying in full, in lawful money of the United States of America, [in cash or by certified check or official bank check in New York Clearing House funds] [by bank wire transfer in immediately available funds], the Warrant Price for each Warrant Debt Security with respect to which this Warrant is exercised to the Warrant Agent (as hereinafter defined) and by surrendering this Warrant Certificate, with the purchase form on the back hereof duly executed, at the corporate trust office of [name of Warrant Agent], or its successor as warrant agent (the “</w:t>
      </w:r>
      <w:r>
        <w:rPr>
          <w:rFonts w:ascii="Times New Roman;Times;Serif" w:hAnsi="Times New Roman;Times;Serif"/>
          <w:b/>
          <w:i/>
          <w:caps w:val="false"/>
          <w:smallCaps w:val="false"/>
          <w:sz w:val="20"/>
        </w:rPr>
        <w:t>Warrant Agent</w:t>
      </w:r>
      <w:r>
        <w:rPr>
          <w:rFonts w:ascii="Times New Roman;Times;Serif" w:hAnsi="Times New Roman;Times;Serif"/>
          <w:b w:val="false"/>
          <w:i w:val="false"/>
          <w:caps w:val="false"/>
          <w:smallCaps w:val="false"/>
          <w:sz w:val="20"/>
        </w:rPr>
        <w:t>”), which is, on the date hereof, at the address specified on the reverse hereof, and upon compliance with and subject to the conditions set forth herein and in the Warrant Agreement (as hereinafter defined).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w:t>
      </w:r>
      <w:r>
        <w:rPr>
          <w:rFonts w:ascii="Times New Roman;Times;Serif" w:hAnsi="Times New Roman;Times;Serif"/>
          <w:b/>
          <w:i/>
          <w:caps w:val="false"/>
          <w:smallCaps w:val="false"/>
          <w:sz w:val="20"/>
        </w:rPr>
        <w:t>Holder</w:t>
      </w:r>
      <w:r>
        <w:rPr>
          <w:rFonts w:ascii="Times New Roman;Times;Serif" w:hAnsi="Times New Roman;Times;Serif"/>
          <w:b w:val="false"/>
          <w:i w:val="false"/>
          <w:caps w:val="false"/>
          <w:smallCaps w:val="false"/>
          <w:sz w:val="20"/>
        </w:rPr>
        <w:t>” as used herein shall mean the person in whose name at the time this Warrant Certificate shall be registered upon the books to be maintained by the Warrant Agent for that purpose pursuant to Section 4 of the Warrant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Warrants evidenced by this Warrant Certificate may be exercised to purchase Warrant Debt Securities in the principal amount of $1,000 or any integral multiple thereof in registered form. Upon any exercise of fewer than all of the Warrants evidenced by this Warrant Certificate, there shall be issued to the Holder hereof a new Warrant Certificate evidencing Warrants for the aggregate principal amount of Warrant Debt Securities remaining unexercised.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Warrant Certificate is issued under and in accordance with the Warrant Agreement dated as of [●] (the “</w:t>
      </w:r>
      <w:r>
        <w:rPr>
          <w:rFonts w:ascii="Times New Roman;Times;Serif" w:hAnsi="Times New Roman;Times;Serif"/>
          <w:b/>
          <w:i/>
          <w:caps w:val="false"/>
          <w:smallCaps w:val="false"/>
          <w:sz w:val="20"/>
        </w:rPr>
        <w:t>Warrant Agreement</w:t>
      </w:r>
      <w:r>
        <w:rPr>
          <w:rFonts w:ascii="Times New Roman;Times;Serif" w:hAnsi="Times New Roman;Times;Serif"/>
          <w:b w:val="false"/>
          <w:i w:val="false"/>
          <w:caps w:val="false"/>
          <w:smallCaps w:val="false"/>
          <w:sz w:val="20"/>
        </w:rPr>
        <w:t>”), between the Company and the Warrant Agent and is subject to the terms and provisions contained in the Warrant Agreement, to all of which terms and provisions the Holder of this Warrant Certificate consents by acceptance hereof. Copies of the Warrant Agreement are on file at the above-mentioned office of the Warrant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 Debt Securities to be issued and delivered upon the exercise of Warrants evidenced by this Warrant Certificate will be issued under and in accordance with an Indenture, dated as of [●] (the “</w:t>
      </w:r>
      <w:r>
        <w:rPr>
          <w:rFonts w:ascii="Times New Roman;Times;Serif" w:hAnsi="Times New Roman;Times;Serif"/>
          <w:b/>
          <w:i/>
          <w:caps w:val="false"/>
          <w:smallCaps w:val="false"/>
          <w:sz w:val="20"/>
        </w:rPr>
        <w:t>Indenture</w:t>
      </w:r>
      <w:r>
        <w:rPr>
          <w:rFonts w:ascii="Times New Roman;Times;Serif" w:hAnsi="Times New Roman;Times;Serif"/>
          <w:b w:val="false"/>
          <w:i w:val="false"/>
          <w:caps w:val="false"/>
          <w:smallCaps w:val="false"/>
          <w:sz w:val="20"/>
        </w:rPr>
        <w:t>”), between the Company and [●], as trustee (such trustee, and any successors to such trustee, the “</w:t>
      </w:r>
      <w:r>
        <w:rPr>
          <w:rFonts w:ascii="Times New Roman;Times;Serif" w:hAnsi="Times New Roman;Times;Serif"/>
          <w:b/>
          <w:i/>
          <w:caps w:val="false"/>
          <w:smallCaps w:val="false"/>
          <w:sz w:val="20"/>
        </w:rPr>
        <w:t>Trustee</w:t>
      </w:r>
      <w:r>
        <w:rPr>
          <w:rFonts w:ascii="Times New Roman;Times;Serif" w:hAnsi="Times New Roman;Times;Serif"/>
          <w:b w:val="false"/>
          <w:i w:val="false"/>
          <w:caps w:val="false"/>
          <w:smallCaps w:val="false"/>
          <w:sz w:val="20"/>
        </w:rPr>
        <w:t>”)] and will be subject to the terms and provisions contained in the Warrant Debt Securities and in the Indenture. Copies of the Indenture, including the form of the Warrant Debt Securities, are on file at the corporate trust office of the Trustee.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 of this Warrant Certificate may be registered when this Warrant Certificate is surrendered at the corporate trust office of the Warrant Agent by the registered owner or such owner’s assigns, in the manner and subject to the limitations provided in the Warrant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countersignature by the Warrant Agent and prior to the expiration of this Warrant Certificate, this Warrant Certificate may be exchanged at the corporate trust office of the Warrant Agent for Warrant Certificates representing Warrants for the same aggregate principal amount of Warrant Debt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Warrant Certificate shall not entitle the Holder hereof to any of the rights of a holder of the Warrant Debt Securities, including, without limitation, the right to receive payments of principal of (and premium, if any) or interest, if any, on the Warrant Debt Securities or to enforce any of the covenants of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hereby made to the further provisions of this Warrant Certificate set forth on the reverse hereof, which further provisions shall for all purposes have the same effect as if set forth at this place.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Warrant Certificate shall not be valid or obligatory for any purpose until countersigned by the Warrant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In Witness Whereof</w:t>
      </w:r>
      <w:r>
        <w:rPr>
          <w:rFonts w:ascii="Times New Roman;Times;Serif" w:hAnsi="Times New Roman;Times;Serif"/>
          <w:b w:val="false"/>
          <w:i w:val="false"/>
          <w:caps w:val="false"/>
          <w:smallCaps w:val="false"/>
          <w:sz w:val="20"/>
        </w:rPr>
        <w:t>, the Company has caused this Warrant to be executed in its name and on its behalf by the facsimile signatures of its duly authorized officers.</w:t>
      </w:r>
    </w:p>
    <w:p>
      <w:pPr>
        <w:pStyle w:val="TextBody"/>
        <w:bidi w:val="0"/>
        <w:spacing w:before="0" w:after="0"/>
        <w:ind w:left="0" w:right="0" w:hanging="0"/>
        <w:jc w:val="left"/>
        <w:rPr>
          <w:caps w:val="false"/>
          <w:smallCaps w:val="false"/>
        </w:rPr>
      </w:pPr>
      <w:r>
        <w:rPr>
          <w:caps w:val="false"/>
          <w:smallCaps w:val="false"/>
        </w:rPr>
        <w:t> </w:t>
      </w:r>
    </w:p>
    <w:tbl>
      <w:tblPr>
        <w:tblW w:w="3859" w:type="dxa"/>
        <w:jc w:val="left"/>
        <w:tblInd w:w="0" w:type="dxa"/>
        <w:tblLayout w:type="fixed"/>
        <w:tblCellMar>
          <w:top w:w="0" w:type="dxa"/>
          <w:left w:w="0" w:type="dxa"/>
          <w:bottom w:w="0" w:type="dxa"/>
          <w:right w:w="0" w:type="dxa"/>
        </w:tblCellMar>
      </w:tblPr>
      <w:tblGrid>
        <w:gridCol w:w="1829"/>
        <w:gridCol w:w="1955"/>
        <w:gridCol w:w="75"/>
      </w:tblGrid>
      <w:tr>
        <w:trPr/>
        <w:tc>
          <w:tcPr>
            <w:tcW w:w="182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Dated:</w:t>
            </w:r>
          </w:p>
        </w:tc>
        <w:tc>
          <w:tcPr>
            <w:tcW w:w="1955"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829"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78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b/>
                <w:sz w:val="20"/>
              </w:rPr>
              <w:t>Milestone Pharmaceuticals Inc.</w:t>
            </w:r>
            <w:r>
              <w:rPr>
                <w:rFonts w:ascii="Times New Roman;Times;Serif" w:hAnsi="Times New Roman;Times;Serif"/>
                <w:sz w:val="20"/>
              </w:rPr>
              <w:t>, as Company</w:t>
            </w:r>
          </w:p>
        </w:tc>
        <w:tc>
          <w:tcPr>
            <w:tcW w:w="75" w:type="dxa"/>
            <w:tcBorders/>
            <w:vAlign w:val="center"/>
          </w:tcPr>
          <w:p>
            <w:pPr>
              <w:pStyle w:val="TableContents"/>
              <w:bidi w:val="0"/>
              <w:spacing w:before="0" w:after="283"/>
              <w:jc w:val="left"/>
              <w:rPr/>
            </w:pPr>
            <w:r>
              <w:rPr/>
              <w:t> </w:t>
            </w:r>
          </w:p>
        </w:tc>
      </w:tr>
      <w:tr>
        <w:trPr/>
        <w:tc>
          <w:tcPr>
            <w:tcW w:w="1829"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82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955"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82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955"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82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955"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829"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829"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ATTEST:   </w:t>
            </w:r>
          </w:p>
        </w:tc>
        <w:tc>
          <w:tcPr>
            <w:tcW w:w="1955"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829" w:type="dxa"/>
            <w:tcBorders/>
            <w:vAlign w:val="center"/>
          </w:tcPr>
          <w:p>
            <w:pPr>
              <w:pStyle w:val="TableContents"/>
              <w:bidi w:val="0"/>
              <w:spacing w:before="0" w:after="283"/>
              <w:jc w:val="left"/>
              <w:rPr/>
            </w:pPr>
            <w:r>
              <w:rPr/>
              <w:t> </w:t>
            </w:r>
          </w:p>
        </w:tc>
        <w:tc>
          <w:tcPr>
            <w:tcW w:w="1955"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829"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784"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COUNTERSIGNED</w:t>
            </w:r>
          </w:p>
        </w:tc>
        <w:tc>
          <w:tcPr>
            <w:tcW w:w="75" w:type="dxa"/>
            <w:tcBorders/>
            <w:vAlign w:val="center"/>
          </w:tcPr>
          <w:p>
            <w:pPr>
              <w:pStyle w:val="TableContents"/>
              <w:bidi w:val="0"/>
              <w:spacing w:before="0" w:after="283"/>
              <w:jc w:val="left"/>
              <w:rPr/>
            </w:pPr>
            <w:r>
              <w:rPr/>
              <w:t> </w:t>
            </w:r>
          </w:p>
        </w:tc>
      </w:tr>
      <w:tr>
        <w:trPr/>
        <w:tc>
          <w:tcPr>
            <w:tcW w:w="378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as Warrant Agent</w:t>
            </w:r>
          </w:p>
        </w:tc>
        <w:tc>
          <w:tcPr>
            <w:tcW w:w="75" w:type="dxa"/>
            <w:tcBorders/>
            <w:vAlign w:val="center"/>
          </w:tcPr>
          <w:p>
            <w:pPr>
              <w:pStyle w:val="TableContents"/>
              <w:bidi w:val="0"/>
              <w:spacing w:before="0" w:after="283"/>
              <w:jc w:val="left"/>
              <w:rPr/>
            </w:pPr>
            <w:r>
              <w:rPr/>
              <w:t> </w:t>
            </w:r>
          </w:p>
        </w:tc>
      </w:tr>
      <w:tr>
        <w:trPr/>
        <w:tc>
          <w:tcPr>
            <w:tcW w:w="1829"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82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955"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82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955"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82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955"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829"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829"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ATTEST:</w:t>
            </w:r>
          </w:p>
        </w:tc>
        <w:tc>
          <w:tcPr>
            <w:tcW w:w="1955"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829" w:type="dxa"/>
            <w:tcBorders/>
            <w:vAlign w:val="center"/>
          </w:tcPr>
          <w:p>
            <w:pPr>
              <w:pStyle w:val="TableContents"/>
              <w:bidi w:val="0"/>
              <w:spacing w:before="0" w:after="283"/>
              <w:jc w:val="left"/>
              <w:rPr/>
            </w:pPr>
            <w:r>
              <w:rPr/>
              <w:t> </w:t>
            </w:r>
          </w:p>
        </w:tc>
        <w:tc>
          <w:tcPr>
            <w:tcW w:w="1955"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[REVERSE OF WARRANT CERTIFICATE]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(Instructions for Exercise of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exercise any Warrants evidenced hereby for Warrant Debt Securities (as hereinafter defined), the Holder must pay, in lawful money of the United States of America, [in cash or by certified check or official bank check in New York Clearing House funds] [by bank wire transfer in immediately available funds], the Warrant Price in full for Warrants exercised, to [●] [address of Warrant Agent], Attention: [●], which payment must specify the name of the Holder and the number of Warrants exercised by such Holder. In addition, the Holder must complete the information required below and present this Warrant Certificate in person or by mail (certified or registered mail is recommended) to the Warrant Agent at the appropriate address set forth above. This Warrant Certificate, completed and duly executed, must be received by the Warrant Agent within five business days of the payment.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be executed upon exercise of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irrevocably elects to exercise ______ Warrants, evidenced by this Warrant Certificate, to purchase _______ $[●] principal amount of the [TITLE OF WARRANT DEBT SECURITIES] (the “</w:t>
      </w:r>
      <w:r>
        <w:rPr>
          <w:rFonts w:ascii="Times New Roman;Times;Serif" w:hAnsi="Times New Roman;Times;Serif"/>
          <w:b/>
          <w:i/>
          <w:caps w:val="false"/>
          <w:smallCaps w:val="false"/>
          <w:sz w:val="20"/>
        </w:rPr>
        <w:t>Warrant Debt Securities</w:t>
      </w:r>
      <w:r>
        <w:rPr>
          <w:rFonts w:ascii="Times New Roman;Times;Serif" w:hAnsi="Times New Roman;Times;Serif"/>
          <w:b w:val="false"/>
          <w:i w:val="false"/>
          <w:caps w:val="false"/>
          <w:smallCaps w:val="false"/>
          <w:sz w:val="20"/>
        </w:rPr>
        <w:t>”), of Milestone Pharmaceuticals Inc. and represents that the undersigned has tendered payment for such Warrant Debt Securities, in lawful money of the United States of America, [in cash or by certified check or official bank check in New York Clearing House funds] [by bank wire transfer in immediately available funds], to the order of Milestone Pharmaceuticals Inc., c/o [insert name and address of Warrant Agent], in the amount of $_________ in accordance with the terms hereof. The undersigned requests that said principal amount of Warrant Debt Securities be in fully registered form in the authorized denominations, registered in such names and delivered all as specified in accordance with the instructions set forth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number of Warrants exercised is less than all of the Warrants evidenced hereby, the undersigned requests that a new Warrant Certificate evidencing the Warrants for the aggregate principal amount of Warrant Debt Securities remaining unexercised be issued and delivered to the undersigned unless otherwise specified in the instructions below.</w:t>
      </w:r>
    </w:p>
    <w:p>
      <w:pPr>
        <w:pStyle w:val="TextBody"/>
        <w:bidi w:val="0"/>
        <w:spacing w:before="0" w:after="0"/>
        <w:ind w:left="0" w:right="0" w:hanging="0"/>
        <w:jc w:val="left"/>
        <w:rPr>
          <w:caps w:val="false"/>
          <w:smallCaps w:val="false"/>
        </w:rPr>
      </w:pPr>
      <w:r>
        <w:rPr>
          <w:caps w:val="false"/>
          <w:smallCaps w:val="false"/>
        </w:rPr>
        <w:t> </w:t>
      </w:r>
    </w:p>
    <w:tbl>
      <w:tblPr>
        <w:tblW w:w="2580" w:type="dxa"/>
        <w:jc w:val="left"/>
        <w:tblInd w:w="0" w:type="dxa"/>
        <w:tblLayout w:type="fixed"/>
        <w:tblCellMar>
          <w:top w:w="0" w:type="dxa"/>
          <w:left w:w="0" w:type="dxa"/>
          <w:bottom w:w="0" w:type="dxa"/>
          <w:right w:w="0" w:type="dxa"/>
        </w:tblCellMar>
      </w:tblPr>
      <w:tblGrid>
        <w:gridCol w:w="665"/>
        <w:gridCol w:w="60"/>
        <w:gridCol w:w="60"/>
        <w:gridCol w:w="650"/>
        <w:gridCol w:w="1145"/>
      </w:tblGrid>
      <w:tr>
        <w:trPr/>
        <w:tc>
          <w:tcPr>
            <w:tcW w:w="66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Dated:</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Name:</w:t>
            </w:r>
          </w:p>
        </w:tc>
        <w:tc>
          <w:tcPr>
            <w:tcW w:w="1145" w:type="dxa"/>
            <w:tcBorders>
              <w:bottom w:val="single" w:sz="8" w:space="0" w:color="000000"/>
            </w:tcBorders>
            <w:tcMar>
              <w:bottom w:w="30" w:type="dxa"/>
            </w:tcMar>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Please Print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w:t>
      </w:r>
    </w:p>
    <w:p>
      <w:pPr>
        <w:pStyle w:val="TextBody"/>
        <w:bidi w:val="0"/>
        <w:spacing w:before="0" w:after="0"/>
        <w:ind w:left="0" w:right="0" w:hanging="0"/>
        <w:jc w:val="left"/>
        <w:rPr>
          <w:caps w:val="false"/>
          <w:smallCaps w:val="false"/>
        </w:rPr>
      </w:pPr>
      <w:r>
        <w:rPr>
          <w:caps w:val="false"/>
          <w:smallCaps w:val="false"/>
        </w:rPr>
        <w:t> </w:t>
      </w:r>
    </w:p>
    <w:tbl>
      <w:tblPr>
        <w:tblW w:w="4925" w:type="dxa"/>
        <w:jc w:val="left"/>
        <w:tblInd w:w="0" w:type="dxa"/>
        <w:tblLayout w:type="fixed"/>
        <w:tblCellMar>
          <w:top w:w="0" w:type="dxa"/>
          <w:left w:w="0" w:type="dxa"/>
          <w:bottom w:w="28" w:type="dxa"/>
          <w:right w:w="0" w:type="dxa"/>
        </w:tblCellMar>
      </w:tblPr>
      <w:tblGrid>
        <w:gridCol w:w="4925"/>
      </w:tblGrid>
      <w:tr>
        <w:trPr/>
        <w:tc>
          <w:tcPr>
            <w:tcW w:w="4925" w:type="dxa"/>
            <w:tcBorders>
              <w:bottom w:val="single" w:sz="8" w:space="0" w:color="000000"/>
            </w:tcBorders>
            <w:vAlign w:val="center"/>
          </w:tcPr>
          <w:p>
            <w:pPr>
              <w:pStyle w:val="TableContents"/>
              <w:bidi w:val="0"/>
              <w:spacing w:before="0" w:after="283"/>
              <w:jc w:val="left"/>
              <w:rPr/>
            </w:pPr>
            <w:r>
              <w:rPr/>
              <w:t> </w:t>
            </w:r>
          </w:p>
        </w:tc>
      </w:tr>
      <w:tr>
        <w:trPr/>
        <w:tc>
          <w:tcPr>
            <w:tcW w:w="4925"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(Insert Social Security or Other Identifying Number</w:t>
              <w:br/>
              <w:t>of Holder)</w:t>
            </w:r>
          </w:p>
        </w:tc>
      </w:tr>
    </w:tbl>
    <w:p>
      <w:pPr>
        <w:pStyle w:val="TextBody"/>
        <w:bidi w:val="0"/>
        <w:spacing w:before="0" w:after="0"/>
        <w:ind w:left="0" w:right="0" w:hanging="0"/>
        <w:jc w:val="left"/>
        <w:rPr>
          <w:caps w:val="false"/>
          <w:smallCaps w:val="false"/>
        </w:rPr>
      </w:pPr>
      <w:r>
        <w:rPr>
          <w:caps w:val="false"/>
          <w:smallCaps w:val="false"/>
        </w:rPr>
        <w:t> </w:t>
      </w:r>
    </w:p>
    <w:tbl>
      <w:tblPr>
        <w:tblW w:w="3085" w:type="dxa"/>
        <w:jc w:val="left"/>
        <w:tblInd w:w="0" w:type="dxa"/>
        <w:tblLayout w:type="fixed"/>
        <w:tblCellMar>
          <w:top w:w="0" w:type="dxa"/>
          <w:left w:w="0" w:type="dxa"/>
          <w:bottom w:w="0" w:type="dxa"/>
          <w:right w:w="0" w:type="dxa"/>
        </w:tblCellMar>
      </w:tblPr>
      <w:tblGrid>
        <w:gridCol w:w="2150"/>
        <w:gridCol w:w="935"/>
      </w:tblGrid>
      <w:tr>
        <w:trPr/>
        <w:tc>
          <w:tcPr>
            <w:tcW w:w="21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Signature Guaranteed:</w:t>
            </w:r>
          </w:p>
        </w:tc>
        <w:tc>
          <w:tcPr>
            <w:tcW w:w="93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215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Signature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must conform in all respects to name of holder as specified on the face of this Warrant Certificate and must bear a signature guarantee by a FINRA member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Warrant may be exercised at the following addresses: By hand 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mail 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[Instructions as to form and delivery of Warrant Debt Securities and, if applicable, Warrant Certificates evidencing Warrants for the number of Warrant Debt Securities remaining unexercised—complete as appropriate.]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ASSIGNMENT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assignment to be executed if Warrant Holder desires to transfer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smallCaps/>
          <w:sz w:val="20"/>
        </w:rPr>
        <w:t>For Value Received</w:t>
      </w:r>
      <w:r>
        <w:rPr>
          <w:rFonts w:ascii="Times New Roman;Times;Serif" w:hAnsi="Times New Roman;Times;Serif"/>
          <w:b/>
          <w:i w:val="false"/>
          <w:caps w:val="false"/>
          <w:smallCaps w:val="false"/>
          <w:sz w:val="20"/>
        </w:rPr>
        <w:t>,</w:t>
      </w:r>
      <w:r>
        <w:rPr>
          <w:rFonts w:ascii="Times New Roman;Times;Serif" w:hAnsi="Times New Roman;Times;Serif"/>
          <w:b w:val="false"/>
          <w:i w:val="false"/>
          <w:caps w:val="false"/>
          <w:smallCaps w:val="false"/>
          <w:sz w:val="20"/>
        </w:rPr>
        <w:t xml:space="preserve"> ______________ hereby sells, assigns and transfers unto:</w:t>
      </w:r>
    </w:p>
    <w:p>
      <w:pPr>
        <w:pStyle w:val="TextBody"/>
        <w:bidi w:val="0"/>
        <w:spacing w:before="0" w:after="0"/>
        <w:ind w:left="0" w:right="0" w:hanging="0"/>
        <w:jc w:val="left"/>
        <w:rPr>
          <w:caps w:val="false"/>
          <w:smallCaps w:val="false"/>
        </w:rPr>
      </w:pPr>
      <w:r>
        <w:rPr>
          <w:caps w:val="false"/>
          <w:smallCaps w:val="false"/>
        </w:rPr>
        <w:t> </w:t>
      </w:r>
    </w:p>
    <w:tbl>
      <w:tblPr>
        <w:tblW w:w="10150" w:type="dxa"/>
        <w:jc w:val="left"/>
        <w:tblInd w:w="0" w:type="dxa"/>
        <w:tblLayout w:type="fixed"/>
        <w:tblCellMar>
          <w:top w:w="0" w:type="dxa"/>
          <w:left w:w="0" w:type="dxa"/>
          <w:bottom w:w="28" w:type="dxa"/>
          <w:right w:w="0" w:type="dxa"/>
        </w:tblCellMar>
      </w:tblPr>
      <w:tblGrid>
        <w:gridCol w:w="4820"/>
        <w:gridCol w:w="60"/>
        <w:gridCol w:w="5270"/>
      </w:tblGrid>
      <w:tr>
        <w:trPr/>
        <w:tc>
          <w:tcPr>
            <w:tcW w:w="4820" w:type="dxa"/>
            <w:tcBorders>
              <w:bottom w:val="single" w:sz="8"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270" w:type="dxa"/>
            <w:tcBorders>
              <w:bottom w:val="single" w:sz="8" w:space="0" w:color="000000"/>
            </w:tcBorders>
            <w:vAlign w:val="center"/>
          </w:tcPr>
          <w:p>
            <w:pPr>
              <w:pStyle w:val="TableContents"/>
              <w:bidi w:val="0"/>
              <w:spacing w:before="0" w:after="283"/>
              <w:jc w:val="left"/>
              <w:rPr/>
            </w:pPr>
            <w:r>
              <w:rPr/>
              <w:t> </w:t>
            </w:r>
          </w:p>
        </w:tc>
      </w:tr>
      <w:tr>
        <w:trPr/>
        <w:tc>
          <w:tcPr>
            <w:tcW w:w="4820"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(Please print name and address including zip code)</w:t>
            </w:r>
          </w:p>
        </w:tc>
        <w:tc>
          <w:tcPr>
            <w:tcW w:w="60" w:type="dxa"/>
            <w:tcBorders/>
            <w:tcMar>
              <w:bottom w:w="0" w:type="dxa"/>
            </w:tcMar>
            <w:vAlign w:val="center"/>
          </w:tcPr>
          <w:p>
            <w:pPr>
              <w:pStyle w:val="TableContents"/>
              <w:bidi w:val="0"/>
              <w:spacing w:before="0" w:after="283"/>
              <w:jc w:val="left"/>
              <w:rPr/>
            </w:pPr>
            <w:r>
              <w:rPr/>
              <w:t> </w:t>
            </w:r>
          </w:p>
        </w:tc>
        <w:tc>
          <w:tcPr>
            <w:tcW w:w="5270" w:type="dxa"/>
            <w:tcBorders/>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Please print Social Security or other identifying number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right represented by the within Warrant to purchase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 xml:space="preserve"> aggregate principal amount of [Title of Warrant Debt Securities] of Milestone Pharmaceuticals Inc. to which the within Warrant relates and appoints </w:t>
      </w:r>
      <w:r>
        <w:rPr>
          <w:rFonts w:ascii="Times New Roman;Times;Serif" w:hAnsi="Times New Roman;Times;Serif"/>
          <w:b w:val="false"/>
          <w:i w:val="false"/>
          <w:caps w:val="false"/>
          <w:smallCaps w:val="false"/>
          <w:sz w:val="20"/>
          <w:u w:val="single"/>
        </w:rPr>
        <w:t>                                                   </w:t>
      </w:r>
      <w:r>
        <w:rPr>
          <w:rFonts w:ascii="Times New Roman;Times;Serif" w:hAnsi="Times New Roman;Times;Serif"/>
          <w:b w:val="false"/>
          <w:i w:val="false"/>
          <w:caps w:val="false"/>
          <w:smallCaps w:val="false"/>
          <w:sz w:val="20"/>
        </w:rPr>
        <w:t xml:space="preserve"> attorney to transfer such right on the books of the Warrant Agent with full power of substitution in the premises.</w:t>
      </w:r>
    </w:p>
    <w:p>
      <w:pPr>
        <w:pStyle w:val="TextBody"/>
        <w:bidi w:val="0"/>
        <w:spacing w:before="0" w:after="0"/>
        <w:ind w:left="0" w:right="0" w:hanging="0"/>
        <w:jc w:val="left"/>
        <w:rPr>
          <w:caps w:val="false"/>
          <w:smallCaps w:val="false"/>
        </w:rPr>
      </w:pPr>
      <w:r>
        <w:rPr>
          <w:caps w:val="false"/>
          <w:smallCaps w:val="false"/>
        </w:rPr>
        <w:t> </w:t>
      </w:r>
    </w:p>
    <w:tbl>
      <w:tblPr>
        <w:tblW w:w="2370" w:type="dxa"/>
        <w:jc w:val="left"/>
        <w:tblInd w:w="0" w:type="dxa"/>
        <w:tblLayout w:type="fixed"/>
        <w:tblCellMar>
          <w:top w:w="0" w:type="dxa"/>
          <w:left w:w="0" w:type="dxa"/>
          <w:bottom w:w="0" w:type="dxa"/>
          <w:right w:w="0" w:type="dxa"/>
        </w:tblCellMar>
      </w:tblPr>
      <w:tblGrid>
        <w:gridCol w:w="665"/>
        <w:gridCol w:w="60"/>
        <w:gridCol w:w="60"/>
        <w:gridCol w:w="650"/>
        <w:gridCol w:w="935"/>
      </w:tblGrid>
      <w:tr>
        <w:trPr/>
        <w:tc>
          <w:tcPr>
            <w:tcW w:w="66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Dated:</w:t>
            </w:r>
          </w:p>
        </w:tc>
        <w:tc>
          <w:tcPr>
            <w:tcW w:w="6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Name:</w:t>
            </w:r>
          </w:p>
        </w:tc>
        <w:tc>
          <w:tcPr>
            <w:tcW w:w="935" w:type="dxa"/>
            <w:tcBorders>
              <w:bottom w:val="single" w:sz="8" w:space="0" w:color="000000"/>
            </w:tcBorders>
            <w:tcMar>
              <w:bottom w:w="30" w:type="dxa"/>
            </w:tcMar>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935" w:type="dxa"/>
            <w:tcBorders/>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Signature</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must conform in all respects to name of holder as specified on the face of the Warrant)</w:t>
      </w:r>
    </w:p>
    <w:p>
      <w:pPr>
        <w:pStyle w:val="TextBody"/>
        <w:bidi w:val="0"/>
        <w:spacing w:before="0" w:after="0"/>
        <w:ind w:left="0" w:right="0" w:hanging="0"/>
        <w:jc w:val="left"/>
        <w:rPr>
          <w:caps w:val="false"/>
          <w:smallCaps w:val="false"/>
        </w:rPr>
      </w:pPr>
      <w:r>
        <w:rPr>
          <w:caps w:val="false"/>
          <w:smallCaps w:val="false"/>
        </w:rPr>
        <w:t> </w:t>
      </w:r>
    </w:p>
    <w:tbl>
      <w:tblPr>
        <w:tblW w:w="1865" w:type="dxa"/>
        <w:jc w:val="left"/>
        <w:tblInd w:w="0" w:type="dxa"/>
        <w:tblLayout w:type="fixed"/>
        <w:tblCellMar>
          <w:top w:w="0" w:type="dxa"/>
          <w:left w:w="0" w:type="dxa"/>
          <w:bottom w:w="0" w:type="dxa"/>
          <w:right w:w="0" w:type="dxa"/>
        </w:tblCellMar>
      </w:tblPr>
      <w:tblGrid>
        <w:gridCol w:w="1790"/>
        <w:gridCol w:w="75"/>
      </w:tblGrid>
      <w:tr>
        <w:trPr/>
        <w:tc>
          <w:tcPr>
            <w:tcW w:w="17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Signature Guaranteed</w:t>
            </w:r>
          </w:p>
        </w:tc>
        <w:tc>
          <w:tcPr>
            <w:tcW w:w="75" w:type="dxa"/>
            <w:tcBorders/>
            <w:vAlign w:val="center"/>
          </w:tcPr>
          <w:p>
            <w:pPr>
              <w:pStyle w:val="TableContents"/>
              <w:bidi w:val="0"/>
              <w:spacing w:before="0" w:after="283"/>
              <w:jc w:val="left"/>
              <w:rPr/>
            </w:pPr>
            <w:r>
              <w:rPr/>
              <w:t> </w:t>
            </w:r>
          </w:p>
        </w:tc>
      </w:tr>
      <w:tr>
        <w:trPr/>
        <w:tc>
          <w:tcPr>
            <w:tcW w:w="1790"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41" w:name="tm2614252d2_ex5-1.htm"/>
      <w:bookmarkStart w:id="42" w:name="kstm2614252d2_ex51"/>
      <w:bookmarkEnd w:id="41"/>
      <w:bookmarkEnd w:id="42"/>
      <w:r>
        <w:rPr/>
        <w:t> </w:t>
      </w:r>
      <w:r>
        <w:br w:type="page"/>
      </w:r>
    </w:p>
    <w:p>
      <w:pPr>
        <w:pStyle w:val="TextBody"/>
        <w:bidi w:val="0"/>
        <w:jc w:val="right"/>
        <w:rPr>
          <w:b/>
        </w:rPr>
      </w:pPr>
      <w:r>
        <w:rPr>
          <w:b/>
        </w:rPr>
        <w:t>Exhibit 5.1</w:t>
      </w:r>
    </w:p>
    <w:p>
      <w:pPr>
        <w:pStyle w:val="TextBody"/>
        <w:bidi w:val="0"/>
        <w:spacing w:before="0" w:after="283"/>
        <w:jc w:val="left"/>
        <w:rPr/>
      </w:pPr>
      <w:r>
        <w:rPr/>
        <w:t> </w:t>
      </w:r>
    </w:p>
    <w:tbl>
      <w:tblPr>
        <w:tblW w:w="5030" w:type="dxa"/>
        <w:jc w:val="left"/>
        <w:tblInd w:w="0" w:type="dxa"/>
        <w:tblLayout w:type="fixed"/>
        <w:tblCellMar>
          <w:top w:w="0" w:type="dxa"/>
          <w:left w:w="0" w:type="dxa"/>
          <w:bottom w:w="0" w:type="dxa"/>
          <w:right w:w="0" w:type="dxa"/>
        </w:tblCellMar>
      </w:tblPr>
      <w:tblGrid>
        <w:gridCol w:w="3095"/>
        <w:gridCol w:w="1935"/>
      </w:tblGrid>
      <w:tr>
        <w:trPr/>
        <w:tc>
          <w:tcPr>
            <w:tcW w:w="3095" w:type="dxa"/>
            <w:tcBorders/>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Osler, Hoskin &amp; Harcourt </w:t>
            </w:r>
            <w:r>
              <w:rPr>
                <w:rFonts w:ascii="Times New Roman;Times;Serif" w:hAnsi="Times New Roman;Times;Serif"/>
                <w:b/>
                <w:i w:val="false"/>
                <w:smallCaps/>
                <w:sz w:val="20"/>
              </w:rPr>
              <w:t>llp</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 De La Gauchetière Street West</w:t>
              <w:br/>
              <w:t>Suite 1100</w:t>
              <w:br/>
              <w:t>Montréal, Québec, Canada  H3B 4W5</w:t>
              <w:br/>
              <w:t>514.904.8100  </w:t>
            </w:r>
            <w:r>
              <w:rPr>
                <w:rFonts w:ascii="Times New Roman;Times;Serif" w:hAnsi="Times New Roman;Times;Serif"/>
                <w:b w:val="false"/>
                <w:i w:val="false"/>
                <w:smallCaps/>
                <w:sz w:val="20"/>
              </w:rPr>
              <w:t>main</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514.904.8101  </w:t>
            </w:r>
            <w:r>
              <w:rPr>
                <w:rFonts w:ascii="Times New Roman;Times;Serif" w:hAnsi="Times New Roman;Times;Serif"/>
                <w:b w:val="false"/>
                <w:i w:val="false"/>
                <w:smallCaps/>
                <w:sz w:val="20"/>
              </w:rPr>
              <w:t>facsimile </w:t>
            </w:r>
          </w:p>
        </w:tc>
        <w:tc>
          <w:tcPr>
            <w:tcW w:w="1935" w:type="dxa"/>
            <w:tcBorders/>
            <w:vAlign w:val="center"/>
          </w:tcPr>
          <w:p>
            <w:pPr>
              <w:pStyle w:val="TableContents"/>
              <w:bidi w:val="0"/>
              <w:spacing w:before="0" w:after="283"/>
              <w:jc w:val="left"/>
              <w:rPr/>
            </w:pPr>
            <w:r>
              <w:rPr/>
              <w:drawing>
                <wp:inline distT="0" distB="0" distL="0" distR="0">
                  <wp:extent cx="1219200" cy="447675"/>
                  <wp:effectExtent l="0" t="0" r="0" b="0"/>
                  <wp:docPr id="243"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 name="Image4" descr=""/>
                          <pic:cNvPicPr>
                            <a:picLocks noChangeAspect="1" noChangeArrowheads="1"/>
                          </pic:cNvPicPr>
                        </pic:nvPicPr>
                        <pic:blipFill>
                          <a:blip r:embed="rId29"/>
                          <a:stretch>
                            <a:fillRect/>
                          </a:stretch>
                        </pic:blipFill>
                        <pic:spPr bwMode="auto">
                          <a:xfrm>
                            <a:off x="0" y="0"/>
                            <a:ext cx="1219200" cy="447675"/>
                          </a:xfrm>
                          <a:prstGeom prst="rect">
                            <a:avLst/>
                          </a:prstGeom>
                        </pic:spPr>
                      </pic:pic>
                    </a:graphicData>
                  </a:graphic>
                </wp:inline>
              </w:drawing>
            </w:r>
          </w:p>
        </w:tc>
      </w:tr>
    </w:tbl>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Montréal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Toronto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Calgary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Ottawa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Vancouver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w:t>
      </w:r>
    </w:p>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13,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Milestone Pharmaceuticals Inc.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1111 Dr. Frederik-Philips Boulevard</w:t>
        <w:br/>
        <w:t>Suite 420</w:t>
        <w:br/>
        <w:t>Montreal, Québec</w:t>
        <w:br/>
        <w:t>H4M 2X6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Dear Sirs/Mesdames: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 </w:t>
      </w:r>
      <w:r>
        <w:rPr>
          <w:rFonts w:ascii="Times New Roman;Times;Serif" w:hAnsi="Times New Roman;Times;Serif"/>
          <w:b/>
          <w:i w:val="false"/>
          <w:caps w:val="false"/>
          <w:smallCaps w:val="false"/>
          <w:sz w:val="20"/>
          <w:u w:val="single"/>
        </w:rPr>
        <w:t>Milestone Pharmaceuticals Inc. - Registration Statement on Form S-3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Canadian counsel to Milestone Pharmaceuticals Inc. (the “</w:t>
      </w:r>
      <w:r>
        <w:rPr>
          <w:rFonts w:ascii="Times New Roman;Times;Serif" w:hAnsi="Times New Roman;Times;Serif"/>
          <w:b/>
          <w:i w:val="false"/>
          <w:caps w:val="false"/>
          <w:smallCaps w:val="false"/>
          <w:sz w:val="20"/>
        </w:rPr>
        <w:t>Corporation</w:t>
      </w:r>
      <w:r>
        <w:rPr>
          <w:rFonts w:ascii="Times New Roman;Times;Serif" w:hAnsi="Times New Roman;Times;Serif"/>
          <w:b w:val="false"/>
          <w:i w:val="false"/>
          <w:caps w:val="false"/>
          <w:smallCaps w:val="false"/>
          <w:sz w:val="20"/>
        </w:rPr>
        <w:t>”), a corporation governed by the </w:t>
      </w:r>
      <w:r>
        <w:rPr>
          <w:rFonts w:ascii="Times New Roman;Times;Serif" w:hAnsi="Times New Roman;Times;Serif"/>
          <w:b w:val="false"/>
          <w:i/>
          <w:caps w:val="false"/>
          <w:smallCaps w:val="false"/>
          <w:sz w:val="20"/>
        </w:rPr>
        <w:t xml:space="preserve">Business Corporations Act </w:t>
      </w:r>
      <w:r>
        <w:rPr>
          <w:rFonts w:ascii="Times New Roman;Times;Serif" w:hAnsi="Times New Roman;Times;Serif"/>
          <w:b w:val="false"/>
          <w:i w:val="false"/>
          <w:caps w:val="false"/>
          <w:smallCaps w:val="false"/>
          <w:sz w:val="20"/>
        </w:rPr>
        <w:t>(Québec), in connection with the Registration Statement on Form S-3 (the “</w:t>
      </w:r>
      <w:r>
        <w:rPr>
          <w:rFonts w:ascii="Times New Roman;Times;Serif" w:hAnsi="Times New Roman;Times;Serif"/>
          <w:b/>
          <w:i w:val="false"/>
          <w:caps w:val="false"/>
          <w:smallCaps w:val="false"/>
          <w:sz w:val="20"/>
        </w:rPr>
        <w:t>Registration Statement</w:t>
      </w:r>
      <w:r>
        <w:rPr>
          <w:rFonts w:ascii="Times New Roman;Times;Serif" w:hAnsi="Times New Roman;Times;Serif"/>
          <w:b w:val="false"/>
          <w:i w:val="false"/>
          <w:caps w:val="false"/>
          <w:smallCaps w:val="false"/>
          <w:sz w:val="20"/>
        </w:rPr>
        <w:t>”) filed by the Corporation on the date hereof with the Securities and Exchange Commission (the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for the registration of the sale by the Corporation from time to time on a delayed or continuous basis pursuant to Rule 415 under the under the Securities Act of 1933, as amended (the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of up to $300,000,000 in aggregate amount of the following securities of the Corporation:</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3"/>
        <w:gridCol w:w="385"/>
        <w:gridCol w:w="9757"/>
      </w:tblGrid>
      <w:tr>
        <w:trPr/>
        <w:tc>
          <w:tcPr>
            <w:tcW w:w="63"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757" w:type="dxa"/>
            <w:tcBorders/>
            <w:vAlign w:val="center"/>
          </w:tcPr>
          <w:p>
            <w:pPr>
              <w:pStyle w:val="TableContents"/>
              <w:bidi w:val="0"/>
              <w:spacing w:before="0" w:after="283"/>
              <w:jc w:val="both"/>
              <w:rPr/>
            </w:pPr>
            <w:r>
              <w:rPr/>
              <w:t>common shares of the Corporation (the “</w:t>
            </w:r>
            <w:r>
              <w:rPr>
                <w:b/>
              </w:rPr>
              <w:t>Common Shares</w:t>
            </w:r>
            <w:r>
              <w:rPr/>
              <w: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2"/>
        <w:gridCol w:w="404"/>
        <w:gridCol w:w="9739"/>
      </w:tblGrid>
      <w:tr>
        <w:trPr/>
        <w:tc>
          <w:tcPr>
            <w:tcW w:w="62"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739" w:type="dxa"/>
            <w:tcBorders/>
            <w:vAlign w:val="center"/>
          </w:tcPr>
          <w:p>
            <w:pPr>
              <w:pStyle w:val="TableContents"/>
              <w:bidi w:val="0"/>
              <w:spacing w:before="0" w:after="283"/>
              <w:jc w:val="both"/>
              <w:rPr/>
            </w:pPr>
            <w:r>
              <w:rPr/>
              <w:t>preferred shares of the Corporation (the “</w:t>
            </w:r>
            <w:r>
              <w:rPr>
                <w:b/>
              </w:rPr>
              <w:t>Preferred Shares</w:t>
            </w:r>
            <w:r>
              <w:rPr/>
              <w: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2"/>
        <w:gridCol w:w="379"/>
        <w:gridCol w:w="9764"/>
      </w:tblGrid>
      <w:tr>
        <w:trPr/>
        <w:tc>
          <w:tcPr>
            <w:tcW w:w="62"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764" w:type="dxa"/>
            <w:tcBorders/>
            <w:vAlign w:val="center"/>
          </w:tcPr>
          <w:p>
            <w:pPr>
              <w:pStyle w:val="TableContents"/>
              <w:bidi w:val="0"/>
              <w:spacing w:before="0" w:after="283"/>
              <w:jc w:val="both"/>
              <w:rPr/>
            </w:pPr>
            <w:r>
              <w:rPr/>
              <w:t>debt securities of the Corporation (the “</w:t>
            </w:r>
            <w:r>
              <w:rPr>
                <w:b/>
              </w:rPr>
              <w:t>Debt Securities</w:t>
            </w:r>
            <w:r>
              <w:rPr/>
              <w:t>”);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
        <w:gridCol w:w="265"/>
        <w:gridCol w:w="9899"/>
      </w:tblGrid>
      <w:tr>
        <w:trPr/>
        <w:tc>
          <w:tcPr>
            <w:tcW w:w="41"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899" w:type="dxa"/>
            <w:tcBorders/>
            <w:vAlign w:val="center"/>
          </w:tcPr>
          <w:p>
            <w:pPr>
              <w:pStyle w:val="TableContents"/>
              <w:bidi w:val="0"/>
              <w:spacing w:before="0" w:after="283"/>
              <w:jc w:val="both"/>
              <w:rPr/>
            </w:pPr>
            <w:r>
              <w:rPr/>
              <w:t>warrants to acquire Common Shares, Preferred Shares and/or Debt Securities (the “</w:t>
            </w:r>
            <w:r>
              <w:rPr>
                <w:b/>
              </w:rPr>
              <w:t>Warrants</w:t>
            </w:r>
            <w:r>
              <w:rPr/>
              <w: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Registration Statement includes two prospectuses, (i) a base prospectus (the “</w:t>
      </w:r>
      <w:r>
        <w:rPr>
          <w:rFonts w:ascii="Times New Roman;Times;Serif" w:hAnsi="Times New Roman;Times;Serif"/>
          <w:b/>
          <w:i w:val="false"/>
          <w:caps w:val="false"/>
          <w:smallCaps w:val="false"/>
          <w:sz w:val="20"/>
        </w:rPr>
        <w:t>Base Prospectus</w:t>
      </w:r>
      <w:r>
        <w:rPr>
          <w:rFonts w:ascii="Times New Roman;Times;Serif" w:hAnsi="Times New Roman;Times;Serif"/>
          <w:b w:val="false"/>
          <w:i w:val="false"/>
          <w:caps w:val="false"/>
          <w:smallCaps w:val="false"/>
          <w:sz w:val="20"/>
        </w:rPr>
        <w:t>”) and (ii) a sales agreement prospectus (the “</w:t>
      </w:r>
      <w:r>
        <w:rPr>
          <w:rFonts w:ascii="Times New Roman;Times;Serif" w:hAnsi="Times New Roman;Times;Serif"/>
          <w:b/>
          <w:i w:val="false"/>
          <w:caps w:val="false"/>
          <w:smallCaps w:val="false"/>
          <w:sz w:val="20"/>
        </w:rPr>
        <w:t>ATM Prospectus</w:t>
      </w:r>
      <w:r>
        <w:rPr>
          <w:rFonts w:ascii="Times New Roman;Times;Serif" w:hAnsi="Times New Roman;Times;Serif"/>
          <w:b w:val="false"/>
          <w:i w:val="false"/>
          <w:caps w:val="false"/>
          <w:smallCaps w:val="false"/>
          <w:sz w:val="20"/>
        </w:rPr>
        <w:t>”), relating to the issuance and sale of Common Shares having an aggregate offering price of up to $100,000,000 under the Sales Agreement dated as of the date hereof, by and among the Corporation and Cantor Fitzgerald &amp; Co. (such agreement, the “</w:t>
      </w:r>
      <w:r>
        <w:rPr>
          <w:rFonts w:ascii="Times New Roman;Times;Serif" w:hAnsi="Times New Roman;Times;Serif"/>
          <w:b/>
          <w:i w:val="false"/>
          <w:caps w:val="false"/>
          <w:smallCaps w:val="false"/>
          <w:sz w:val="20"/>
        </w:rPr>
        <w:t>Sales Agreement</w:t>
      </w:r>
      <w:r>
        <w:rPr>
          <w:rFonts w:ascii="Times New Roman;Times;Serif" w:hAnsi="Times New Roman;Times;Serif"/>
          <w:b w:val="false"/>
          <w:i w:val="false"/>
          <w:caps w:val="false"/>
          <w:smallCaps w:val="false"/>
          <w:sz w:val="20"/>
        </w:rPr>
        <w:t>” and such shares, the “</w:t>
      </w:r>
      <w:r>
        <w:rPr>
          <w:rFonts w:ascii="Times New Roman;Times;Serif" w:hAnsi="Times New Roman;Times;Serif"/>
          <w:b/>
          <w:i w:val="false"/>
          <w:caps w:val="false"/>
          <w:smallCaps w:val="false"/>
          <w:sz w:val="20"/>
        </w:rPr>
        <w:t>ATM Shares</w:t>
      </w:r>
      <w:r>
        <w:rPr>
          <w:rFonts w:ascii="Times New Roman;Times;Serif" w:hAnsi="Times New Roman;Times;Serif"/>
          <w:b w:val="false"/>
          <w:i w:val="false"/>
          <w:caps w:val="false"/>
          <w:smallCaps w:val="false"/>
          <w:sz w:val="20"/>
        </w:rPr>
        <w:t>”). The Common Shares, the Preferred Shares, the Debt Securities, the Warrants and the ATM Shares are collectively referred to herein as the “</w:t>
      </w:r>
      <w:r>
        <w:rPr>
          <w:rFonts w:ascii="Times New Roman;Times;Serif" w:hAnsi="Times New Roman;Times;Serif"/>
          <w:b/>
          <w:i w:val="false"/>
          <w:caps w:val="false"/>
          <w:smallCaps w:val="false"/>
          <w:sz w:val="20"/>
        </w:rPr>
        <w:t>Securities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1219200" cy="447675"/>
            <wp:effectExtent l="0" t="0" r="0" b="0"/>
            <wp:docPr id="244"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 name="Image5" descr=""/>
                    <pic:cNvPicPr>
                      <a:picLocks noChangeAspect="1" noChangeArrowheads="1"/>
                    </pic:cNvPicPr>
                  </pic:nvPicPr>
                  <pic:blipFill>
                    <a:blip r:embed="rId30"/>
                    <a:stretch>
                      <a:fillRect/>
                    </a:stretch>
                  </pic:blipFill>
                  <pic:spPr bwMode="auto">
                    <a:xfrm>
                      <a:off x="0" y="0"/>
                      <a:ext cx="1219200" cy="447675"/>
                    </a:xfrm>
                    <a:prstGeom prst="rect">
                      <a:avLst/>
                    </a:prstGeom>
                  </pic:spPr>
                </pic:pic>
              </a:graphicData>
            </a:graphic>
          </wp:inline>
        </w:drawing>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examined the Registration Statement, the Base Prospectus, the ATM Prospectus and the Sales Agreement and all such corporate and public records, statutes and regulations and have made such investigations and have reviewed such other documents as we have deemed relevant and necessary and have considered such questions of law as we have considered relevant and necessary in order to give the opinions hereinafter set forth. As to various questions of fact material to such opinions which were not independently established, we have relied upon a certificate of an officer of the Corporation.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our opinion expressed herein refers to the Common Shares or the ATM Shares having been issued as being “fully-paid and non-assessable” common shares of the Corporation, such opinion assumes that all required consideration (in whatever form) has been paid or provided. No opinion is expressed as to the adequacy of any consideration received.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qualified to practice law in the Province of Québec and these opinions are rendered solely with respect to the Province of Québec and the federal laws of Canada applicable in the Province of Québec and, as they relate to the legally binding nature of and enforceability of the Debt Securities and the Warrants, the laws of the State of New York.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the opinions set forth below, we have assumed without independent investigation or verification by us that:</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5"/>
        <w:gridCol w:w="9973"/>
      </w:tblGrid>
      <w:tr>
        <w:trPr/>
        <w:tc>
          <w:tcPr>
            <w:tcW w:w="37"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73" w:type="dxa"/>
            <w:tcBorders/>
            <w:vAlign w:val="center"/>
          </w:tcPr>
          <w:p>
            <w:pPr>
              <w:pStyle w:val="TableContents"/>
              <w:bidi w:val="0"/>
              <w:spacing w:before="0" w:after="283"/>
              <w:jc w:val="both"/>
              <w:rPr/>
            </w:pPr>
            <w:r>
              <w:rPr/>
              <w:t>the Registration Statement, the Base Prospectus, the ATM Prospectus and any amendments thereto (including post-effective amendments) will have become effective and such effectiveness shall not have been terminated or rescinded;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7"/>
        <w:gridCol w:w="9961"/>
      </w:tblGrid>
      <w:tr>
        <w:trPr/>
        <w:tc>
          <w:tcPr>
            <w:tcW w:w="3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61" w:type="dxa"/>
            <w:tcBorders/>
            <w:vAlign w:val="center"/>
          </w:tcPr>
          <w:p>
            <w:pPr>
              <w:pStyle w:val="TableContents"/>
              <w:bidi w:val="0"/>
              <w:spacing w:before="0" w:after="283"/>
              <w:jc w:val="both"/>
              <w:rPr/>
            </w:pPr>
            <w:r>
              <w:rPr/>
              <w:t>the Securities will have the terms described in and will otherwise be issued as described in the Registration Statement or in a prospectus supplement and a prospectus supplement will have been prepared and filed with the SEC regarding the Securities offered thereby;</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9"/>
        <w:gridCol w:w="9969"/>
      </w:tblGrid>
      <w:tr>
        <w:trPr/>
        <w:tc>
          <w:tcPr>
            <w:tcW w:w="37"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69" w:type="dxa"/>
            <w:tcBorders/>
            <w:vAlign w:val="center"/>
          </w:tcPr>
          <w:p>
            <w:pPr>
              <w:pStyle w:val="TableContents"/>
              <w:bidi w:val="0"/>
              <w:spacing w:before="0" w:after="283"/>
              <w:jc w:val="both"/>
              <w:rPr/>
            </w:pPr>
            <w:r>
              <w:rPr/>
              <w:t>all Securities will be issued and sold in compliance with applicable U.S. federal and state securities laws and in the manner specified in the Registration Statement and the applicable Prospectus Supplement;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45"/>
        <w:gridCol w:w="9923"/>
      </w:tblGrid>
      <w:tr>
        <w:trPr/>
        <w:tc>
          <w:tcPr>
            <w:tcW w:w="3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23" w:type="dxa"/>
            <w:tcBorders/>
            <w:vAlign w:val="center"/>
          </w:tcPr>
          <w:p>
            <w:pPr>
              <w:pStyle w:val="TableContents"/>
              <w:bidi w:val="0"/>
              <w:spacing w:before="0" w:after="283"/>
              <w:jc w:val="both"/>
              <w:rPr/>
            </w:pPr>
            <w:r>
              <w:rPr/>
              <w:t>there shall not have occurred any change in law affecting the validity or enforceability of such Securities;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4"/>
        <w:gridCol w:w="272"/>
        <w:gridCol w:w="9889"/>
      </w:tblGrid>
      <w:tr>
        <w:trPr/>
        <w:tc>
          <w:tcPr>
            <w:tcW w:w="44"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w:t>
            </w:r>
          </w:p>
        </w:tc>
        <w:tc>
          <w:tcPr>
            <w:tcW w:w="9889" w:type="dxa"/>
            <w:tcBorders/>
            <w:vAlign w:val="center"/>
          </w:tcPr>
          <w:p>
            <w:pPr>
              <w:pStyle w:val="TableContents"/>
              <w:bidi w:val="0"/>
              <w:spacing w:before="0" w:after="283"/>
              <w:jc w:val="both"/>
              <w:rPr/>
            </w:pPr>
            <w:r>
              <w:rPr/>
              <w:t>any Warrants or Debt Securities will be governed by the laws of the State of New York;</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right"/>
        <w:rPr>
          <w:caps w:val="false"/>
          <w:smallCaps w:val="false"/>
        </w:rPr>
      </w:pPr>
      <w:r>
        <w:rPr>
          <w:caps w:val="false"/>
          <w:smallCaps w:val="false"/>
        </w:rPr>
        <w:drawing>
          <wp:inline distT="0" distB="0" distL="0" distR="0">
            <wp:extent cx="1219200" cy="447675"/>
            <wp:effectExtent l="0" t="0" r="0" b="0"/>
            <wp:docPr id="245"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 name="Image6" descr=""/>
                    <pic:cNvPicPr>
                      <a:picLocks noChangeAspect="1" noChangeArrowheads="1"/>
                    </pic:cNvPicPr>
                  </pic:nvPicPr>
                  <pic:blipFill>
                    <a:blip r:embed="rId31"/>
                    <a:stretch>
                      <a:fillRect/>
                    </a:stretch>
                  </pic:blipFill>
                  <pic:spPr bwMode="auto">
                    <a:xfrm>
                      <a:off x="0" y="0"/>
                      <a:ext cx="1219200" cy="447675"/>
                    </a:xfrm>
                    <a:prstGeom prst="rect">
                      <a:avLst/>
                    </a:prstGeom>
                  </pic:spPr>
                </pic:pic>
              </a:graphicData>
            </a:graphic>
          </wp:inline>
        </w:drawing>
      </w:r>
    </w:p>
    <w:p>
      <w:pPr>
        <w:pStyle w:val="TextBody"/>
        <w:bidi w:val="0"/>
        <w:spacing w:before="0" w:after="0"/>
        <w:jc w:val="right"/>
        <w:rPr>
          <w:caps w:val="false"/>
          <w:smallCaps w:val="false"/>
        </w:rPr>
      </w:pPr>
      <w:r>
        <w:rPr>
          <w:caps w:val="false"/>
          <w:smallCaps w:val="false"/>
        </w:rPr>
        <w:t> </w:t>
      </w:r>
    </w:p>
    <w:p>
      <w:pPr>
        <w:pStyle w:val="TextBody"/>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3</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66"/>
        <w:gridCol w:w="10002"/>
      </w:tblGrid>
      <w:tr>
        <w:trPr/>
        <w:tc>
          <w:tcPr>
            <w:tcW w:w="3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w:t>
            </w:r>
          </w:p>
        </w:tc>
        <w:tc>
          <w:tcPr>
            <w:tcW w:w="10002" w:type="dxa"/>
            <w:tcBorders/>
            <w:vAlign w:val="center"/>
          </w:tcPr>
          <w:p>
            <w:pPr>
              <w:pStyle w:val="TableContents"/>
              <w:bidi w:val="0"/>
              <w:spacing w:before="0" w:after="283"/>
              <w:jc w:val="both"/>
              <w:rPr/>
            </w:pPr>
            <w:r>
              <w:rPr/>
              <w:t>any Securities (other than Common Shares and the Preferred Shares) issued by the Corporation are to be issued pursuant to a definitive agreement or certificate evidencing the terms thereof (a “</w:t>
            </w:r>
            <w:r>
              <w:rPr>
                <w:b/>
              </w:rPr>
              <w:t>Securities Agreement</w:t>
            </w:r>
            <w:r>
              <w:rPr/>
              <w:t>”);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5"/>
        <w:gridCol w:w="9973"/>
      </w:tblGrid>
      <w:tr>
        <w:trPr/>
        <w:tc>
          <w:tcPr>
            <w:tcW w:w="37"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w:t>
            </w:r>
          </w:p>
        </w:tc>
        <w:tc>
          <w:tcPr>
            <w:tcW w:w="9973" w:type="dxa"/>
            <w:tcBorders/>
            <w:vAlign w:val="center"/>
          </w:tcPr>
          <w:p>
            <w:pPr>
              <w:pStyle w:val="TableContents"/>
              <w:bidi w:val="0"/>
              <w:spacing w:before="0" w:after="283"/>
              <w:jc w:val="both"/>
              <w:rPr/>
            </w:pPr>
            <w:r>
              <w:rPr/>
              <w:t>none of the terms of any Securities to be established subsequent to the date hereof, nor the issuance and delivery of such Securities, nor the execution, delivery and performance by the Corporation of any Securities Agreement, nor the compliance by the Corporation with the terms of such Securities, will violate any applicable law or regulation or will result in a violation of any provision of any instrument or agreement then binding upon the Corporation, or any restriction imposed by any court or governmental body having jurisdiction over the Corporation.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also assumed (a) the legal capacity of all individuals, the genuineness of all signatures, the veracity of the information contained therein, the authenticity of all documents submitted to us as originals and the conformity to authentic or original documents of all documents submitted to us as certified, conformed, electronic, photostatic or facsimile copies and (b) the completeness, truth and accuracy of all facts set forth in the official public records, certificates and documents supplied by public officials or otherwise conveyed to us by public officials.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basis of the foregoing and subject to the qualifications hereinafter expressed, we are of the opinion that:</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8"/>
        <w:gridCol w:w="9990"/>
      </w:tblGrid>
      <w:tr>
        <w:trPr/>
        <w:tc>
          <w:tcPr>
            <w:tcW w:w="3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90" w:type="dxa"/>
            <w:tcBorders/>
            <w:vAlign w:val="center"/>
          </w:tcPr>
          <w:p>
            <w:pPr>
              <w:pStyle w:val="TableContents"/>
              <w:bidi w:val="0"/>
              <w:spacing w:before="0" w:after="283"/>
              <w:jc w:val="both"/>
              <w:rPr/>
            </w:pPr>
            <w:r>
              <w:rPr/>
              <w:t>when (i) all requisite corporate action, including the adoption of appropriate resolutions of the Board of Directors of the Corporation or a duly authorized committee thereof (the “</w:t>
            </w:r>
            <w:r>
              <w:rPr>
                <w:b/>
              </w:rPr>
              <w:t>Authorizing Resolutions</w:t>
            </w:r>
            <w:r>
              <w:rPr/>
              <w:t>”), has been taken by the Corporation to authorize the issuance of any Common Shares and the consideration to be received therefor, and (ii) certificates evidencing such shares have been duly executed, countersigned, issued and delivered, against payment therefor of the consideration specified in such Authorizing Resolutions, in the manner described in such Authorizing Resolutions, such Common Shares will be validly issued, fully paid and non-assessable;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2"/>
        <w:gridCol w:w="9976"/>
      </w:tblGrid>
      <w:tr>
        <w:trPr/>
        <w:tc>
          <w:tcPr>
            <w:tcW w:w="37"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76" w:type="dxa"/>
            <w:tcBorders/>
            <w:vAlign w:val="center"/>
          </w:tcPr>
          <w:p>
            <w:pPr>
              <w:pStyle w:val="TableContents"/>
              <w:bidi w:val="0"/>
              <w:spacing w:before="0" w:after="283"/>
              <w:jc w:val="both"/>
              <w:rPr/>
            </w:pPr>
            <w:r>
              <w:rPr/>
              <w:t>when (i) all requisite corporate action, including the adoption of Authorizing Resolutions, has been taken by the Corporation to establish the terms of and to authorize the issuance of any Preferred Shares and the consideration to be received therefor, (ii) all actions described in paragraph (a) above with respect to the Common Shares issuable upon the conversion of such Preferred Shares have been taken (to the extent applicable); and (iii) certificates evidencing such shares have been duly executed, countersigned, issued and delivered, against payment therefor of the consideration specified in such Authorizing Resolutions, in the manner described in such Authorizing Resolutions, such Preferred Shares will be validly issued, fully paid and non-assessable;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right"/>
        <w:rPr>
          <w:caps w:val="false"/>
          <w:smallCaps w:val="false"/>
        </w:rPr>
      </w:pPr>
      <w:r>
        <w:rPr>
          <w:caps w:val="false"/>
          <w:smallCaps w:val="false"/>
        </w:rPr>
        <w:drawing>
          <wp:inline distT="0" distB="0" distL="0" distR="0">
            <wp:extent cx="1219200" cy="447675"/>
            <wp:effectExtent l="0" t="0" r="0" b="0"/>
            <wp:docPr id="246"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 name="Image7" descr=""/>
                    <pic:cNvPicPr>
                      <a:picLocks noChangeAspect="1" noChangeArrowheads="1"/>
                    </pic:cNvPicPr>
                  </pic:nvPicPr>
                  <pic:blipFill>
                    <a:blip r:embed="rId32"/>
                    <a:stretch>
                      <a:fillRect/>
                    </a:stretch>
                  </pic:blipFill>
                  <pic:spPr bwMode="auto">
                    <a:xfrm>
                      <a:off x="0" y="0"/>
                      <a:ext cx="1219200" cy="447675"/>
                    </a:xfrm>
                    <a:prstGeom prst="rect">
                      <a:avLst/>
                    </a:prstGeom>
                  </pic:spPr>
                </pic:pic>
              </a:graphicData>
            </a:graphic>
          </wp:inline>
        </w:drawing>
      </w:r>
    </w:p>
    <w:p>
      <w:pPr>
        <w:pStyle w:val="TextBody"/>
        <w:bidi w:val="0"/>
        <w:spacing w:before="0" w:after="0"/>
        <w:jc w:val="right"/>
        <w:rPr>
          <w:caps w:val="false"/>
          <w:smallCaps w:val="false"/>
        </w:rPr>
      </w:pPr>
      <w:r>
        <w:rPr>
          <w:caps w:val="false"/>
          <w:smallCaps w:val="false"/>
        </w:rPr>
        <w:t> </w:t>
      </w:r>
    </w:p>
    <w:p>
      <w:pPr>
        <w:pStyle w:val="TextBody"/>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4</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5"/>
        <w:gridCol w:w="9993"/>
      </w:tblGrid>
      <w:tr>
        <w:trPr/>
        <w:tc>
          <w:tcPr>
            <w:tcW w:w="37"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93" w:type="dxa"/>
            <w:tcBorders/>
            <w:vAlign w:val="center"/>
          </w:tcPr>
          <w:p>
            <w:pPr>
              <w:pStyle w:val="TableContents"/>
              <w:bidi w:val="0"/>
              <w:spacing w:before="0" w:after="283"/>
              <w:jc w:val="both"/>
              <w:rPr/>
            </w:pPr>
            <w:r>
              <w:rPr/>
              <w:t>when (i) all requisite corporate action, including the adoption of Authorizing Resolutions, has been taken by the Corporation to establish the terms of and to authorize the issuance of any Debt Securities and to authorize the Securities Agreement relating thereto; (ii) all actions described in paragraph (a) and/or (b) above with respect to the Common Shares and/or Preferred Shares issuable upon the conversion or exercise of such Debt Securities have been taken (to the extent applicable); and (iii) the applicable Securities Agreement has been duly executed and delivered by the parties thereto and the instruments evidencing such Warrants have been duly executed, countersigned, issued and delivered in accordance with the applicable Securities Agreement and in the manner described in such Authorizing Resolutions, such Debt Securities will be valid and legally binding obligations of the Corporation, enforceable against the Corporation in accordance with their terms;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0"/>
        <w:gridCol w:w="9978"/>
      </w:tblGrid>
      <w:tr>
        <w:trPr/>
        <w:tc>
          <w:tcPr>
            <w:tcW w:w="37"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78" w:type="dxa"/>
            <w:tcBorders/>
            <w:vAlign w:val="center"/>
          </w:tcPr>
          <w:p>
            <w:pPr>
              <w:pStyle w:val="TableContents"/>
              <w:bidi w:val="0"/>
              <w:spacing w:before="0" w:after="283"/>
              <w:jc w:val="both"/>
              <w:rPr/>
            </w:pPr>
            <w:r>
              <w:rPr/>
              <w:t>when (i) all requisite corporate action, including the adoption of Authorizing Resolutions, has been taken by the Corporation to establish the terms of and to authorize the issuance of any series of Warrants and the consideration to be received therefor and to authorize the Securities Agreement relating thereto; (ii) all actions described in paragraph (a), (b) and/or (c) above with respect to the Common Shares, the Preferred Shares and/or the Debt Securities issuable upon the exercise of such Warrants have been taken (to the extent applicable); and (iii) the applicable Securities Agreement has been duly executed and delivered by the parties thereto and certificates evidencing such Warrants have been duly executed, countersigned, issued and delivered, against payment therefor of the consideration specified in such Authorizing Resolutions, in accordance with the applicable Securities Agreement and in the manner described in such Authorizing Resolutions, such Warrants will be valid and legally binding obligations of the Corporation, enforceable against the Corporation in accordance with their terms;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7"/>
        <w:gridCol w:w="9991"/>
      </w:tblGrid>
      <w:tr>
        <w:trPr/>
        <w:tc>
          <w:tcPr>
            <w:tcW w:w="3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w:t>
            </w:r>
          </w:p>
        </w:tc>
        <w:tc>
          <w:tcPr>
            <w:tcW w:w="9991" w:type="dxa"/>
            <w:tcBorders/>
            <w:vAlign w:val="center"/>
          </w:tcPr>
          <w:p>
            <w:pPr>
              <w:pStyle w:val="TableContents"/>
              <w:bidi w:val="0"/>
              <w:spacing w:before="0" w:after="283"/>
              <w:jc w:val="both"/>
              <w:rPr/>
            </w:pPr>
            <w:r>
              <w:rPr/>
              <w:t>when (i) all requisite corporate action, including the adoption of Authorizing Resolutions, has been taken by the Corporation to authorize the issuance of any ATM Shares and the consideration to be received therefor, (ii) certificates or other statements of ownership evidencing such shares have been duly executed and countersigned (to the extent applicable), and the ATM Shares have been issued and delivered, against payment therefor of the consideration specified in such Authorizing Resolutions, in the manner described in such Authorizing Resolutions, and (iii) sold and issued against payment therefor in accordance with the Sales Agreement, the Registration Statement and the ATM Prospectus, such ATM Shares will be validly issued, fully paid and non-assessable.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right"/>
        <w:rPr>
          <w:caps w:val="false"/>
          <w:smallCaps w:val="false"/>
        </w:rPr>
      </w:pPr>
      <w:r>
        <w:rPr>
          <w:caps w:val="false"/>
          <w:smallCaps w:val="false"/>
        </w:rPr>
        <w:drawing>
          <wp:inline distT="0" distB="0" distL="0" distR="0">
            <wp:extent cx="1219200" cy="447675"/>
            <wp:effectExtent l="0" t="0" r="0" b="0"/>
            <wp:docPr id="247"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7" name="Image8" descr=""/>
                    <pic:cNvPicPr>
                      <a:picLocks noChangeAspect="1" noChangeArrowheads="1"/>
                    </pic:cNvPicPr>
                  </pic:nvPicPr>
                  <pic:blipFill>
                    <a:blip r:embed="rId33"/>
                    <a:stretch>
                      <a:fillRect/>
                    </a:stretch>
                  </pic:blipFill>
                  <pic:spPr bwMode="auto">
                    <a:xfrm>
                      <a:off x="0" y="0"/>
                      <a:ext cx="1219200" cy="447675"/>
                    </a:xfrm>
                    <a:prstGeom prst="rect">
                      <a:avLst/>
                    </a:prstGeom>
                  </pic:spPr>
                </pic:pic>
              </a:graphicData>
            </a:graphic>
          </wp:inline>
        </w:drawing>
      </w:r>
    </w:p>
    <w:p>
      <w:pPr>
        <w:pStyle w:val="TextBody"/>
        <w:bidi w:val="0"/>
        <w:spacing w:before="0" w:after="0"/>
        <w:jc w:val="right"/>
        <w:rPr>
          <w:caps w:val="false"/>
          <w:smallCaps w:val="false"/>
        </w:rPr>
      </w:pPr>
      <w:r>
        <w:rPr>
          <w:caps w:val="false"/>
          <w:smallCaps w:val="false"/>
        </w:rPr>
        <w:t> </w:t>
      </w:r>
    </w:p>
    <w:p>
      <w:pPr>
        <w:pStyle w:val="TextBody"/>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5</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opinions are subject to the following qualifications and limitations: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983" w:type="dxa"/>
            <w:tcBorders/>
            <w:vAlign w:val="center"/>
          </w:tcPr>
          <w:p>
            <w:pPr>
              <w:pStyle w:val="TableContents"/>
              <w:bidi w:val="0"/>
              <w:spacing w:before="0" w:after="283"/>
              <w:jc w:val="both"/>
              <w:rPr/>
            </w:pPr>
            <w:r>
              <w:rPr/>
              <w:t>enforceability may be limited by applicable bankruptcy, insolvency, reorganization, fraudulent transfer and conveyance, receivership, preference, moratorium, arrangement or winding up laws or other similar laws now or hereafter in effect, and related regulations and judicial doctrines, relating to or affecting the enforcement of creditors’ rights and remedies generally; and</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5"/>
        <w:gridCol w:w="9963"/>
      </w:tblGrid>
      <w:tr>
        <w:trPr/>
        <w:tc>
          <w:tcPr>
            <w:tcW w:w="37"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63" w:type="dxa"/>
            <w:tcBorders/>
            <w:vAlign w:val="center"/>
          </w:tcPr>
          <w:p>
            <w:pPr>
              <w:pStyle w:val="TableContents"/>
              <w:bidi w:val="0"/>
              <w:spacing w:before="0" w:after="283"/>
              <w:jc w:val="both"/>
              <w:rPr/>
            </w:pPr>
            <w:r>
              <w:rPr/>
              <w:t>enforceability may be limited by equitable principles, whether such equitable principles are considered at law or in equity, including the principle that equitable remedies such as specific performance and injunction may only be granted in the discretion of a court of competent jurisdiction.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filing of this opinion letter as an exhibit to the Registration Statement and to the use of our name wherever it appears in the Registration Statement and the prospectus contained therein. In giving this consent, we do not admit that we are in the category of persons whose consent is required under Section 7 of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Yours very truly,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(signed) Osler, Hoskin &amp; Harcourt LLP</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Osler, Hoskin &amp; Harcourt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ind w:left="0" w:right="0" w:hanging="0"/>
        <w:jc w:val="left"/>
        <w:rPr/>
      </w:pPr>
      <w:bookmarkStart w:id="43" w:name="tm2614252d2_ex23-1.htm"/>
      <w:bookmarkStart w:id="44" w:name="kstm2614252d2_ex231"/>
      <w:bookmarkEnd w:id="43"/>
      <w:bookmarkEnd w:id="44"/>
      <w:r>
        <w:rPr/>
        <w:t> </w:t>
      </w:r>
      <w:r>
        <w:br w:type="page"/>
      </w:r>
    </w:p>
    <w:p>
      <w:pPr>
        <w:pStyle w:val="TextBody"/>
        <w:bidi w:val="0"/>
        <w:spacing w:before="0" w:after="0"/>
        <w:ind w:left="792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23.1</w:t>
      </w:r>
    </w:p>
    <w:p>
      <w:pPr>
        <w:pStyle w:val="TextBody"/>
        <w:bidi w:val="0"/>
        <w:spacing w:before="0" w:after="0"/>
        <w:ind w:left="792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incorporation by reference in the Registration Statement on Form S-3 of Milestone Pharmaceuticals Inc. of our report dated March 20, 2026 relating to the consolidated financial statements, which appears in Milestone Pharmaceuticals Inc.’s Annual Report on Form 10-K for the year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consent to the incorporation by reference in the prospectus dated May 13, 2026 (the Prospectus) that is part of the Registration Statement on Form S-3 referred to above, of our report dated March 20, 2026 relating to the consolidated financial statements, which appears in Milestone Pharmaceuticals Inc.’s Annual Report on Form 10-K for the year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consent to the references to us under the heading “Experts” in such Registration Statement and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PricewaterhouseCoopers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Montreal, Canada</w:t>
        <w:br/>
        <w:t>May 13,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ind w:left="0" w:right="0" w:hanging="0"/>
        <w:jc w:val="left"/>
        <w:rPr/>
      </w:pPr>
      <w:r>
        <w:rPr/>
        <w:t> </w:t>
      </w:r>
    </w:p>
    <w:p>
      <w:pPr>
        <w:pStyle w:val="Normal"/>
        <w:bidi w:val="0"/>
        <w:spacing w:before="0" w:after="0"/>
        <w:jc w:val="left"/>
        <w:rPr>
          <w:sz w:val="4"/>
          <w:szCs w:val="4"/>
        </w:rPr>
      </w:pPr>
      <w:r>
        <w:rPr>
          <w:sz w:val="4"/>
          <w:szCs w:val="4"/>
        </w:rPr>
      </w:r>
      <w:bookmarkStart w:id="45" w:name="tm2614252d1_ex-filingfees.htm"/>
      <w:bookmarkStart w:id="46" w:name="kstm2614252d1_exfilingfees"/>
      <w:bookmarkStart w:id="47" w:name="tm2614252d1_ex-filingfees.htm"/>
      <w:bookmarkStart w:id="48" w:name="kstm2614252d1_exfilingfees"/>
      <w:bookmarkEnd w:id="47"/>
      <w:bookmarkEnd w:id="48"/>
      <w:r>
        <w:br w:type="page"/>
      </w:r>
    </w:p>
    <w:tbl>
      <w:tblPr>
        <w:tblW w:w="3581" w:type="dxa"/>
        <w:jc w:val="left"/>
        <w:tblInd w:w="0" w:type="dxa"/>
        <w:tblLayout w:type="fixed"/>
        <w:tblCellMar>
          <w:top w:w="28" w:type="dxa"/>
          <w:left w:w="28" w:type="dxa"/>
          <w:bottom w:w="28" w:type="dxa"/>
          <w:right w:w="28" w:type="dxa"/>
        </w:tblCellMar>
      </w:tblPr>
      <w:tblGrid>
        <w:gridCol w:w="3427"/>
        <w:gridCol w:w="154"/>
      </w:tblGrid>
      <w:tr>
        <w:trPr/>
        <w:tc>
          <w:tcPr>
            <w:tcW w:w="3581"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27" w:type="dxa"/>
            <w:tcBorders/>
            <w:vAlign w:val="center"/>
          </w:tcPr>
          <w:p>
            <w:pPr>
              <w:pStyle w:val="TableContents"/>
              <w:bidi w:val="0"/>
              <w:spacing w:before="0" w:after="283"/>
              <w:jc w:val="left"/>
              <w:rPr>
                <w:b/>
              </w:rPr>
            </w:pPr>
            <w:r>
              <w:rPr>
                <w:b/>
              </w:rPr>
              <w:t xml:space="preserve">S-3 </w:t>
            </w:r>
          </w:p>
        </w:tc>
        <w:tc>
          <w:tcPr>
            <w:tcW w:w="154" w:type="dxa"/>
            <w:tcBorders/>
          </w:tcPr>
          <w:p>
            <w:pPr>
              <w:pStyle w:val="TableContents"/>
              <w:bidi w:val="0"/>
              <w:spacing w:before="0" w:after="283"/>
              <w:jc w:val="left"/>
              <w:rPr>
                <w:sz w:val="4"/>
                <w:szCs w:val="4"/>
              </w:rPr>
            </w:pPr>
            <w:r>
              <w:rPr>
                <w:sz w:val="4"/>
                <w:szCs w:val="4"/>
              </w:rPr>
            </w:r>
          </w:p>
        </w:tc>
      </w:tr>
      <w:tr>
        <w:trPr/>
        <w:tc>
          <w:tcPr>
            <w:tcW w:w="3427" w:type="dxa"/>
            <w:tcBorders/>
            <w:vAlign w:val="center"/>
          </w:tcPr>
          <w:p>
            <w:pPr>
              <w:pStyle w:val="TableContents"/>
              <w:bidi w:val="0"/>
              <w:spacing w:before="0" w:after="283"/>
              <w:jc w:val="left"/>
              <w:rPr>
                <w:b/>
              </w:rPr>
            </w:pPr>
            <w:r>
              <w:rPr>
                <w:b/>
              </w:rPr>
              <w:t xml:space="preserve">Milestone Pharmaceuticals Inc.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5884" w:type="dxa"/>
        <w:jc w:val="left"/>
        <w:tblInd w:w="0" w:type="dxa"/>
        <w:tblLayout w:type="fixed"/>
        <w:tblCellMar>
          <w:top w:w="28" w:type="dxa"/>
          <w:left w:w="28" w:type="dxa"/>
          <w:bottom w:w="28" w:type="dxa"/>
          <w:right w:w="28" w:type="dxa"/>
        </w:tblCellMar>
      </w:tblPr>
      <w:tblGrid>
        <w:gridCol w:w="1126"/>
        <w:gridCol w:w="226"/>
        <w:gridCol w:w="1246"/>
        <w:gridCol w:w="1021"/>
        <w:gridCol w:w="1276"/>
        <w:gridCol w:w="1186"/>
        <w:gridCol w:w="1156"/>
        <w:gridCol w:w="1786"/>
        <w:gridCol w:w="112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12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021"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78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5884"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ind w:left="0" w:right="0" w:hanging="0"/>
              <w:jc w:val="left"/>
              <w:rPr/>
            </w:pPr>
            <w:r>
              <w:rPr/>
              <w:t xml:space="preserve">Equity </w:t>
            </w:r>
          </w:p>
        </w:tc>
        <w:tc>
          <w:tcPr>
            <w:tcW w:w="1021" w:type="dxa"/>
            <w:tcBorders/>
            <w:shd w:fill="E7E7E2" w:val="clear"/>
            <w:vAlign w:val="center"/>
          </w:tcPr>
          <w:p>
            <w:pPr>
              <w:pStyle w:val="TableContents"/>
              <w:bidi w:val="0"/>
              <w:spacing w:before="0" w:after="283"/>
              <w:jc w:val="left"/>
              <w:rPr/>
            </w:pPr>
            <w:r>
              <w:rPr/>
              <w:t xml:space="preserve">Common Shares, no par value per share </w:t>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ind w:left="0" w:right="0" w:hanging="0"/>
              <w:jc w:val="left"/>
              <w:rPr/>
            </w:pPr>
            <w:r>
              <w:rPr/>
              <w:t xml:space="preserve">Equity </w:t>
            </w:r>
          </w:p>
        </w:tc>
        <w:tc>
          <w:tcPr>
            <w:tcW w:w="1021" w:type="dxa"/>
            <w:tcBorders/>
            <w:shd w:fill="E7E7E2" w:val="clear"/>
            <w:vAlign w:val="center"/>
          </w:tcPr>
          <w:p>
            <w:pPr>
              <w:pStyle w:val="TableContents"/>
              <w:bidi w:val="0"/>
              <w:spacing w:before="0" w:after="283"/>
              <w:jc w:val="left"/>
              <w:rPr/>
            </w:pPr>
            <w:r>
              <w:rPr/>
              <w:t xml:space="preserve">Preferred Shares, no par value per share </w:t>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ind w:left="0" w:right="0" w:hanging="0"/>
              <w:jc w:val="left"/>
              <w:rPr/>
            </w:pPr>
            <w:r>
              <w:rPr/>
              <w:t xml:space="preserve">Debt </w:t>
            </w:r>
          </w:p>
        </w:tc>
        <w:tc>
          <w:tcPr>
            <w:tcW w:w="1021" w:type="dxa"/>
            <w:tcBorders/>
            <w:shd w:fill="E7E7E2" w:val="clear"/>
            <w:vAlign w:val="center"/>
          </w:tcPr>
          <w:p>
            <w:pPr>
              <w:pStyle w:val="TableContents"/>
              <w:bidi w:val="0"/>
              <w:spacing w:before="0" w:after="283"/>
              <w:jc w:val="left"/>
              <w:rPr/>
            </w:pPr>
            <w:r>
              <w:rPr/>
              <w:t xml:space="preserve">Debt Securities </w:t>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ind w:left="0" w:right="0" w:hanging="0"/>
              <w:jc w:val="left"/>
              <w:rPr/>
            </w:pPr>
            <w:r>
              <w:rPr/>
              <w:t xml:space="preserve">Other </w:t>
            </w:r>
          </w:p>
        </w:tc>
        <w:tc>
          <w:tcPr>
            <w:tcW w:w="1021" w:type="dxa"/>
            <w:tcBorders/>
            <w:shd w:fill="E7E7E2" w:val="clear"/>
            <w:vAlign w:val="center"/>
          </w:tcPr>
          <w:p>
            <w:pPr>
              <w:pStyle w:val="TableContents"/>
              <w:bidi w:val="0"/>
              <w:spacing w:before="0" w:after="283"/>
              <w:jc w:val="left"/>
              <w:rPr/>
            </w:pPr>
            <w:r>
              <w:rPr/>
              <w:t xml:space="preserve">Warrants </w:t>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1246" w:type="dxa"/>
            <w:tcBorders/>
            <w:shd w:fill="E7E7E2" w:val="clear"/>
            <w:vAlign w:val="center"/>
          </w:tcPr>
          <w:p>
            <w:pPr>
              <w:pStyle w:val="TableContents"/>
              <w:bidi w:val="0"/>
              <w:spacing w:before="0" w:after="283"/>
              <w:jc w:val="left"/>
              <w:rPr/>
            </w:pPr>
            <w:r>
              <w:rPr/>
              <w:t xml:space="preserve">Unallocated (Universal) Shelf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right"/>
              <w:rPr/>
            </w:pPr>
            <w:r>
              <w:rPr/>
              <w:t xml:space="preserve">$ 300,000,000.00 </w:t>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right"/>
              <w:rPr/>
            </w:pPr>
            <w:r>
              <w:rPr/>
              <w:t xml:space="preserve">$ 41,430.00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5884"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1246"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3483"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0"/>
              <w:ind w:left="0" w:right="0" w:hanging="0"/>
              <w:jc w:val="right"/>
              <w:rPr/>
            </w:pPr>
            <w:bookmarkStart w:id="49" w:name="MaxAggtOfferingPrice"/>
            <w:bookmarkEnd w:id="49"/>
            <w:r>
              <w:rPr/>
              <w:t xml:space="preserve">$ 300,000,000.00 </w:t>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50" w:name="TotalFeeAmt"/>
            <w:bookmarkEnd w:id="50"/>
            <w:r>
              <w:rPr/>
              <w:t xml:space="preserve">$ 41,430.00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3483"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51" w:name="TotalPreviouslyPaidAmt"/>
            <w:bookmarkEnd w:id="51"/>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3483"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52" w:name="TotalOffsetAmt"/>
            <w:bookmarkEnd w:id="52"/>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3483"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53" w:name="NetFeeAmt"/>
            <w:bookmarkEnd w:id="53"/>
            <w:r>
              <w:rPr/>
              <w:t xml:space="preserve">$ 41,430.00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98"/>
        <w:gridCol w:w="1294"/>
        <w:gridCol w:w="8713"/>
      </w:tblGrid>
      <w:tr>
        <w:trPr/>
        <w:tc>
          <w:tcPr>
            <w:tcW w:w="198"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7" w:type="dxa"/>
            <w:gridSpan w:val="2"/>
            <w:tcBorders/>
            <w:vAlign w:val="center"/>
          </w:tcPr>
          <w:p>
            <w:pPr>
              <w:pStyle w:val="TableContents"/>
              <w:bidi w:val="0"/>
              <w:spacing w:before="0" w:after="283"/>
              <w:jc w:val="left"/>
              <w:rPr/>
            </w:pPr>
            <w:r>
              <w:rPr/>
              <w:t xml:space="preserve">1.a. Separate consideration may or may not be received for securities that are issuable upon the conversion or exercise of, or in exchange for, other securities offered hereby. 1.b. There are being registered hereunder such indeterminate number of common shares, such indeterminate number of shares of preferred shares, such indeterminate principal amount of debt securities and such indeterminate number of warrants to purchase common shares, preferred shares or debt securities as shall have an aggregate initial offering price not to exceed $300,000,000. If any debt securities are issued at an original issue discount, then the principal amount of such debt securities shall be in such greater amount as shall result in an aggregate initial offering price not to exceed $300,000,000, less the aggregate dollar amount of all securities previously issued hereunder. Any securities registered hereunder may be sold separately or in combination with other securities registered hereunder. The $300,000,000 of securities registered hereunder includes $100,000,000 of common shares that may be offered, issued and sold pursuant to that certain Controlled Equity OfferingSM, dated May 13, 2026 by and between the registrant and Cantor Fitzgerald &amp; Co. The securities registered also include such indeterminate number of shares of common shares, preferred shares and amount of debt securities as may be issued upon conversion of or exchange for preferred shares or debt securities that provide for conversion or exchange, upon exercise of warrants or pursuant to the antidilution provisions of any such securities. In addition, pursuant to Rule 416 under the Securities Act of 1933, as amended (the "Securities Act"), the shares being registered hereunder include such indeterminate number of common shares and preferred shares as may be issuable with respect to the shares being registered hereunder as a result of share splits, share dividends or similar transactions. 1.c. The proposed maximum aggregate offering price per class of security will be determined from time to time by the registrant in connection with the issuance by the registrant of the securities registered hereunder and is not specified as to each class of security pursuant to Instruction 2.A.iii.b under the heading "Instructions to the Calculation of Filing Fee Tables and Related Disclosure" of Part II, Item 16, of Form S-3 under the Securities Act. </w:t>
            </w:r>
          </w:p>
        </w:tc>
      </w:tr>
      <w:tr>
        <w:trPr/>
        <w:tc>
          <w:tcPr>
            <w:tcW w:w="1492" w:type="dxa"/>
            <w:gridSpan w:val="2"/>
            <w:tcBorders/>
            <w:vAlign w:val="center"/>
          </w:tcPr>
          <w:p>
            <w:pPr>
              <w:pStyle w:val="HorizontalLine"/>
              <w:pBdr>
                <w:bottom w:val="double" w:sz="2" w:space="0" w:color="808080"/>
              </w:pBdr>
              <w:bidi w:val="0"/>
              <w:spacing w:before="0" w:after="283"/>
              <w:jc w:val="left"/>
              <w:rPr/>
            </w:pPr>
            <w:r>
              <w:rPr/>
            </w:r>
          </w:p>
        </w:tc>
        <w:tc>
          <w:tcPr>
            <w:tcW w:w="8713"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arial"/>
    <w:charset w:val="01"/>
    <w:family w:val="auto"/>
    <w:pitch w:val="default"/>
  </w:font>
  <w:font w:name="Helvetica">
    <w:altName w:val="Arial"/>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ix?doc=/Archives/edgar/data/1408443/000110465926032415/mist-20251231x10k.htm" TargetMode="External"/><Relationship Id="rId4" Type="http://schemas.openxmlformats.org/officeDocument/2006/relationships/hyperlink" Target="https://www.sec.gov/ix?doc=/Archives/edgar/data/1408443/000110465926032415/mist-20251231x10k.htm" TargetMode="External"/><Relationship Id="rId5" Type="http://schemas.openxmlformats.org/officeDocument/2006/relationships/hyperlink" Target="https://www.sec.gov/ix?doc=/Archives/edgar/data/1408443/000110465926032415/mist-20251231x10k.htm" TargetMode="External"/><Relationship Id="rId6" Type="http://schemas.openxmlformats.org/officeDocument/2006/relationships/hyperlink" Target="https://www.sec.gov/ix?doc=/Archives/edgar/data/1408443/000110465926052880/tm2616218d1_def14a.htm" TargetMode="External"/><Relationship Id="rId7" Type="http://schemas.openxmlformats.org/officeDocument/2006/relationships/hyperlink" Target="https://www.sec.gov/ix?doc=/Archives/edgar/data/1408443/000110465926059752/mist-20260331x10q.htm" TargetMode="External"/><Relationship Id="rId8" Type="http://schemas.openxmlformats.org/officeDocument/2006/relationships/hyperlink" Target="https://www.sec.gov/ix?doc=/Archives/edgar/data/1408443/000110465926001099/tm261989d1_8k.htm" TargetMode="External"/><Relationship Id="rId9" Type="http://schemas.openxmlformats.org/officeDocument/2006/relationships/hyperlink" Target="https://www.sec.gov/ix?doc=/Archives/edgar/data/1408443/000110465926003038/tm262948d1_8k.htm" TargetMode="External"/><Relationship Id="rId10" Type="http://schemas.openxmlformats.org/officeDocument/2006/relationships/hyperlink" Target="https://www.sec.gov/ix?doc=/Archives/edgar/data/1408443/000110465926006483/tm263973d1_8k.htm" TargetMode="External"/><Relationship Id="rId11" Type="http://schemas.openxmlformats.org/officeDocument/2006/relationships/hyperlink" Target="https://www.sec.gov/Archives/edgar/data/1408443/000110465919027182/a18-41190_88a12b.htm" TargetMode="External"/><Relationship Id="rId12" Type="http://schemas.openxmlformats.org/officeDocument/2006/relationships/image" Target="media/image1.jpeg"/><Relationship Id="rId13" Type="http://schemas.openxmlformats.org/officeDocument/2006/relationships/hyperlink" Target="http://www.sec.gov/ix?doc=/Archives/edgar/data/1408443/000110465926032415/mist-20251231x10k.htm" TargetMode="External"/><Relationship Id="rId14" Type="http://schemas.openxmlformats.org/officeDocument/2006/relationships/hyperlink" Target="https://www.sec.gov/ix?doc=/Archives/edgar/data/1408443/000110465926032415/mist-20251231x10k.htm" TargetMode="External"/><Relationship Id="rId15" Type="http://schemas.openxmlformats.org/officeDocument/2006/relationships/hyperlink" Target="https://www.sec.gov/ix?doc=/Archives/edgar/data/1408443/000110465926032415/mist-20251231x10k.htm" TargetMode="External"/><Relationship Id="rId16" Type="http://schemas.openxmlformats.org/officeDocument/2006/relationships/hyperlink" Target="https://www.sec.gov/ix?doc=/Archives/edgar/data/1408443/000110465926052880/tm2616218d1_def14a.htm" TargetMode="External"/><Relationship Id="rId17" Type="http://schemas.openxmlformats.org/officeDocument/2006/relationships/hyperlink" Target="https://www.sec.gov/ix?doc=/Archives/edgar/data/1408443/000110465926059752/mist-20260331x10q.htm" TargetMode="External"/><Relationship Id="rId18" Type="http://schemas.openxmlformats.org/officeDocument/2006/relationships/hyperlink" Target="https://www.sec.gov/ix?doc=/Archives/edgar/data/1408443/000110465926001099/tm261989d1_8k.htm" TargetMode="External"/><Relationship Id="rId19" Type="http://schemas.openxmlformats.org/officeDocument/2006/relationships/hyperlink" Target="https://www.sec.gov/ix?doc=/Archives/edgar/data/1408443/000110465926003038/tm262948d1_8k.htm" TargetMode="External"/><Relationship Id="rId20" Type="http://schemas.openxmlformats.org/officeDocument/2006/relationships/hyperlink" Target="https://www.sec.gov/ix?doc=/Archives/edgar/data/1408443/000110465926006483/tm263973d1_8k.htm" TargetMode="External"/><Relationship Id="rId21" Type="http://schemas.openxmlformats.org/officeDocument/2006/relationships/hyperlink" Target="https://www.sec.gov/Archives/edgar/data/1408443/000110465919027182/a18-41190_88a12b.htm" TargetMode="External"/><Relationship Id="rId22" Type="http://schemas.openxmlformats.org/officeDocument/2006/relationships/image" Target="media/image1.jpeg"/><Relationship Id="rId23" Type="http://schemas.openxmlformats.org/officeDocument/2006/relationships/hyperlink" Target="https://www.sec.gov/Archives/edgar/data/1408443/000110465926059752/mist-20260331xex10d3.htm" TargetMode="External"/><Relationship Id="rId24" Type="http://schemas.openxmlformats.org/officeDocument/2006/relationships/hyperlink" Target="https://www.sec.gov/Archives/edgar/data/1408443/000110465926059752/mist-20260331xex10d3.htm" TargetMode="External"/><Relationship Id="rId25" Type="http://schemas.openxmlformats.org/officeDocument/2006/relationships/hyperlink" Target="https://www.sec.gov/Archives/edgar/data/1408443/000110465926059752/mist-20260331xex10d3.htm" TargetMode="External"/><Relationship Id="rId26" Type="http://schemas.openxmlformats.org/officeDocument/2006/relationships/hyperlink" Target="https://www.sec.gov/Archives/edgar/data/1408443/000110465919029792/a18-41190_11ex3d1.htm" TargetMode="External"/><Relationship Id="rId27" Type="http://schemas.openxmlformats.org/officeDocument/2006/relationships/hyperlink" Target="https://www.sec.gov/Archives/edgar/data/1408443/000110465919029792/a18-41190_11ex3d2.htm" TargetMode="External"/><Relationship Id="rId28" Type="http://schemas.openxmlformats.org/officeDocument/2006/relationships/hyperlink" Target="https://www.sec.gov/Archives/edgar/data/1408443/000104746919002654/a2238612zex-4_1.htm" TargetMode="External"/><Relationship Id="rId29" Type="http://schemas.openxmlformats.org/officeDocument/2006/relationships/image" Target="media/image2.jpeg"/><Relationship Id="rId30" Type="http://schemas.openxmlformats.org/officeDocument/2006/relationships/image" Target="media/image2.jpeg"/><Relationship Id="rId31" Type="http://schemas.openxmlformats.org/officeDocument/2006/relationships/image" Target="media/image2.jpeg"/><Relationship Id="rId32" Type="http://schemas.openxmlformats.org/officeDocument/2006/relationships/image" Target="media/image2.jpeg"/><Relationship Id="rId33" Type="http://schemas.openxmlformats.org/officeDocument/2006/relationships/image" Target="media/image2.jpeg"/><Relationship Id="rId34" Type="http://schemas.openxmlformats.org/officeDocument/2006/relationships/fontTable" Target="fontTable.xml"/><Relationship Id="rId3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19</Pages>
  <Words>85742</Words>
  <Characters>444293</Characters>
  <CharactersWithSpaces>532662</CharactersWithSpaces>
  <Paragraphs>5565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