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1031240</wp:posOffset>
            </wp:positionH>
            <wp:positionV relativeFrom="page">
              <wp:posOffset>584200</wp:posOffset>
            </wp:positionV>
            <wp:extent cx="5480050" cy="28752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480050" cy="28752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2025 Annual Report</w:t>
      </w:r>
    </w:p>
    <w:p>
      <w:pPr>
        <w:sectPr>
          <w:pgSz w:w="11880" w:h="15480" w:orient="portrait"/>
          <w:cols w:equalWidth="0" w:num="1">
            <w:col w:w="9000"/>
          </w:cols>
          <w:pgMar w:left="1440" w:top="1440"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www.MilestonePharma.com</w:t>
      </w:r>
    </w:p>
    <w:p>
      <w:pPr>
        <w:sectPr>
          <w:pgSz w:w="11880" w:h="15480" w:orient="portrait"/>
          <w:cols w:equalWidth="0" w:num="1">
            <w:col w:w="9000"/>
          </w:cols>
          <w:pgMar w:left="1440" w:top="1440" w:right="1440" w:bottom="1440" w:gutter="0" w:footer="0" w:header="0"/>
          <w:type w:val="continuous"/>
        </w:sectPr>
      </w:pPr>
    </w:p>
    <w:bookmarkStart w:id="1" w:name="page2"/>
    <w:bookmarkEnd w:id="1"/>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671195</wp:posOffset>
                </wp:positionH>
                <wp:positionV relativeFrom="page">
                  <wp:posOffset>1217930</wp:posOffset>
                </wp:positionV>
                <wp:extent cx="620077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00775"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2.85pt,95.9pt" to="541.1pt,95.9pt" o:allowincell="f" strokecolor="#000000" strokeweight="3pt">
                <w10:wrap anchorx="page" anchory="page"/>
              </v:line>
            </w:pict>
          </mc:Fallback>
        </mc:AlternateContent>
        <mc:AlternateContent>
          <mc:Choice Requires="wps">
            <w:drawing>
              <wp:anchor simplePos="0" relativeHeight="251657728" behindDoc="1" locked="0" layoutInCell="0" allowOverlap="1">
                <wp:simplePos x="0" y="0"/>
                <wp:positionH relativeFrom="page">
                  <wp:posOffset>671195</wp:posOffset>
                </wp:positionH>
                <wp:positionV relativeFrom="page">
                  <wp:posOffset>1279525</wp:posOffset>
                </wp:positionV>
                <wp:extent cx="620077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00775"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2.85pt,100.75pt" to="541.1pt,100.75pt" o:allowincell="f" strokecolor="#000000" strokeweight="0.4809pt">
                <w10:wrap anchorx="page" anchory="page"/>
              </v:line>
            </w:pict>
          </mc:Fallback>
        </mc:AlternateConten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UNITED STATES</w:t>
      </w: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(Mark One)</w:t>
      </w:r>
    </w:p>
    <w:p>
      <w:pPr>
        <w:spacing w:after="0" w:line="95" w:lineRule="exact"/>
        <w:rPr>
          <w:sz w:val="20"/>
          <w:szCs w:val="20"/>
          <w:color w:val="auto"/>
        </w:rPr>
      </w:pPr>
    </w:p>
    <w:p>
      <w:pPr>
        <w:ind w:left="1920" w:hanging="253"/>
        <w:spacing w:after="0"/>
        <w:tabs>
          <w:tab w:leader="none" w:pos="19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2025</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OR</w:t>
      </w:r>
    </w:p>
    <w:p>
      <w:pPr>
        <w:spacing w:after="0" w:line="94" w:lineRule="exact"/>
        <w:rPr>
          <w:sz w:val="20"/>
          <w:szCs w:val="20"/>
          <w:color w:val="auto"/>
        </w:rPr>
      </w:pPr>
    </w:p>
    <w:p>
      <w:pPr>
        <w:ind w:left="1780" w:hanging="257"/>
        <w:spacing w:after="0"/>
        <w:tabs>
          <w:tab w:leader="none" w:pos="178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37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to</w:t>
            </w:r>
          </w:p>
        </w:tc>
      </w:tr>
      <w:tr>
        <w:trPr>
          <w:trHeight w:val="241"/>
        </w:trPr>
        <w:tc>
          <w:tcPr>
            <w:tcW w:w="2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80" w:type="dxa"/>
            <w:vAlign w:val="bottom"/>
          </w:tcPr>
          <w:p>
            <w:pPr>
              <w:jc w:val="center"/>
              <w:ind w:left="370"/>
              <w:spacing w:after="0"/>
              <w:rPr>
                <w:sz w:val="20"/>
                <w:szCs w:val="20"/>
                <w:color w:val="auto"/>
              </w:rPr>
            </w:pPr>
            <w:r>
              <w:rPr>
                <w:rFonts w:ascii="Times New Roman" w:cs="Times New Roman" w:eastAsia="Times New Roman" w:hAnsi="Times New Roman"/>
                <w:sz w:val="14"/>
                <w:szCs w:val="14"/>
                <w:b w:val="1"/>
                <w:bCs w:val="1"/>
                <w:color w:val="auto"/>
                <w:w w:val="97"/>
              </w:rPr>
              <w:t>Commission file number 001 - 38899</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348"/>
        </w:trPr>
        <w:tc>
          <w:tcPr>
            <w:tcW w:w="2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0" w:type="dxa"/>
            <w:vAlign w:val="bottom"/>
            <w:gridSpan w:val="5"/>
          </w:tcPr>
          <w:p>
            <w:pPr>
              <w:jc w:val="center"/>
              <w:ind w:right="3050"/>
              <w:spacing w:after="0"/>
              <w:rPr>
                <w:sz w:val="20"/>
                <w:szCs w:val="20"/>
                <w:color w:val="auto"/>
              </w:rPr>
            </w:pPr>
            <w:r>
              <w:rPr>
                <w:rFonts w:ascii="Times New Roman" w:cs="Times New Roman" w:eastAsia="Times New Roman" w:hAnsi="Times New Roman"/>
                <w:sz w:val="26"/>
                <w:szCs w:val="26"/>
                <w:b w:val="1"/>
                <w:bCs w:val="1"/>
                <w:color w:val="auto"/>
                <w:w w:val="99"/>
              </w:rPr>
              <w:t>Milestone Pharmaceuticals Inc.</w:t>
            </w:r>
          </w:p>
        </w:tc>
      </w:tr>
      <w:tr>
        <w:trPr>
          <w:trHeight w:val="188"/>
        </w:trPr>
        <w:tc>
          <w:tcPr>
            <w:tcW w:w="2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20" w:type="dxa"/>
            <w:vAlign w:val="bottom"/>
            <w:gridSpan w:val="4"/>
          </w:tcPr>
          <w:p>
            <w:pPr>
              <w:jc w:val="center"/>
              <w:ind w:right="3230"/>
              <w:spacing w:after="0"/>
              <w:rPr>
                <w:sz w:val="20"/>
                <w:szCs w:val="20"/>
                <w:color w:val="auto"/>
              </w:rPr>
            </w:pPr>
            <w:r>
              <w:rPr>
                <w:rFonts w:ascii="Times New Roman" w:cs="Times New Roman" w:eastAsia="Times New Roman" w:hAnsi="Times New Roman"/>
                <w:sz w:val="14"/>
                <w:szCs w:val="14"/>
                <w:color w:val="auto"/>
                <w:w w:val="99"/>
              </w:rPr>
              <w:t>(Exact name of registrant as specified in its charter)</w:t>
            </w:r>
          </w:p>
        </w:tc>
      </w:tr>
      <w:tr>
        <w:trPr>
          <w:trHeight w:val="233"/>
        </w:trPr>
        <w:tc>
          <w:tcPr>
            <w:tcW w:w="2120" w:type="dxa"/>
            <w:vAlign w:val="bottom"/>
          </w:tcPr>
          <w:p>
            <w:pPr>
              <w:spacing w:after="0"/>
              <w:rPr>
                <w:sz w:val="20"/>
                <w:szCs w:val="20"/>
                <w:color w:val="auto"/>
              </w:rPr>
            </w:pPr>
          </w:p>
        </w:tc>
        <w:tc>
          <w:tcPr>
            <w:tcW w:w="3860" w:type="dxa"/>
            <w:vAlign w:val="bottom"/>
            <w:gridSpan w:val="3"/>
          </w:tcPr>
          <w:p>
            <w:pPr>
              <w:jc w:val="center"/>
              <w:ind w:right="3250"/>
              <w:spacing w:after="0"/>
              <w:rPr>
                <w:sz w:val="20"/>
                <w:szCs w:val="20"/>
                <w:color w:val="auto"/>
              </w:rPr>
            </w:pPr>
            <w:r>
              <w:rPr>
                <w:rFonts w:ascii="Times New Roman" w:cs="Times New Roman" w:eastAsia="Times New Roman" w:hAnsi="Times New Roman"/>
                <w:sz w:val="14"/>
                <w:szCs w:val="14"/>
                <w:b w:val="1"/>
                <w:bCs w:val="1"/>
                <w:color w:val="auto"/>
              </w:rPr>
              <w:t>Québec</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tcPr>
          <w:p>
            <w:pPr>
              <w:jc w:val="center"/>
              <w:ind w:right="1570"/>
              <w:spacing w:after="0"/>
              <w:rPr>
                <w:sz w:val="20"/>
                <w:szCs w:val="20"/>
                <w:color w:val="auto"/>
              </w:rPr>
            </w:pPr>
            <w:r>
              <w:rPr>
                <w:rFonts w:ascii="Times New Roman" w:cs="Times New Roman" w:eastAsia="Times New Roman" w:hAnsi="Times New Roman"/>
                <w:sz w:val="14"/>
                <w:szCs w:val="14"/>
                <w:b w:val="1"/>
                <w:bCs w:val="1"/>
                <w:color w:val="auto"/>
              </w:rPr>
              <w:t>Not applicable</w:t>
            </w:r>
          </w:p>
        </w:tc>
      </w:tr>
      <w:tr>
        <w:trPr>
          <w:trHeight w:val="188"/>
        </w:trPr>
        <w:tc>
          <w:tcPr>
            <w:tcW w:w="5980" w:type="dxa"/>
            <w:vAlign w:val="bottom"/>
            <w:gridSpan w:val="4"/>
          </w:tcPr>
          <w:p>
            <w:pPr>
              <w:jc w:val="center"/>
              <w:ind w:right="115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740" w:type="dxa"/>
            <w:vAlign w:val="bottom"/>
            <w:gridSpan w:val="3"/>
          </w:tcPr>
          <w:p>
            <w:pPr>
              <w:jc w:val="center"/>
              <w:ind w:right="950"/>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47"/>
        </w:trPr>
        <w:tc>
          <w:tcPr>
            <w:tcW w:w="5980" w:type="dxa"/>
            <w:vAlign w:val="bottom"/>
            <w:gridSpan w:val="4"/>
          </w:tcPr>
          <w:p>
            <w:pPr>
              <w:jc w:val="center"/>
              <w:ind w:right="1150"/>
              <w:spacing w:after="0"/>
              <w:rPr>
                <w:sz w:val="20"/>
                <w:szCs w:val="20"/>
                <w:color w:val="auto"/>
              </w:rPr>
            </w:pPr>
            <w:r>
              <w:rPr>
                <w:rFonts w:ascii="Times New Roman" w:cs="Times New Roman" w:eastAsia="Times New Roman" w:hAnsi="Times New Roman"/>
                <w:sz w:val="14"/>
                <w:szCs w:val="14"/>
                <w:b w:val="1"/>
                <w:bCs w:val="1"/>
                <w:color w:val="auto"/>
                <w:w w:val="99"/>
              </w:rPr>
              <w:t>1111 Dr. Frederik-Phillips Boulevard, Suite 420</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20" w:type="dxa"/>
            <w:vAlign w:val="bottom"/>
          </w:tcPr>
          <w:p>
            <w:pPr>
              <w:spacing w:after="0"/>
              <w:rPr>
                <w:sz w:val="21"/>
                <w:szCs w:val="21"/>
                <w:color w:val="auto"/>
              </w:rPr>
            </w:pPr>
          </w:p>
        </w:tc>
      </w:tr>
      <w:tr>
        <w:trPr>
          <w:trHeight w:val="164"/>
        </w:trPr>
        <w:tc>
          <w:tcPr>
            <w:tcW w:w="5980" w:type="dxa"/>
            <w:vAlign w:val="bottom"/>
            <w:gridSpan w:val="4"/>
          </w:tcPr>
          <w:p>
            <w:pPr>
              <w:jc w:val="center"/>
              <w:ind w:right="1150"/>
              <w:spacing w:after="0"/>
              <w:rPr>
                <w:sz w:val="20"/>
                <w:szCs w:val="20"/>
                <w:color w:val="auto"/>
              </w:rPr>
            </w:pPr>
            <w:r>
              <w:rPr>
                <w:rFonts w:ascii="Times New Roman" w:cs="Times New Roman" w:eastAsia="Times New Roman" w:hAnsi="Times New Roman"/>
                <w:sz w:val="14"/>
                <w:szCs w:val="14"/>
                <w:b w:val="1"/>
                <w:bCs w:val="1"/>
                <w:color w:val="auto"/>
              </w:rPr>
              <w:t>Montréal, Québec CA</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20" w:type="dxa"/>
            <w:vAlign w:val="bottom"/>
          </w:tcPr>
          <w:p>
            <w:pPr>
              <w:jc w:val="center"/>
              <w:ind w:right="1590"/>
              <w:spacing w:after="0"/>
              <w:rPr>
                <w:sz w:val="20"/>
                <w:szCs w:val="20"/>
                <w:color w:val="auto"/>
              </w:rPr>
            </w:pPr>
            <w:r>
              <w:rPr>
                <w:rFonts w:ascii="Times New Roman" w:cs="Times New Roman" w:eastAsia="Times New Roman" w:hAnsi="Times New Roman"/>
                <w:sz w:val="14"/>
                <w:szCs w:val="14"/>
                <w:b w:val="1"/>
                <w:bCs w:val="1"/>
                <w:color w:val="auto"/>
                <w:w w:val="98"/>
              </w:rPr>
              <w:t>H4M 2X6</w:t>
            </w:r>
          </w:p>
        </w:tc>
      </w:tr>
      <w:tr>
        <w:trPr>
          <w:trHeight w:val="188"/>
        </w:trPr>
        <w:tc>
          <w:tcPr>
            <w:tcW w:w="5980" w:type="dxa"/>
            <w:vAlign w:val="bottom"/>
            <w:gridSpan w:val="4"/>
          </w:tcPr>
          <w:p>
            <w:pPr>
              <w:jc w:val="center"/>
              <w:ind w:right="1150"/>
              <w:spacing w:after="0"/>
              <w:rPr>
                <w:sz w:val="20"/>
                <w:szCs w:val="20"/>
                <w:color w:val="auto"/>
              </w:rPr>
            </w:pPr>
            <w:r>
              <w:rPr>
                <w:rFonts w:ascii="Times New Roman" w:cs="Times New Roman" w:eastAsia="Times New Roman" w:hAnsi="Times New Roman"/>
                <w:sz w:val="14"/>
                <w:szCs w:val="14"/>
                <w:color w:val="auto"/>
                <w:w w:val="99"/>
              </w:rPr>
              <w:t>(Address of Principal Executive Offices)</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20" w:type="dxa"/>
            <w:vAlign w:val="bottom"/>
          </w:tcPr>
          <w:p>
            <w:pPr>
              <w:jc w:val="center"/>
              <w:ind w:right="1590"/>
              <w:spacing w:after="0"/>
              <w:rPr>
                <w:sz w:val="20"/>
                <w:szCs w:val="20"/>
                <w:color w:val="auto"/>
              </w:rPr>
            </w:pPr>
            <w:r>
              <w:rPr>
                <w:rFonts w:ascii="Times New Roman" w:cs="Times New Roman" w:eastAsia="Times New Roman" w:hAnsi="Times New Roman"/>
                <w:sz w:val="14"/>
                <w:szCs w:val="14"/>
                <w:color w:val="auto"/>
              </w:rPr>
              <w:t>(Zip Code)</w:t>
            </w:r>
          </w:p>
        </w:tc>
      </w:tr>
      <w:tr>
        <w:trPr>
          <w:trHeight w:val="256"/>
        </w:trPr>
        <w:tc>
          <w:tcPr>
            <w:tcW w:w="2120" w:type="dxa"/>
            <w:vAlign w:val="bottom"/>
          </w:tcPr>
          <w:p>
            <w:pPr>
              <w:spacing w:after="0"/>
              <w:rPr>
                <w:sz w:val="22"/>
                <w:szCs w:val="22"/>
                <w:color w:val="auto"/>
              </w:rPr>
            </w:pPr>
          </w:p>
        </w:tc>
        <w:tc>
          <w:tcPr>
            <w:tcW w:w="7600" w:type="dxa"/>
            <w:vAlign w:val="bottom"/>
            <w:gridSpan w:val="6"/>
          </w:tcPr>
          <w:p>
            <w:pPr>
              <w:jc w:val="center"/>
              <w:ind w:right="2050"/>
              <w:spacing w:after="0"/>
              <w:rPr>
                <w:sz w:val="20"/>
                <w:szCs w:val="20"/>
                <w:color w:val="auto"/>
              </w:rPr>
            </w:pPr>
            <w:r>
              <w:rPr>
                <w:rFonts w:ascii="Times New Roman" w:cs="Times New Roman" w:eastAsia="Times New Roman" w:hAnsi="Times New Roman"/>
                <w:sz w:val="14"/>
                <w:szCs w:val="14"/>
                <w:color w:val="auto"/>
                <w:w w:val="97"/>
              </w:rPr>
              <w:t xml:space="preserve">Registrant’s telephone number, including area code </w:t>
            </w:r>
            <w:r>
              <w:rPr>
                <w:rFonts w:ascii="Times New Roman" w:cs="Times New Roman" w:eastAsia="Times New Roman" w:hAnsi="Times New Roman"/>
                <w:sz w:val="14"/>
                <w:szCs w:val="14"/>
                <w:b w:val="1"/>
                <w:bCs w:val="1"/>
                <w:color w:val="auto"/>
                <w:w w:val="97"/>
              </w:rPr>
              <w:t>(514) - 336 - 0444</w:t>
            </w:r>
          </w:p>
        </w:tc>
      </w:tr>
      <w:tr>
        <w:trPr>
          <w:trHeight w:val="241"/>
        </w:trPr>
        <w:tc>
          <w:tcPr>
            <w:tcW w:w="2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0" w:type="dxa"/>
            <w:vAlign w:val="bottom"/>
            <w:gridSpan w:val="5"/>
          </w:tcPr>
          <w:p>
            <w:pPr>
              <w:jc w:val="center"/>
              <w:ind w:right="305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285"/>
        </w:trPr>
        <w:tc>
          <w:tcPr>
            <w:tcW w:w="2120" w:type="dxa"/>
            <w:vAlign w:val="bottom"/>
            <w:tcBorders>
              <w:bottom w:val="single" w:sz="8" w:color="auto"/>
            </w:tcBorders>
          </w:tcPr>
          <w:p>
            <w:pPr>
              <w:jc w:val="center"/>
              <w:ind w:left="930"/>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10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68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4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178"/>
        </w:trPr>
        <w:tc>
          <w:tcPr>
            <w:tcW w:w="2120" w:type="dxa"/>
            <w:vAlign w:val="bottom"/>
          </w:tcPr>
          <w:p>
            <w:pPr>
              <w:jc w:val="center"/>
              <w:ind w:left="930"/>
              <w:spacing w:after="0"/>
              <w:rPr>
                <w:sz w:val="20"/>
                <w:szCs w:val="20"/>
                <w:color w:val="auto"/>
              </w:rPr>
            </w:pPr>
            <w:r>
              <w:rPr>
                <w:rFonts w:ascii="Times New Roman" w:cs="Times New Roman" w:eastAsia="Times New Roman" w:hAnsi="Times New Roman"/>
                <w:sz w:val="14"/>
                <w:szCs w:val="14"/>
                <w:color w:val="auto"/>
                <w:w w:val="98"/>
              </w:rPr>
              <w:t>Common Shares</w:t>
            </w: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80" w:type="dxa"/>
            <w:vAlign w:val="bottom"/>
          </w:tcPr>
          <w:p>
            <w:pPr>
              <w:jc w:val="center"/>
              <w:ind w:left="370"/>
              <w:spacing w:after="0"/>
              <w:rPr>
                <w:sz w:val="20"/>
                <w:szCs w:val="20"/>
                <w:color w:val="auto"/>
              </w:rPr>
            </w:pPr>
            <w:r>
              <w:rPr>
                <w:rFonts w:ascii="Times New Roman" w:cs="Times New Roman" w:eastAsia="Times New Roman" w:hAnsi="Times New Roman"/>
                <w:sz w:val="14"/>
                <w:szCs w:val="14"/>
                <w:color w:val="auto"/>
                <w:w w:val="95"/>
              </w:rPr>
              <w:t>MIST</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The Nasdaq Stock Market LLC</w:t>
            </w:r>
          </w:p>
        </w:tc>
      </w:tr>
    </w:tbl>
    <w:p>
      <w:pPr>
        <w:spacing w:after="0" w:line="6" w:lineRule="exact"/>
        <w:rPr>
          <w:sz w:val="20"/>
          <w:szCs w:val="20"/>
          <w:color w:val="auto"/>
        </w:rPr>
      </w:pPr>
    </w:p>
    <w:p>
      <w:pPr>
        <w:ind w:left="1360" w:right="880" w:firstLine="42"/>
        <w:spacing w:after="0" w:line="288"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0"/>
          <w:szCs w:val="20"/>
          <w:color w:val="auto"/>
        </w:rPr>
      </w:pPr>
    </w:p>
    <w:p>
      <w:pPr>
        <w:ind w:firstLine="534"/>
        <w:spacing w:after="0" w:line="228"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0"/>
          <w:szCs w:val="20"/>
          <w:color w:val="auto"/>
        </w:rPr>
      </w:pPr>
    </w:p>
    <w:p>
      <w:pPr>
        <w:jc w:val="cente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0" w:lineRule="exact"/>
        <w:rPr>
          <w:sz w:val="20"/>
          <w:szCs w:val="20"/>
          <w:color w:val="auto"/>
        </w:rPr>
      </w:pPr>
    </w:p>
    <w:p>
      <w:pPr>
        <w:ind w:left="640" w:right="180" w:firstLine="13"/>
        <w:spacing w:after="0" w:line="21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if any,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0"/>
          <w:szCs w:val="20"/>
          <w:color w:val="auto"/>
        </w:rPr>
      </w:pPr>
    </w:p>
    <w:p>
      <w:pPr>
        <w:ind w:left="140" w:right="80" w:firstLine="422"/>
        <w:spacing w:after="0" w:line="259"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 - 2 of the</w:t>
      </w:r>
    </w:p>
    <w:p>
      <w:pPr>
        <w:jc w:val="center"/>
        <w:spacing w:after="0"/>
        <w:rPr>
          <w:sz w:val="20"/>
          <w:szCs w:val="20"/>
          <w:color w:val="auto"/>
        </w:rPr>
      </w:pPr>
      <w:r>
        <w:rPr>
          <w:rFonts w:ascii="Times New Roman" w:cs="Times New Roman" w:eastAsia="Times New Roman" w:hAnsi="Times New Roman"/>
          <w:sz w:val="14"/>
          <w:szCs w:val="14"/>
          <w:color w:val="auto"/>
        </w:rPr>
        <w:t>Exchange Act.</w:t>
      </w:r>
    </w:p>
    <w:p>
      <w:pPr>
        <w:spacing w:after="0" w:line="105" w:lineRule="exact"/>
        <w:rPr>
          <w:sz w:val="20"/>
          <w:szCs w:val="20"/>
          <w:color w:val="auto"/>
        </w:rPr>
      </w:pPr>
    </w:p>
    <w:p>
      <w:pPr>
        <w:ind w:left="380"/>
        <w:spacing w:after="0" w:line="161" w:lineRule="exact"/>
        <w:tabs>
          <w:tab w:leader="none" w:pos="2460" w:val="left"/>
          <w:tab w:leader="none" w:pos="4240" w:val="left"/>
          <w:tab w:leader="none" w:pos="6100" w:val="left"/>
          <w:tab w:leader="none" w:pos="8080" w:val="left"/>
        </w:tabs>
        <w:rPr>
          <w:sz w:val="20"/>
          <w:szCs w:val="20"/>
          <w:color w:val="auto"/>
        </w:rPr>
      </w:pPr>
      <w:r>
        <w:rPr>
          <w:rFonts w:ascii="Times New Roman" w:cs="Times New Roman" w:eastAsia="Times New Roman" w:hAnsi="Times New Roman"/>
          <w:sz w:val="12"/>
          <w:szCs w:val="12"/>
          <w:color w:val="auto"/>
        </w:rPr>
        <w:t xml:space="preserve">Large accelerated filer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2"/>
          <w:szCs w:val="12"/>
          <w:color w:val="auto"/>
        </w:rPr>
        <w:t xml:space="preserve">Accelerated filer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2"/>
          <w:szCs w:val="12"/>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2"/>
          <w:szCs w:val="12"/>
          <w:color w:val="auto"/>
        </w:rPr>
        <w:t xml:space="preserve">Smaller reporting company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161" w:lineRule="exact"/>
        <w:rPr>
          <w:sz w:val="20"/>
          <w:szCs w:val="20"/>
          <w:color w:val="auto"/>
        </w:rPr>
      </w:pPr>
    </w:p>
    <w:p>
      <w:pPr>
        <w:ind w:left="2340" w:right="20" w:hanging="1842"/>
        <w:spacing w:after="0" w:line="21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ind w:left="600"/>
        <w:spacing w:after="0"/>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w:t>
      </w:r>
    </w:p>
    <w:p>
      <w:pPr>
        <w:ind w:left="40"/>
        <w:spacing w:after="0" w:line="187" w:lineRule="auto"/>
        <w:rPr>
          <w:sz w:val="20"/>
          <w:szCs w:val="20"/>
          <w:color w:val="auto"/>
        </w:rPr>
      </w:pPr>
      <w:r>
        <w:rPr>
          <w:rFonts w:ascii="Times New Roman" w:cs="Times New Roman" w:eastAsia="Times New Roman" w:hAnsi="Times New Roman"/>
          <w:sz w:val="13"/>
          <w:szCs w:val="13"/>
          <w:color w:val="auto"/>
        </w:rPr>
        <w:t>financial reporting under Section 404(b) of the Sarbanes-Oxley Act (15 U.S.C 7262(b)) by the registered public accounting firm that prepared or issued its audit report. Yes</w:t>
      </w:r>
    </w:p>
    <w:p>
      <w:pPr>
        <w:jc w:val="center"/>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9" w:lineRule="exact"/>
        <w:rPr>
          <w:sz w:val="20"/>
          <w:szCs w:val="20"/>
          <w:color w:val="auto"/>
        </w:rPr>
      </w:pPr>
    </w:p>
    <w:p>
      <w:pPr>
        <w:ind w:left="2720" w:right="200" w:hanging="2038"/>
        <w:spacing w:after="0" w:line="214"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0"/>
          <w:szCs w:val="20"/>
          <w:color w:val="auto"/>
        </w:rPr>
      </w:pPr>
    </w:p>
    <w:p>
      <w:pPr>
        <w:ind w:left="2080" w:right="20" w:hanging="1590"/>
        <w:spacing w:after="0" w:line="192" w:lineRule="exact"/>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w:t>
      </w:r>
      <w:r>
        <w:rPr>
          <w:rFonts w:ascii="MS PMincho" w:cs="MS PMincho" w:eastAsia="MS PMincho" w:hAnsi="MS PMincho"/>
          <w:sz w:val="14"/>
          <w:szCs w:val="14"/>
          <w:color w:val="auto"/>
        </w:rPr>
        <w:t>‐</w:t>
      </w:r>
      <w:r>
        <w:rPr>
          <w:rFonts w:ascii="Times New Roman" w:cs="Times New Roman" w:eastAsia="Times New Roman" w:hAnsi="Times New Roman"/>
          <w:sz w:val="14"/>
          <w:szCs w:val="14"/>
          <w:color w:val="auto"/>
        </w:rPr>
        <w:t>based compensation received by any of the registrant’s executive officers during the relevant recovery period pursuant to §240.10D</w:t>
      </w:r>
      <w:r>
        <w:rPr>
          <w:rFonts w:ascii="MS PMincho" w:cs="MS PMincho" w:eastAsia="MS PMincho" w:hAnsi="MS PMincho"/>
          <w:sz w:val="14"/>
          <w:szCs w:val="14"/>
          <w:color w:val="auto"/>
        </w:rPr>
        <w:t>‐</w:t>
      </w:r>
      <w:r>
        <w:rPr>
          <w:rFonts w:ascii="Times New Roman" w:cs="Times New Roman" w:eastAsia="Times New Roman" w:hAnsi="Times New Roman"/>
          <w:sz w:val="14"/>
          <w:szCs w:val="14"/>
          <w:color w:val="auto"/>
        </w:rPr>
        <w:t>1(b).</w:t>
      </w:r>
      <w:r>
        <w:rPr>
          <w:rFonts w:ascii="MS PGothic" w:cs="MS PGothic" w:eastAsia="MS PGothic" w:hAnsi="MS PGothic"/>
          <w:sz w:val="14"/>
          <w:szCs w:val="14"/>
          <w:color w:val="auto"/>
        </w:rPr>
        <w:t>☐</w:t>
      </w:r>
    </w:p>
    <w:p>
      <w:pPr>
        <w:spacing w:after="0" w:line="1" w:lineRule="exact"/>
        <w:rPr>
          <w:sz w:val="20"/>
          <w:szCs w:val="20"/>
          <w:color w:val="auto"/>
        </w:rPr>
      </w:pPr>
    </w:p>
    <w:p>
      <w:pPr>
        <w:jc w:val="center"/>
        <w:ind w:right="-479"/>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 - 2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49" w:lineRule="exact"/>
        <w:rPr>
          <w:sz w:val="20"/>
          <w:szCs w:val="20"/>
          <w:color w:val="auto"/>
        </w:rPr>
      </w:pPr>
    </w:p>
    <w:p>
      <w:pPr>
        <w:ind w:left="380" w:right="40" w:firstLine="137"/>
        <w:spacing w:after="0" w:line="319" w:lineRule="auto"/>
        <w:rPr>
          <w:sz w:val="20"/>
          <w:szCs w:val="20"/>
          <w:color w:val="auto"/>
        </w:rPr>
      </w:pPr>
      <w:r>
        <w:rPr>
          <w:rFonts w:ascii="Times New Roman" w:cs="Times New Roman" w:eastAsia="Times New Roman" w:hAnsi="Times New Roman"/>
          <w:sz w:val="13"/>
          <w:szCs w:val="13"/>
          <w:color w:val="auto"/>
        </w:rPr>
        <w:t>The aggregate market value (approximate) of the registrant’s common equity held by non-affiliates based on the closing price of a share of the registrant’s common share for The Nasdaq Stock Market on June 30, 2025 (the last business day of the registrant’s most recently completed second fiscal quarter) was $98.9 million.</w:t>
      </w:r>
    </w:p>
    <w:p>
      <w:pPr>
        <w:spacing w:after="0" w:line="5" w:lineRule="exact"/>
        <w:rPr>
          <w:sz w:val="20"/>
          <w:szCs w:val="20"/>
          <w:color w:val="auto"/>
        </w:rPr>
      </w:pPr>
    </w:p>
    <w:p>
      <w:pPr>
        <w:jc w:val="center"/>
        <w:ind w:left="1560" w:right="560"/>
        <w:spacing w:after="0" w:line="358" w:lineRule="auto"/>
        <w:rPr>
          <w:sz w:val="20"/>
          <w:szCs w:val="20"/>
          <w:color w:val="auto"/>
        </w:rPr>
      </w:pPr>
      <w:r>
        <w:rPr>
          <w:rFonts w:ascii="Times New Roman" w:cs="Times New Roman" w:eastAsia="Times New Roman" w:hAnsi="Times New Roman"/>
          <w:sz w:val="14"/>
          <w:szCs w:val="14"/>
          <w:color w:val="auto"/>
        </w:rPr>
        <w:t xml:space="preserve">As of March 20, 2026, the total number of shares outstanding of the registrant’s Common Shares was 117,667,277 shares, net of treasury shares. </w:t>
      </w:r>
      <w:r>
        <w:rPr>
          <w:rFonts w:ascii="Times New Roman" w:cs="Times New Roman" w:eastAsia="Times New Roman" w:hAnsi="Times New Roman"/>
          <w:sz w:val="14"/>
          <w:szCs w:val="14"/>
          <w:b w:val="1"/>
          <w:bCs w:val="1"/>
          <w:color w:val="auto"/>
        </w:rPr>
        <w:t>DOCUMENTS INCORPORATED BY REFERENCE:</w:t>
      </w:r>
    </w:p>
    <w:p>
      <w:pPr>
        <w:spacing w:after="0" w:line="1" w:lineRule="exact"/>
        <w:rPr>
          <w:sz w:val="20"/>
          <w:szCs w:val="20"/>
          <w:color w:val="auto"/>
        </w:rPr>
      </w:pPr>
    </w:p>
    <w:p>
      <w:pPr>
        <w:jc w:val="center"/>
        <w:ind w:left="1560" w:right="160"/>
        <w:spacing w:after="0" w:line="279" w:lineRule="auto"/>
        <w:rPr>
          <w:sz w:val="20"/>
          <w:szCs w:val="20"/>
          <w:color w:val="auto"/>
        </w:rPr>
      </w:pPr>
      <w:r>
        <w:rPr>
          <w:rFonts w:ascii="Times New Roman" w:cs="Times New Roman" w:eastAsia="Times New Roman" w:hAnsi="Times New Roman"/>
          <w:sz w:val="14"/>
          <w:szCs w:val="14"/>
          <w:color w:val="auto"/>
        </w:rPr>
        <w:t>Portions of the registrant’s definitive proxy statement for the registrant’s 2025 annual meeting of stockholders, to be filed within 120 days after the close of the registrant’s fiscal year, are incorporated by reference into Part III of this Annual Report.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69215</wp:posOffset>
                </wp:positionV>
                <wp:extent cx="620014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0014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5.45pt" to="487.1pt,5.45pt" o:allowincell="f" strokecolor="#000000" strokeweight="0.4809pt"/>
            </w:pict>
          </mc:Fallback>
        </mc:AlternateContent>
        <mc:AlternateContent>
          <mc:Choice Requires="wps">
            <w:drawing>
              <wp:anchor simplePos="0" relativeHeight="251657728" behindDoc="1" locked="0" layoutInCell="0" allowOverlap="1">
                <wp:simplePos x="0" y="0"/>
                <wp:positionH relativeFrom="column">
                  <wp:posOffset>-13970</wp:posOffset>
                </wp:positionH>
                <wp:positionV relativeFrom="paragraph">
                  <wp:posOffset>130810</wp:posOffset>
                </wp:positionV>
                <wp:extent cx="620014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00140" cy="4763"/>
                        </a:xfrm>
                        <a:prstGeom prst="line">
                          <a:avLst/>
                        </a:prstGeom>
                        <a:solidFill>
                          <a:srgbClr val="FFFFFF"/>
                        </a:solidFill>
                        <a:ln w="3810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0.3pt" to="487.1pt,10.3pt" o:allowincell="f" strokecolor="#000000" strokeweight="3pt"/>
            </w:pict>
          </mc:Fallback>
        </mc:AlternateContent>
      </w:r>
    </w:p>
    <w:p>
      <w:pPr>
        <w:sectPr>
          <w:pgSz w:w="11880" w:h="15480" w:orient="portrait"/>
          <w:cols w:equalWidth="0" w:num="1">
            <w:col w:w="9720"/>
          </w:cols>
          <w:pgMar w:left="1080" w:top="1440" w:right="108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162" w:lineRule="exact"/>
        <w:rPr>
          <w:sz w:val="20"/>
          <w:szCs w:val="20"/>
          <w:color w:val="auto"/>
        </w:rPr>
      </w:pPr>
    </w:p>
    <w:p>
      <w:pPr>
        <w:spacing w:after="0"/>
        <w:tabs>
          <w:tab w:leader="none" w:pos="9600" w:val="left"/>
        </w:tabs>
        <w:rPr>
          <w:sz w:val="20"/>
          <w:szCs w:val="20"/>
          <w:color w:val="auto"/>
        </w:rPr>
      </w:pPr>
      <w:r>
        <w:rPr>
          <w:rFonts w:ascii="Times New Roman" w:cs="Times New Roman" w:eastAsia="Times New Roman" w:hAnsi="Times New Roman"/>
          <w:sz w:val="20"/>
          <w:szCs w:val="20"/>
          <w:color w:val="auto"/>
        </w:rPr>
        <w:t>Special Note Regarding Forward-Looking Statements . . . . . . . . . . . . . . . . . . . . . . . . . . . . . . . . . . . . . . . . . . . . . . . . . .</w:t>
      </w:r>
      <w:r>
        <w:rPr>
          <w:sz w:val="20"/>
          <w:szCs w:val="20"/>
          <w:color w:val="auto"/>
        </w:rPr>
        <w:tab/>
      </w:r>
      <w:r>
        <w:rPr>
          <w:rFonts w:ascii="Times New Roman" w:cs="Times New Roman" w:eastAsia="Times New Roman" w:hAnsi="Times New Roman"/>
          <w:sz w:val="20"/>
          <w:szCs w:val="20"/>
          <w:color w:val="auto"/>
        </w:rPr>
        <w:t>3</w:t>
      </w:r>
    </w:p>
    <w:p>
      <w:pPr>
        <w:spacing w:after="0" w:line="138" w:lineRule="exact"/>
        <w:rPr>
          <w:sz w:val="20"/>
          <w:szCs w:val="20"/>
          <w:color w:val="auto"/>
        </w:rPr>
      </w:pPr>
    </w:p>
    <w:p>
      <w:pPr>
        <w:spacing w:after="0"/>
        <w:tabs>
          <w:tab w:leader="none" w:pos="9600" w:val="left"/>
        </w:tabs>
        <w:rPr>
          <w:sz w:val="20"/>
          <w:szCs w:val="20"/>
          <w:color w:val="auto"/>
        </w:rPr>
      </w:pPr>
      <w:r>
        <w:rPr>
          <w:rFonts w:ascii="Times New Roman" w:cs="Times New Roman" w:eastAsia="Times New Roman" w:hAnsi="Times New Roman"/>
          <w:sz w:val="20"/>
          <w:szCs w:val="20"/>
          <w:color w:val="auto"/>
        </w:rPr>
        <w:t>Summary of Risk Factors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140" w:lineRule="exact"/>
        <w:rPr>
          <w:sz w:val="20"/>
          <w:szCs w:val="20"/>
          <w:color w:val="auto"/>
        </w:rPr>
      </w:pPr>
    </w:p>
    <w:p>
      <w:pPr>
        <w:spacing w:after="0"/>
        <w:tabs>
          <w:tab w:leader="none" w:pos="9600" w:val="left"/>
        </w:tabs>
        <w:rPr>
          <w:sz w:val="20"/>
          <w:szCs w:val="20"/>
          <w:color w:val="auto"/>
        </w:rPr>
      </w:pPr>
      <w:r>
        <w:rPr>
          <w:rFonts w:ascii="Times New Roman" w:cs="Times New Roman" w:eastAsia="Times New Roman" w:hAnsi="Times New Roman"/>
          <w:sz w:val="20"/>
          <w:szCs w:val="20"/>
          <w:color w:val="auto"/>
        </w:rPr>
        <w:t>Item 1. Business .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7</w:t>
      </w:r>
    </w:p>
    <w:p>
      <w:pPr>
        <w:spacing w:after="0" w:line="138" w:lineRule="exact"/>
        <w:rPr>
          <w:sz w:val="20"/>
          <w:szCs w:val="20"/>
          <w:color w:val="auto"/>
        </w:rPr>
      </w:pPr>
    </w:p>
    <w:p>
      <w:pPr>
        <w:spacing w:after="0"/>
        <w:tabs>
          <w:tab w:leader="none" w:pos="9500" w:val="left"/>
        </w:tabs>
        <w:rPr>
          <w:sz w:val="20"/>
          <w:szCs w:val="20"/>
          <w:color w:val="auto"/>
        </w:rPr>
      </w:pPr>
      <w:r>
        <w:rPr>
          <w:rFonts w:ascii="Times New Roman" w:cs="Times New Roman" w:eastAsia="Times New Roman" w:hAnsi="Times New Roman"/>
          <w:sz w:val="20"/>
          <w:szCs w:val="20"/>
          <w:color w:val="auto"/>
        </w:rPr>
        <w:t>Item 1A. Risk Factors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29</w:t>
      </w:r>
    </w:p>
    <w:p>
      <w:pPr>
        <w:spacing w:after="0" w:line="138" w:lineRule="exact"/>
        <w:rPr>
          <w:sz w:val="20"/>
          <w:szCs w:val="20"/>
          <w:color w:val="auto"/>
        </w:rPr>
      </w:pPr>
    </w:p>
    <w:p>
      <w:pPr>
        <w:spacing w:after="0"/>
        <w:tabs>
          <w:tab w:leader="none" w:pos="9500" w:val="left"/>
        </w:tabs>
        <w:rPr>
          <w:sz w:val="20"/>
          <w:szCs w:val="20"/>
          <w:color w:val="auto"/>
        </w:rPr>
      </w:pPr>
      <w:r>
        <w:rPr>
          <w:rFonts w:ascii="Times New Roman" w:cs="Times New Roman" w:eastAsia="Times New Roman" w:hAnsi="Times New Roman"/>
          <w:sz w:val="20"/>
          <w:szCs w:val="20"/>
          <w:color w:val="auto"/>
        </w:rPr>
        <w:t>Item 1B. Unresolved Staff Comments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74</w:t>
      </w:r>
    </w:p>
    <w:p>
      <w:pPr>
        <w:spacing w:after="0" w:line="137" w:lineRule="exact"/>
        <w:rPr>
          <w:sz w:val="20"/>
          <w:szCs w:val="20"/>
          <w:color w:val="auto"/>
        </w:rPr>
      </w:pPr>
    </w:p>
    <w:p>
      <w:pPr>
        <w:spacing w:after="0"/>
        <w:tabs>
          <w:tab w:leader="none" w:pos="9500" w:val="left"/>
        </w:tabs>
        <w:rPr>
          <w:sz w:val="20"/>
          <w:szCs w:val="20"/>
          <w:color w:val="auto"/>
        </w:rPr>
      </w:pPr>
      <w:r>
        <w:rPr>
          <w:rFonts w:ascii="Times New Roman" w:cs="Times New Roman" w:eastAsia="Times New Roman" w:hAnsi="Times New Roman"/>
          <w:sz w:val="20"/>
          <w:szCs w:val="20"/>
          <w:color w:val="auto"/>
        </w:rPr>
        <w:t>Item 1C. Cybersecurity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75</w:t>
      </w:r>
    </w:p>
    <w:p>
      <w:pPr>
        <w:spacing w:after="0" w:line="138" w:lineRule="exact"/>
        <w:rPr>
          <w:sz w:val="20"/>
          <w:szCs w:val="20"/>
          <w:color w:val="auto"/>
        </w:rPr>
      </w:pPr>
    </w:p>
    <w:p>
      <w:pPr>
        <w:spacing w:after="0"/>
        <w:tabs>
          <w:tab w:leader="none" w:pos="9500" w:val="left"/>
        </w:tabs>
        <w:rPr>
          <w:sz w:val="20"/>
          <w:szCs w:val="20"/>
          <w:color w:val="auto"/>
        </w:rPr>
      </w:pPr>
      <w:r>
        <w:rPr>
          <w:rFonts w:ascii="Times New Roman" w:cs="Times New Roman" w:eastAsia="Times New Roman" w:hAnsi="Times New Roman"/>
          <w:sz w:val="20"/>
          <w:szCs w:val="20"/>
          <w:color w:val="auto"/>
        </w:rPr>
        <w:t>Item 2. Properties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77</w:t>
      </w:r>
    </w:p>
    <w:p>
      <w:pPr>
        <w:spacing w:after="0" w:line="138" w:lineRule="exact"/>
        <w:rPr>
          <w:sz w:val="20"/>
          <w:szCs w:val="20"/>
          <w:color w:val="auto"/>
        </w:rPr>
      </w:pPr>
    </w:p>
    <w:p>
      <w:pPr>
        <w:spacing w:after="0"/>
        <w:tabs>
          <w:tab w:leader="none" w:pos="9500" w:val="left"/>
        </w:tabs>
        <w:rPr>
          <w:sz w:val="20"/>
          <w:szCs w:val="20"/>
          <w:color w:val="auto"/>
        </w:rPr>
      </w:pPr>
      <w:r>
        <w:rPr>
          <w:rFonts w:ascii="Times New Roman" w:cs="Times New Roman" w:eastAsia="Times New Roman" w:hAnsi="Times New Roman"/>
          <w:sz w:val="20"/>
          <w:szCs w:val="20"/>
          <w:color w:val="auto"/>
        </w:rPr>
        <w:t>Item 3. Legal Proceedings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77</w:t>
      </w:r>
    </w:p>
    <w:p>
      <w:pPr>
        <w:spacing w:after="0" w:line="137" w:lineRule="exact"/>
        <w:rPr>
          <w:sz w:val="20"/>
          <w:szCs w:val="20"/>
          <w:color w:val="auto"/>
        </w:rPr>
      </w:pPr>
    </w:p>
    <w:p>
      <w:pPr>
        <w:spacing w:after="0"/>
        <w:tabs>
          <w:tab w:leader="none" w:pos="9500" w:val="left"/>
        </w:tabs>
        <w:rPr>
          <w:sz w:val="20"/>
          <w:szCs w:val="20"/>
          <w:color w:val="auto"/>
        </w:rPr>
      </w:pPr>
      <w:r>
        <w:rPr>
          <w:rFonts w:ascii="Times New Roman" w:cs="Times New Roman" w:eastAsia="Times New Roman" w:hAnsi="Times New Roman"/>
          <w:sz w:val="20"/>
          <w:szCs w:val="20"/>
          <w:color w:val="auto"/>
        </w:rPr>
        <w:t>Item 4. Mine Safety Disclosures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77</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5. Market for Registrant’s Common Equity, Related Stockholder Matters and Issuer Purchases of Equity</w:t>
      </w:r>
    </w:p>
    <w:p>
      <w:pPr>
        <w:spacing w:after="0"/>
        <w:tabs>
          <w:tab w:leader="none" w:pos="9500" w:val="left"/>
        </w:tabs>
        <w:rPr>
          <w:sz w:val="20"/>
          <w:szCs w:val="20"/>
          <w:color w:val="auto"/>
        </w:rPr>
      </w:pPr>
      <w:r>
        <w:rPr>
          <w:rFonts w:ascii="Times New Roman" w:cs="Times New Roman" w:eastAsia="Times New Roman" w:hAnsi="Times New Roman"/>
          <w:sz w:val="20"/>
          <w:szCs w:val="20"/>
          <w:color w:val="auto"/>
        </w:rPr>
        <w:t>Securities . . . . . . . . . . . .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78</w:t>
      </w:r>
    </w:p>
    <w:p>
      <w:pPr>
        <w:spacing w:after="0" w:line="138" w:lineRule="exact"/>
        <w:rPr>
          <w:sz w:val="20"/>
          <w:szCs w:val="20"/>
          <w:color w:val="auto"/>
        </w:rPr>
      </w:pPr>
    </w:p>
    <w:p>
      <w:pPr>
        <w:spacing w:after="0"/>
        <w:tabs>
          <w:tab w:leader="none" w:pos="9500" w:val="left"/>
        </w:tabs>
        <w:rPr>
          <w:sz w:val="20"/>
          <w:szCs w:val="20"/>
          <w:color w:val="auto"/>
        </w:rPr>
      </w:pPr>
      <w:r>
        <w:rPr>
          <w:rFonts w:ascii="Times New Roman" w:cs="Times New Roman" w:eastAsia="Times New Roman" w:hAnsi="Times New Roman"/>
          <w:sz w:val="20"/>
          <w:szCs w:val="20"/>
          <w:color w:val="auto"/>
        </w:rPr>
        <w:t>Item 6. Selected Financial Data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78</w:t>
      </w:r>
    </w:p>
    <w:p>
      <w:pPr>
        <w:spacing w:after="0" w:line="137" w:lineRule="exact"/>
        <w:rPr>
          <w:sz w:val="20"/>
          <w:szCs w:val="20"/>
          <w:color w:val="auto"/>
        </w:rPr>
      </w:pPr>
    </w:p>
    <w:p>
      <w:pPr>
        <w:spacing w:after="0"/>
        <w:tabs>
          <w:tab w:leader="none" w:pos="9500" w:val="left"/>
        </w:tabs>
        <w:rPr>
          <w:sz w:val="20"/>
          <w:szCs w:val="20"/>
          <w:color w:val="auto"/>
        </w:rPr>
      </w:pPr>
      <w:r>
        <w:rPr>
          <w:rFonts w:ascii="Times New Roman" w:cs="Times New Roman" w:eastAsia="Times New Roman" w:hAnsi="Times New Roman"/>
          <w:sz w:val="20"/>
          <w:szCs w:val="20"/>
          <w:color w:val="auto"/>
        </w:rPr>
        <w:t>Item 7. Management’s Discussion and Analysis of Financial Condition and Results of Operations . . . . . . . . . . . . . .</w:t>
      </w:r>
      <w:r>
        <w:rPr>
          <w:sz w:val="20"/>
          <w:szCs w:val="20"/>
          <w:color w:val="auto"/>
        </w:rPr>
        <w:tab/>
      </w:r>
      <w:r>
        <w:rPr>
          <w:rFonts w:ascii="Times New Roman" w:cs="Times New Roman" w:eastAsia="Times New Roman" w:hAnsi="Times New Roman"/>
          <w:sz w:val="20"/>
          <w:szCs w:val="20"/>
          <w:color w:val="auto"/>
        </w:rPr>
        <w:t>79</w:t>
      </w:r>
    </w:p>
    <w:p>
      <w:pPr>
        <w:spacing w:after="0" w:line="138" w:lineRule="exact"/>
        <w:rPr>
          <w:sz w:val="20"/>
          <w:szCs w:val="20"/>
          <w:color w:val="auto"/>
        </w:rPr>
      </w:pPr>
    </w:p>
    <w:p>
      <w:pPr>
        <w:spacing w:after="0"/>
        <w:tabs>
          <w:tab w:leader="none" w:pos="9500" w:val="left"/>
        </w:tabs>
        <w:rPr>
          <w:sz w:val="20"/>
          <w:szCs w:val="20"/>
          <w:color w:val="auto"/>
        </w:rPr>
      </w:pPr>
      <w:r>
        <w:rPr>
          <w:rFonts w:ascii="Times New Roman" w:cs="Times New Roman" w:eastAsia="Times New Roman" w:hAnsi="Times New Roman"/>
          <w:sz w:val="20"/>
          <w:szCs w:val="20"/>
          <w:color w:val="auto"/>
        </w:rPr>
        <w:t>Item 7A. Quantitative and Qualitative Disclosures About Market Risk . . . . . . . . . . . . . . . . . . . . . . . . . . . . . . . . . . . . .</w:t>
      </w:r>
      <w:r>
        <w:rPr>
          <w:sz w:val="20"/>
          <w:szCs w:val="20"/>
          <w:color w:val="auto"/>
        </w:rPr>
        <w:tab/>
      </w:r>
      <w:r>
        <w:rPr>
          <w:rFonts w:ascii="Times New Roman" w:cs="Times New Roman" w:eastAsia="Times New Roman" w:hAnsi="Times New Roman"/>
          <w:sz w:val="20"/>
          <w:szCs w:val="20"/>
          <w:color w:val="auto"/>
        </w:rPr>
        <w:t>93</w:t>
      </w:r>
    </w:p>
    <w:p>
      <w:pPr>
        <w:spacing w:after="0" w:line="138" w:lineRule="exact"/>
        <w:rPr>
          <w:sz w:val="20"/>
          <w:szCs w:val="20"/>
          <w:color w:val="auto"/>
        </w:rPr>
      </w:pPr>
    </w:p>
    <w:p>
      <w:pPr>
        <w:spacing w:after="0"/>
        <w:tabs>
          <w:tab w:leader="none" w:pos="9500" w:val="left"/>
        </w:tabs>
        <w:rPr>
          <w:sz w:val="20"/>
          <w:szCs w:val="20"/>
          <w:color w:val="auto"/>
        </w:rPr>
      </w:pPr>
      <w:r>
        <w:rPr>
          <w:rFonts w:ascii="Times New Roman" w:cs="Times New Roman" w:eastAsia="Times New Roman" w:hAnsi="Times New Roman"/>
          <w:sz w:val="20"/>
          <w:szCs w:val="20"/>
          <w:color w:val="auto"/>
        </w:rPr>
        <w:t>Item 8. Financial Statements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94</w:t>
      </w:r>
    </w:p>
    <w:p>
      <w:pPr>
        <w:spacing w:after="0" w:line="137" w:lineRule="exact"/>
        <w:rPr>
          <w:sz w:val="20"/>
          <w:szCs w:val="20"/>
          <w:color w:val="auto"/>
        </w:rPr>
      </w:pPr>
    </w:p>
    <w:p>
      <w:pPr>
        <w:spacing w:after="0"/>
        <w:tabs>
          <w:tab w:leader="none" w:pos="9400" w:val="left"/>
        </w:tabs>
        <w:rPr>
          <w:sz w:val="20"/>
          <w:szCs w:val="20"/>
          <w:color w:val="auto"/>
        </w:rPr>
      </w:pPr>
      <w:r>
        <w:rPr>
          <w:rFonts w:ascii="Times New Roman" w:cs="Times New Roman" w:eastAsia="Times New Roman" w:hAnsi="Times New Roman"/>
          <w:sz w:val="20"/>
          <w:szCs w:val="20"/>
          <w:color w:val="auto"/>
        </w:rPr>
        <w:t>Item 9. Changes in and Disagreements with Accountants on Accounting and Financial Disclosure . . . . . . . . . . . . . .</w:t>
        <w:tab/>
        <w:t>124</w:t>
      </w:r>
    </w:p>
    <w:p>
      <w:pPr>
        <w:spacing w:after="0" w:line="138" w:lineRule="exact"/>
        <w:rPr>
          <w:sz w:val="20"/>
          <w:szCs w:val="20"/>
          <w:color w:val="auto"/>
        </w:rPr>
      </w:pPr>
    </w:p>
    <w:p>
      <w:pPr>
        <w:spacing w:after="0"/>
        <w:tabs>
          <w:tab w:leader="none" w:pos="9400" w:val="left"/>
        </w:tabs>
        <w:rPr>
          <w:sz w:val="20"/>
          <w:szCs w:val="20"/>
          <w:color w:val="auto"/>
        </w:rPr>
      </w:pPr>
      <w:r>
        <w:rPr>
          <w:rFonts w:ascii="Times New Roman" w:cs="Times New Roman" w:eastAsia="Times New Roman" w:hAnsi="Times New Roman"/>
          <w:sz w:val="20"/>
          <w:szCs w:val="20"/>
          <w:color w:val="auto"/>
        </w:rPr>
        <w:t>Item 9A. Controls and Procedures . . . . . . . . . . . . . . . . . . . . . . . . . . . . . . . . . . . . . . . . . . . . . . . . . . . . . . . . . . . . . . . . . . .</w:t>
        <w:tab/>
        <w:t>124</w:t>
      </w:r>
    </w:p>
    <w:p>
      <w:pPr>
        <w:spacing w:after="0" w:line="138" w:lineRule="exact"/>
        <w:rPr>
          <w:sz w:val="20"/>
          <w:szCs w:val="20"/>
          <w:color w:val="auto"/>
        </w:rPr>
      </w:pPr>
    </w:p>
    <w:p>
      <w:pPr>
        <w:spacing w:after="0"/>
        <w:tabs>
          <w:tab w:leader="none" w:pos="9400" w:val="left"/>
        </w:tabs>
        <w:rPr>
          <w:sz w:val="20"/>
          <w:szCs w:val="20"/>
          <w:color w:val="auto"/>
        </w:rPr>
      </w:pPr>
      <w:r>
        <w:rPr>
          <w:rFonts w:ascii="Times New Roman" w:cs="Times New Roman" w:eastAsia="Times New Roman" w:hAnsi="Times New Roman"/>
          <w:sz w:val="20"/>
          <w:szCs w:val="20"/>
          <w:color w:val="auto"/>
        </w:rPr>
        <w:t>Item 9B. Other Information . . . . . . . . . . . . . . . . . . . . . . . . . . . . . . . . . . . . . . . . . . . . . . . . . . . . . . . . . . . . . . . . . . . . . . . .</w:t>
        <w:tab/>
        <w:t>125</w:t>
      </w:r>
    </w:p>
    <w:p>
      <w:pPr>
        <w:spacing w:after="0" w:line="137" w:lineRule="exact"/>
        <w:rPr>
          <w:sz w:val="20"/>
          <w:szCs w:val="20"/>
          <w:color w:val="auto"/>
        </w:rPr>
      </w:pPr>
    </w:p>
    <w:p>
      <w:pPr>
        <w:spacing w:after="0"/>
        <w:tabs>
          <w:tab w:leader="none" w:pos="9400" w:val="left"/>
        </w:tabs>
        <w:rPr>
          <w:sz w:val="20"/>
          <w:szCs w:val="20"/>
          <w:color w:val="auto"/>
        </w:rPr>
      </w:pPr>
      <w:r>
        <w:rPr>
          <w:rFonts w:ascii="Times New Roman" w:cs="Times New Roman" w:eastAsia="Times New Roman" w:hAnsi="Times New Roman"/>
          <w:sz w:val="20"/>
          <w:szCs w:val="20"/>
          <w:color w:val="auto"/>
        </w:rPr>
        <w:t>Item 9C. Disclosure Regarding Foreign Jurisdictions that Prevent Inspections . . . . . . . . . . . . . . . . . . . . . . . . . . . . . . .</w:t>
        <w:tab/>
        <w:t>125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142" w:lineRule="exact"/>
        <w:rPr>
          <w:sz w:val="20"/>
          <w:szCs w:val="20"/>
          <w:color w:val="auto"/>
        </w:rPr>
      </w:pPr>
    </w:p>
    <w:p>
      <w:pPr>
        <w:spacing w:after="0"/>
        <w:tabs>
          <w:tab w:leader="none" w:pos="9400" w:val="left"/>
        </w:tabs>
        <w:rPr>
          <w:sz w:val="20"/>
          <w:szCs w:val="20"/>
          <w:color w:val="auto"/>
        </w:rPr>
      </w:pPr>
      <w:r>
        <w:rPr>
          <w:rFonts w:ascii="Times New Roman" w:cs="Times New Roman" w:eastAsia="Times New Roman" w:hAnsi="Times New Roman"/>
          <w:sz w:val="20"/>
          <w:szCs w:val="20"/>
          <w:color w:val="auto"/>
        </w:rPr>
        <w:t>Item 10. Directors, Executive Officers and Corporate Governance . . . . . . . . . . . . . . . . . . . . . . . . . . . . . . . . . . . . . . . .</w:t>
        <w:tab/>
        <w:t>126</w:t>
      </w:r>
    </w:p>
    <w:p>
      <w:pPr>
        <w:spacing w:after="0" w:line="137" w:lineRule="exact"/>
        <w:rPr>
          <w:sz w:val="20"/>
          <w:szCs w:val="20"/>
          <w:color w:val="auto"/>
        </w:rPr>
      </w:pPr>
    </w:p>
    <w:p>
      <w:pPr>
        <w:spacing w:after="0"/>
        <w:tabs>
          <w:tab w:leader="none" w:pos="9400" w:val="left"/>
        </w:tabs>
        <w:rPr>
          <w:sz w:val="20"/>
          <w:szCs w:val="20"/>
          <w:color w:val="auto"/>
        </w:rPr>
      </w:pPr>
      <w:r>
        <w:rPr>
          <w:rFonts w:ascii="Times New Roman" w:cs="Times New Roman" w:eastAsia="Times New Roman" w:hAnsi="Times New Roman"/>
          <w:sz w:val="20"/>
          <w:szCs w:val="20"/>
          <w:color w:val="auto"/>
        </w:rPr>
        <w:t>Item 11. Executive Compensation . . . . . . . . . . . . . . . . . . . . . . . . . . . . . . . . . . . . . . . . . . . . . . . . . . . . . . . . . . . . . . . . . . .</w:t>
        <w:tab/>
        <w:t>126</w:t>
      </w:r>
    </w:p>
    <w:p>
      <w:pPr>
        <w:spacing w:after="0" w:line="138" w:lineRule="exact"/>
        <w:rPr>
          <w:sz w:val="20"/>
          <w:szCs w:val="20"/>
          <w:color w:val="auto"/>
        </w:rPr>
      </w:pPr>
    </w:p>
    <w:p>
      <w:pPr>
        <w:spacing w:after="0"/>
        <w:tabs>
          <w:tab w:leader="none" w:pos="9400" w:val="left"/>
        </w:tabs>
        <w:rPr>
          <w:sz w:val="20"/>
          <w:szCs w:val="20"/>
          <w:color w:val="auto"/>
        </w:rPr>
      </w:pPr>
      <w:r>
        <w:rPr>
          <w:rFonts w:ascii="Times New Roman" w:cs="Times New Roman" w:eastAsia="Times New Roman" w:hAnsi="Times New Roman"/>
          <w:sz w:val="20"/>
          <w:szCs w:val="20"/>
          <w:color w:val="auto"/>
        </w:rPr>
        <w:t>Item 12. Security Ownership of Certain Beneficial Owners and Management and Related Stockholder Matters . . .</w:t>
        <w:tab/>
        <w:t>126</w:t>
      </w:r>
    </w:p>
    <w:p>
      <w:pPr>
        <w:spacing w:after="0" w:line="137" w:lineRule="exact"/>
        <w:rPr>
          <w:sz w:val="20"/>
          <w:szCs w:val="20"/>
          <w:color w:val="auto"/>
        </w:rPr>
      </w:pPr>
    </w:p>
    <w:p>
      <w:pPr>
        <w:spacing w:after="0"/>
        <w:tabs>
          <w:tab w:leader="none" w:pos="9400" w:val="left"/>
        </w:tabs>
        <w:rPr>
          <w:sz w:val="20"/>
          <w:szCs w:val="20"/>
          <w:color w:val="auto"/>
        </w:rPr>
      </w:pPr>
      <w:r>
        <w:rPr>
          <w:rFonts w:ascii="Times New Roman" w:cs="Times New Roman" w:eastAsia="Times New Roman" w:hAnsi="Times New Roman"/>
          <w:sz w:val="20"/>
          <w:szCs w:val="20"/>
          <w:color w:val="auto"/>
        </w:rPr>
        <w:t>Item 13. Certain Relationships and Related Transactions, and Director Independence . . . . . . . . . . . . . . . . . . . . . . . . .</w:t>
        <w:tab/>
        <w:t>126</w:t>
      </w:r>
    </w:p>
    <w:p>
      <w:pPr>
        <w:spacing w:after="0" w:line="138" w:lineRule="exact"/>
        <w:rPr>
          <w:sz w:val="20"/>
          <w:szCs w:val="20"/>
          <w:color w:val="auto"/>
        </w:rPr>
      </w:pPr>
    </w:p>
    <w:p>
      <w:pPr>
        <w:spacing w:after="0"/>
        <w:tabs>
          <w:tab w:leader="none" w:pos="9400" w:val="left"/>
        </w:tabs>
        <w:rPr>
          <w:sz w:val="20"/>
          <w:szCs w:val="20"/>
          <w:color w:val="auto"/>
        </w:rPr>
      </w:pPr>
      <w:r>
        <w:rPr>
          <w:rFonts w:ascii="Times New Roman" w:cs="Times New Roman" w:eastAsia="Times New Roman" w:hAnsi="Times New Roman"/>
          <w:sz w:val="20"/>
          <w:szCs w:val="20"/>
          <w:color w:val="auto"/>
        </w:rPr>
        <w:t>Item 14. Principal Accountant Fees and Services . . . . . . . . . . . . . . . . . . . . . . . . . . . . . . . . . . . . . . . . . . . . . . . . . . . . . . .</w:t>
        <w:tab/>
        <w:t>127</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140" w:lineRule="exact"/>
        <w:rPr>
          <w:sz w:val="20"/>
          <w:szCs w:val="20"/>
          <w:color w:val="auto"/>
        </w:rPr>
      </w:pPr>
    </w:p>
    <w:p>
      <w:pPr>
        <w:spacing w:after="0"/>
        <w:tabs>
          <w:tab w:leader="none" w:pos="9400" w:val="left"/>
        </w:tabs>
        <w:rPr>
          <w:sz w:val="20"/>
          <w:szCs w:val="20"/>
          <w:color w:val="auto"/>
        </w:rPr>
      </w:pPr>
      <w:r>
        <w:rPr>
          <w:rFonts w:ascii="Times New Roman" w:cs="Times New Roman" w:eastAsia="Times New Roman" w:hAnsi="Times New Roman"/>
          <w:sz w:val="20"/>
          <w:szCs w:val="20"/>
          <w:color w:val="auto"/>
        </w:rPr>
        <w:t>Item 15. Exhibits and Financial Statement Schedules . . . . . . . . . . . . . . . . . . . . . . . . . . . . . . . . . . . . . . . . . . . . . . . . . . .</w:t>
        <w:tab/>
        <w:t>128</w:t>
      </w:r>
    </w:p>
    <w:p>
      <w:pPr>
        <w:spacing w:after="0" w:line="138" w:lineRule="exact"/>
        <w:rPr>
          <w:sz w:val="20"/>
          <w:szCs w:val="20"/>
          <w:color w:val="auto"/>
        </w:rPr>
      </w:pPr>
    </w:p>
    <w:p>
      <w:pPr>
        <w:spacing w:after="0"/>
        <w:tabs>
          <w:tab w:leader="none" w:pos="9400" w:val="left"/>
        </w:tabs>
        <w:rPr>
          <w:sz w:val="20"/>
          <w:szCs w:val="20"/>
          <w:color w:val="auto"/>
        </w:rPr>
      </w:pPr>
      <w:r>
        <w:rPr>
          <w:rFonts w:ascii="Times New Roman" w:cs="Times New Roman" w:eastAsia="Times New Roman" w:hAnsi="Times New Roman"/>
          <w:sz w:val="20"/>
          <w:szCs w:val="20"/>
          <w:color w:val="auto"/>
        </w:rPr>
        <w:t>Item 16. Form 10-K Summary . . . . . . . . . . . . . . . . . . . . . . . . . . . . . . . . . . . . . . . . . . . . . . . . . . . . . . . . . . . . . . . . . . . . . .</w:t>
        <w:tab/>
        <w:t>131</w:t>
      </w:r>
    </w:p>
    <w:p>
      <w:pPr>
        <w:sectPr>
          <w:pgSz w:w="11880" w:h="15480" w:orient="portrait"/>
          <w:cols w:equalWidth="0" w:num="1">
            <w:col w:w="9720"/>
          </w:cols>
          <w:pgMar w:left="1080" w:top="1062"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w:t>
      </w:r>
    </w:p>
    <w:p>
      <w:pPr>
        <w:sectPr>
          <w:pgSz w:w="11880" w:h="15480" w:orient="portrait"/>
          <w:cols w:equalWidth="0" w:num="1">
            <w:col w:w="9720"/>
          </w:cols>
          <w:pgMar w:left="1080" w:top="1062" w:right="1080" w:bottom="544" w:gutter="0" w:footer="0" w:header="0"/>
          <w:type w:val="continuous"/>
        </w:sectPr>
      </w:pPr>
    </w:p>
    <w:bookmarkStart w:id="4" w:name="page5"/>
    <w:bookmarkEnd w:id="4"/>
    <w:p>
      <w:pPr>
        <w:jc w:val="both"/>
        <w:spacing w:after="0" w:line="250" w:lineRule="auto"/>
        <w:rPr>
          <w:sz w:val="20"/>
          <w:szCs w:val="20"/>
          <w:color w:val="auto"/>
        </w:rPr>
      </w:pPr>
      <w:r>
        <w:rPr>
          <w:rFonts w:ascii="Times New Roman" w:cs="Times New Roman" w:eastAsia="Times New Roman" w:hAnsi="Times New Roman"/>
          <w:sz w:val="20"/>
          <w:szCs w:val="20"/>
          <w:color w:val="auto"/>
        </w:rPr>
        <w:t>“Milestone Pharmaceuticals” and the Milestone logo appearing in this Annual Report on Form 10-K are unregistered trademarks of Milestone Pharmaceuticals Inc. All other trademarks, trade names and service marks appearing in this Annual Report on Form 10-K are the property of their respective owners. Solely for convenience, the trademarks and trade names in this Annual Report on Form 10-K may be referred to without the ® and ™ symbols, but such references should not be construed as any indicator that their respective owners will not assert their rights thereto.</w:t>
      </w:r>
    </w:p>
    <w:p>
      <w:pPr>
        <w:spacing w:after="0" w:line="1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This Annual Report on Form 10-K contains references to United States dollars and Canadian dollars. All dollar amounts referenced, unless otherwise indicated, are expressed in United States dollars. References to “$” are to United States dollars and references to “C$” are to Canadian dollars.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SPECIAL NOTE REGARDING FORWARD-LOOKING STATEMENTS</w:t>
      </w:r>
    </w:p>
    <w:p>
      <w:pPr>
        <w:spacing w:after="0" w:line="24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This Annual Report on Form 10-K contains forward-looking statements about us and our industry that involve substantial risks and uncertainties. All statements other than statements of historical facts contained in this Annual Report on Form 10-K, including statements regarding our strategy, future financial condition, future operations, projected costs, prospects, plans, objectives of management and expected market growth, are forward-looking statements. In some cases, you can identify forward-looking statements by terminology such as “aim,” “anticipate,” “assume,” “believe,” “contemplate,” “continue,” “could,” “design,” “due,” “estimate,” “expect,” “goal,” “intend,” “may,” “objective,” “plan,” “predict,” “positioned,” “potential,” “seek,” “should,” “target,” “will,” “would,” and other similar expressions that are predictions of or indicate future events and future trends, or the negative of these terms or other comparable terminology.</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have based these forward -looking statements largely on our current expectations and projections about future events and financial trends that we believe may affect our financial condition, results of operations, business strategy, and financial needs. These forward-looking statements are subject to a number of known and unknown risks, uncertainties, and assumptions, including risks described in the section titled “Risk Factors” and elsewhere in this Annual Report on Form 10-K, regarding, among other things:</w:t>
      </w:r>
    </w:p>
    <w:p>
      <w:pPr>
        <w:spacing w:after="0" w:line="197" w:lineRule="exact"/>
        <w:rPr>
          <w:sz w:val="20"/>
          <w:szCs w:val="20"/>
          <w:color w:val="auto"/>
        </w:rPr>
      </w:pPr>
    </w:p>
    <w:p>
      <w:pPr>
        <w:ind w:left="720"/>
        <w:spacing w:after="0" w:line="259" w:lineRule="auto"/>
        <w:rPr>
          <w:sz w:val="20"/>
          <w:szCs w:val="20"/>
          <w:color w:val="auto"/>
        </w:rPr>
      </w:pPr>
      <w:r>
        <w:rPr>
          <w:rFonts w:ascii="Times New Roman" w:cs="Times New Roman" w:eastAsia="Times New Roman" w:hAnsi="Times New Roman"/>
          <w:sz w:val="20"/>
          <w:szCs w:val="20"/>
          <w:color w:val="auto"/>
        </w:rPr>
        <w:t>our expectations regarding the commercialization of CARDAMYST™ (etripamil) nasal spray for the conversion of acute symptomatic episodes of paroxysmal supraventricular tachycardia, or “PSVT,” to sinus rhythm in adults as well as our plans to develop and commercialize our product candidates;</w:t>
      </w:r>
    </w:p>
    <w:p>
      <w:pPr>
        <w:spacing w:after="0" w:line="185" w:lineRule="exact"/>
        <w:rPr>
          <w:sz w:val="20"/>
          <w:szCs w:val="20"/>
          <w:color w:val="auto"/>
        </w:rPr>
      </w:pPr>
    </w:p>
    <w:p>
      <w:pPr>
        <w:ind w:left="720"/>
        <w:spacing w:after="0" w:line="259" w:lineRule="auto"/>
        <w:rPr>
          <w:sz w:val="20"/>
          <w:szCs w:val="20"/>
          <w:color w:val="auto"/>
        </w:rPr>
      </w:pPr>
      <w:r>
        <w:rPr>
          <w:rFonts w:ascii="Times New Roman" w:cs="Times New Roman" w:eastAsia="Times New Roman" w:hAnsi="Times New Roman"/>
          <w:sz w:val="20"/>
          <w:szCs w:val="20"/>
          <w:color w:val="auto"/>
        </w:rPr>
        <w:t>the initiation, timing, progress, and results of our current and future clinical trials of etripamil, including our Phase 3 clinical trial of etripamil for the treatment of atrial fibrillation and rapid ventricular rate, and of our research and development programs;</w:t>
      </w:r>
    </w:p>
    <w:p>
      <w:pPr>
        <w:spacing w:after="0" w:line="185" w:lineRule="exact"/>
        <w:rPr>
          <w:sz w:val="20"/>
          <w:szCs w:val="20"/>
          <w:color w:val="auto"/>
        </w:rPr>
      </w:pPr>
    </w:p>
    <w:p>
      <w:pPr>
        <w:ind w:left="720"/>
        <w:spacing w:after="0" w:line="259" w:lineRule="auto"/>
        <w:rPr>
          <w:sz w:val="20"/>
          <w:szCs w:val="20"/>
          <w:color w:val="auto"/>
        </w:rPr>
      </w:pPr>
      <w:r>
        <w:rPr>
          <w:rFonts w:ascii="Times New Roman" w:cs="Times New Roman" w:eastAsia="Times New Roman" w:hAnsi="Times New Roman"/>
          <w:sz w:val="20"/>
          <w:szCs w:val="20"/>
          <w:color w:val="auto"/>
        </w:rPr>
        <w:t>our ability to develop and, if approved by regulatory authorities, commercialize etripamil in China, Hong Kong, Macau, and Taiwan through our license agreement with Corxel Pharmaceuticals, or “Corxel,” formerly Ji Xing Pharmaceuticals Limited, JIXING;</w:t>
      </w:r>
    </w:p>
    <w:p>
      <w:pPr>
        <w:spacing w:after="0" w:line="185" w:lineRule="exact"/>
        <w:rPr>
          <w:sz w:val="20"/>
          <w:szCs w:val="20"/>
          <w:color w:val="auto"/>
        </w:rPr>
      </w:pPr>
    </w:p>
    <w:p>
      <w:pPr>
        <w:ind w:left="720" w:right="460"/>
        <w:spacing w:after="0" w:line="490" w:lineRule="auto"/>
        <w:rPr>
          <w:sz w:val="20"/>
          <w:szCs w:val="20"/>
          <w:color w:val="auto"/>
        </w:rPr>
      </w:pPr>
      <w:r>
        <w:rPr>
          <w:rFonts w:ascii="Times New Roman" w:cs="Times New Roman" w:eastAsia="Times New Roman" w:hAnsi="Times New Roman"/>
          <w:sz w:val="20"/>
          <w:szCs w:val="20"/>
          <w:color w:val="auto"/>
        </w:rPr>
        <w:t>our estimates regarding expenses, future revenue, capital requirements, and needs for additional financing; our ability to establish collaborations or obtain additional funding;</w:t>
      </w:r>
    </w:p>
    <w:p>
      <w:pPr>
        <w:ind w:left="720"/>
        <w:spacing w:after="0" w:line="280" w:lineRule="auto"/>
        <w:rPr>
          <w:sz w:val="20"/>
          <w:szCs w:val="20"/>
          <w:color w:val="auto"/>
        </w:rPr>
      </w:pPr>
      <w:r>
        <w:rPr>
          <w:rFonts w:ascii="Times New Roman" w:cs="Times New Roman" w:eastAsia="Times New Roman" w:hAnsi="Times New Roman"/>
          <w:sz w:val="20"/>
          <w:szCs w:val="20"/>
          <w:color w:val="auto"/>
        </w:rPr>
        <w:t>our ability to obtain regulatory approval of our current products for new indications and/or of our future product candidates;</w:t>
      </w:r>
    </w:p>
    <w:p>
      <w:pPr>
        <w:spacing w:after="0" w:line="162" w:lineRule="exact"/>
        <w:rPr>
          <w:sz w:val="20"/>
          <w:szCs w:val="20"/>
          <w:color w:val="auto"/>
        </w:rPr>
      </w:pPr>
    </w:p>
    <w:p>
      <w:pPr>
        <w:ind w:left="720"/>
        <w:spacing w:after="0" w:line="280" w:lineRule="auto"/>
        <w:rPr>
          <w:sz w:val="20"/>
          <w:szCs w:val="20"/>
          <w:color w:val="auto"/>
        </w:rPr>
      </w:pPr>
      <w:r>
        <w:rPr>
          <w:rFonts w:ascii="Times New Roman" w:cs="Times New Roman" w:eastAsia="Times New Roman" w:hAnsi="Times New Roman"/>
          <w:sz w:val="20"/>
          <w:szCs w:val="20"/>
          <w:color w:val="auto"/>
        </w:rPr>
        <w:t>our expectations regarding the potential market size and the rate and degree of market acceptance of etripamil and any future product candidates;</w:t>
      </w:r>
    </w:p>
    <w:p>
      <w:pPr>
        <w:spacing w:after="0" w:line="164" w:lineRule="exact"/>
        <w:rPr>
          <w:sz w:val="20"/>
          <w:szCs w:val="20"/>
          <w:color w:val="auto"/>
        </w:rPr>
      </w:pPr>
    </w:p>
    <w:p>
      <w:pPr>
        <w:ind w:left="720"/>
        <w:spacing w:after="0" w:line="280" w:lineRule="auto"/>
        <w:rPr>
          <w:sz w:val="20"/>
          <w:szCs w:val="20"/>
          <w:color w:val="auto"/>
        </w:rPr>
      </w:pPr>
      <w:r>
        <w:rPr>
          <w:rFonts w:ascii="Times New Roman" w:cs="Times New Roman" w:eastAsia="Times New Roman" w:hAnsi="Times New Roman"/>
          <w:sz w:val="20"/>
          <w:szCs w:val="20"/>
          <w:color w:val="auto"/>
        </w:rPr>
        <w:t>our ability to fund our working capital requirements and expectations regarding the sufficiency of our capital resources;</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w:t>
      </w:r>
    </w:p>
    <w:p>
      <w:pPr>
        <w:sectPr>
          <w:pgSz w:w="11880" w:h="15480" w:orient="portrait"/>
          <w:cols w:equalWidth="0" w:num="1">
            <w:col w:w="9720"/>
          </w:cols>
          <w:pgMar w:left="1080" w:top="1064" w:right="1080" w:bottom="544" w:gutter="0" w:footer="0" w:header="0"/>
          <w:type w:val="continuous"/>
        </w:sectPr>
      </w:pPr>
    </w:p>
    <w:bookmarkStart w:id="5" w:name="page6"/>
    <w:bookmarkEnd w:id="5"/>
    <w:p>
      <w:pPr>
        <w:ind w:left="720"/>
        <w:spacing w:after="0" w:line="280" w:lineRule="auto"/>
        <w:rPr>
          <w:sz w:val="20"/>
          <w:szCs w:val="20"/>
          <w:color w:val="auto"/>
        </w:rPr>
      </w:pPr>
      <w:r>
        <w:rPr>
          <w:rFonts w:ascii="Times New Roman" w:cs="Times New Roman" w:eastAsia="Times New Roman" w:hAnsi="Times New Roman"/>
          <w:sz w:val="20"/>
          <w:szCs w:val="20"/>
          <w:color w:val="auto"/>
        </w:rPr>
        <w:t>the implementation of our business model and strategic plans for our business, etripamil, and any future product candidates;</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our intellectual property position and the duration of our patent rights;</w:t>
      </w:r>
    </w:p>
    <w:p>
      <w:pPr>
        <w:spacing w:after="0" w:line="2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developments or disputes concerning our intellectual property or other proprietary rights;</w:t>
      </w:r>
    </w:p>
    <w:p>
      <w:pPr>
        <w:spacing w:after="0" w:line="239" w:lineRule="exact"/>
        <w:rPr>
          <w:sz w:val="20"/>
          <w:szCs w:val="20"/>
          <w:color w:val="auto"/>
        </w:rPr>
      </w:pPr>
    </w:p>
    <w:p>
      <w:pPr>
        <w:ind w:left="720" w:right="1680"/>
        <w:spacing w:after="0" w:line="490" w:lineRule="auto"/>
        <w:rPr>
          <w:sz w:val="20"/>
          <w:szCs w:val="20"/>
          <w:color w:val="auto"/>
        </w:rPr>
      </w:pPr>
      <w:r>
        <w:rPr>
          <w:rFonts w:ascii="Times New Roman" w:cs="Times New Roman" w:eastAsia="Times New Roman" w:hAnsi="Times New Roman"/>
          <w:sz w:val="20"/>
          <w:szCs w:val="20"/>
          <w:color w:val="auto"/>
        </w:rPr>
        <w:t>our expectations regarding government and third-party payor coverage and reimbursement; our ability to compete in the markets we serve;</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impact of government laws and regulations;</w:t>
      </w:r>
    </w:p>
    <w:p>
      <w:pPr>
        <w:spacing w:after="0" w:line="2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developments relating to our competitors and our industry;</w:t>
      </w:r>
    </w:p>
    <w:p>
      <w:pPr>
        <w:spacing w:after="0" w:line="240" w:lineRule="exact"/>
        <w:rPr>
          <w:sz w:val="20"/>
          <w:szCs w:val="20"/>
          <w:color w:val="auto"/>
        </w:rPr>
      </w:pPr>
    </w:p>
    <w:p>
      <w:pPr>
        <w:ind w:left="720" w:right="1640"/>
        <w:spacing w:after="0" w:line="490" w:lineRule="auto"/>
        <w:rPr>
          <w:sz w:val="20"/>
          <w:szCs w:val="20"/>
          <w:color w:val="auto"/>
        </w:rPr>
      </w:pPr>
      <w:r>
        <w:rPr>
          <w:rFonts w:ascii="Times New Roman" w:cs="Times New Roman" w:eastAsia="Times New Roman" w:hAnsi="Times New Roman"/>
          <w:sz w:val="20"/>
          <w:szCs w:val="20"/>
          <w:color w:val="auto"/>
        </w:rPr>
        <w:t>the effects of international trade policies, including tariffs, sanctions, and trade barriers; and other factors that may impact our financial results.</w:t>
      </w:r>
    </w:p>
    <w:p>
      <w:pPr>
        <w:jc w:val="both"/>
        <w:spacing w:after="0" w:line="248" w:lineRule="auto"/>
        <w:rPr>
          <w:sz w:val="20"/>
          <w:szCs w:val="20"/>
          <w:color w:val="auto"/>
        </w:rPr>
      </w:pPr>
      <w:r>
        <w:rPr>
          <w:rFonts w:ascii="Times New Roman" w:cs="Times New Roman" w:eastAsia="Times New Roman" w:hAnsi="Times New Roman"/>
          <w:sz w:val="20"/>
          <w:szCs w:val="20"/>
          <w:color w:val="auto"/>
        </w:rPr>
        <w:t>The foregoing list of risks is not exhaustive. Other sections of this Annual Report on Form 10-K may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19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 light of the significant uncertainties in these forward-looking statements, you should not rely upon forward-looking statements as predictions of future events. Although we believe that we have a reasonable basis for each forward -looking statement contained in this Annual Report on Form 10-K, we cannot guarantee that the future results, levels of activity, performance, or events and circumstances reflected in the forward-looking statements will be achieved or occur at all. You should refer to the section titled "Risk Factors" for a discussion of important factors that may cause our actual results to differ materially from those expressed or implied by our forward-looking statements. Furthermore, if our forward-looking statements prove to be inaccurate, the inaccuracy may be material. Except as required by law, we undertake no obligation to publicly update any forward-looking statements, whether as a result of new information, future events or otherwise. The Private Securities Litigation Reform Act of 1995 and Section 27A of the Securities Act of 1933, as amended, or the Securities Act, do not protect any forward-looking statements that we make in connection with this Annual Report on Form 10-K.</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w:t>
      </w:r>
    </w:p>
    <w:p>
      <w:pPr>
        <w:sectPr>
          <w:pgSz w:w="11880" w:h="15480" w:orient="portrait"/>
          <w:cols w:equalWidth="0" w:num="1">
            <w:col w:w="9720"/>
          </w:cols>
          <w:pgMar w:left="1080" w:top="1064" w:right="1080" w:bottom="544"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SUMMARY OF RISK FACTORS</w:t>
      </w:r>
    </w:p>
    <w:p>
      <w:pPr>
        <w:spacing w:after="0" w:line="24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20"/>
          <w:szCs w:val="20"/>
          <w:color w:val="auto"/>
        </w:rPr>
        <w:t>Our business is subject to numerous risks and uncertainties, including those described in Item 1A “</w:t>
      </w:r>
      <w:r>
        <w:rPr>
          <w:rFonts w:ascii="Times New Roman" w:cs="Times New Roman" w:eastAsia="Times New Roman" w:hAnsi="Times New Roman"/>
          <w:sz w:val="20"/>
          <w:szCs w:val="20"/>
          <w:i w:val="1"/>
          <w:iCs w:val="1"/>
          <w:color w:val="auto"/>
        </w:rPr>
        <w:t>Risk Factors</w:t>
      </w:r>
      <w:r>
        <w:rPr>
          <w:rFonts w:ascii="Times New Roman" w:cs="Times New Roman" w:eastAsia="Times New Roman" w:hAnsi="Times New Roman"/>
          <w:sz w:val="20"/>
          <w:szCs w:val="20"/>
          <w:color w:val="auto"/>
        </w:rPr>
        <w:t>”. These risks include, but are not limited to the following:</w:t>
      </w:r>
    </w:p>
    <w:p>
      <w:pPr>
        <w:spacing w:after="0" w:line="16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color w:val="auto"/>
        </w:rPr>
        <w:t>We have incurred significant operating losses since inception and anticipate that we will continue to incur substantial operating losses for the foreseeable future until revenue from CARDAMYST is sufficient to fund our operations, if ever, and may never achieve or maintain profitability.</w:t>
      </w:r>
    </w:p>
    <w:p>
      <w:pPr>
        <w:ind w:left="1080"/>
        <w:spacing w:after="0"/>
        <w:rPr>
          <w:sz w:val="20"/>
          <w:szCs w:val="20"/>
          <w:color w:val="auto"/>
        </w:rPr>
      </w:pPr>
      <w:r>
        <w:rPr>
          <w:rFonts w:ascii="Times New Roman" w:cs="Times New Roman" w:eastAsia="Times New Roman" w:hAnsi="Times New Roman"/>
          <w:sz w:val="20"/>
          <w:szCs w:val="20"/>
          <w:color w:val="auto"/>
        </w:rPr>
        <w:t>We will require substantial additional funding to finance our operations. If we are unable to raise capital when needed, we could be forced to delay, reduce, or terminate our development of etripamil or other operations, including the continued commercialization of CARDAMYST.</w:t>
      </w:r>
    </w:p>
    <w:p>
      <w:pPr>
        <w:ind w:left="1080"/>
        <w:spacing w:after="0"/>
        <w:rPr>
          <w:sz w:val="20"/>
          <w:szCs w:val="20"/>
          <w:color w:val="auto"/>
        </w:rPr>
      </w:pPr>
      <w:r>
        <w:rPr>
          <w:rFonts w:ascii="Times New Roman" w:cs="Times New Roman" w:eastAsia="Times New Roman" w:hAnsi="Times New Roman"/>
          <w:sz w:val="20"/>
          <w:szCs w:val="20"/>
          <w:color w:val="auto"/>
        </w:rPr>
        <w:t>Greater than expected returns of CARDAMYST may exceed our reserve for returns, which would adversely affect our revenue and operating results.</w:t>
      </w:r>
    </w:p>
    <w:p>
      <w:pPr>
        <w:ind w:left="1080" w:right="20"/>
        <w:spacing w:after="0" w:line="239" w:lineRule="auto"/>
        <w:rPr>
          <w:sz w:val="20"/>
          <w:szCs w:val="20"/>
          <w:color w:val="auto"/>
        </w:rPr>
      </w:pPr>
      <w:r>
        <w:rPr>
          <w:rFonts w:ascii="Times New Roman" w:cs="Times New Roman" w:eastAsia="Times New Roman" w:hAnsi="Times New Roman"/>
          <w:sz w:val="20"/>
          <w:szCs w:val="20"/>
          <w:color w:val="auto"/>
        </w:rPr>
        <w:t>Raising additional capital may cause dilution to our shareholders, restrict our operations, or require us to relinquish rights to our product candidates.</w:t>
      </w:r>
    </w:p>
    <w:p>
      <w:pPr>
        <w:spacing w:after="0" w:line="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color w:val="auto"/>
        </w:rPr>
        <w:t>We currently have one approved product, CARDAMYST™ (etripamil) nasal spray, a prescription medication for the conversion of acute symptomatic episodes of PSVT. We are currently pursuing clinical development for subsequent etripamil indications. If we are not able to obtain required regulatory approvals for subsequent etripamil indications or any future product candidates, our ability to generate revenue will be adversely affected.</w:t>
      </w:r>
    </w:p>
    <w:p>
      <w:pPr>
        <w:ind w:left="1080" w:right="380"/>
        <w:spacing w:after="0" w:line="239" w:lineRule="auto"/>
        <w:rPr>
          <w:sz w:val="20"/>
          <w:szCs w:val="20"/>
          <w:color w:val="auto"/>
        </w:rPr>
      </w:pPr>
      <w:r>
        <w:rPr>
          <w:rFonts w:ascii="Times New Roman" w:cs="Times New Roman" w:eastAsia="Times New Roman" w:hAnsi="Times New Roman"/>
          <w:sz w:val="20"/>
          <w:szCs w:val="20"/>
          <w:color w:val="auto"/>
        </w:rPr>
        <w:t>We may not be successful in our efforts to expand our pipeline of product candidates beyond etripamil. The development of additional product candidates is risky and uncertain.</w:t>
      </w:r>
    </w:p>
    <w:p>
      <w:pPr>
        <w:spacing w:after="0" w:line="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color w:val="auto"/>
        </w:rPr>
        <w:t>Success in preclinical studies or earlier clinical trials may not be indicative of results in future clinical trials, and we cannot assure you that any ongoing, planned, or future clinical trials will lead to results sufficient for the necessary regulatory approvals.</w:t>
      </w:r>
    </w:p>
    <w:p>
      <w:pPr>
        <w:ind w:left="720"/>
        <w:spacing w:after="0"/>
        <w:rPr>
          <w:sz w:val="20"/>
          <w:szCs w:val="20"/>
          <w:color w:val="auto"/>
        </w:rPr>
      </w:pPr>
      <w:r>
        <w:rPr>
          <w:rFonts w:ascii="Times New Roman" w:cs="Times New Roman" w:eastAsia="Times New Roman" w:hAnsi="Times New Roman"/>
          <w:sz w:val="20"/>
          <w:szCs w:val="20"/>
          <w:color w:val="auto"/>
        </w:rPr>
        <w:t>We may encounter substantial delays or difficulties in our clinical trials.</w:t>
      </w:r>
    </w:p>
    <w:p>
      <w:pPr>
        <w:ind w:left="1080"/>
        <w:spacing w:after="0" w:line="239" w:lineRule="auto"/>
        <w:rPr>
          <w:sz w:val="20"/>
          <w:szCs w:val="20"/>
          <w:color w:val="auto"/>
        </w:rPr>
      </w:pPr>
      <w:r>
        <w:rPr>
          <w:rFonts w:ascii="Times New Roman" w:cs="Times New Roman" w:eastAsia="Times New Roman" w:hAnsi="Times New Roman"/>
          <w:sz w:val="20"/>
          <w:szCs w:val="20"/>
          <w:color w:val="auto"/>
        </w:rPr>
        <w:t>Enrollment and retention of patients in clinical trials is an expensive and time-consuming process and could be delayed, made more difficult, or rendered impossible by multiple factors outside our control.</w:t>
      </w:r>
    </w:p>
    <w:p>
      <w:pPr>
        <w:spacing w:after="0" w:line="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color w:val="auto"/>
        </w:rPr>
        <w:t>If we are unable to successfully implement and maintain sales, marketing and distribution capabilities for CARDAMYST for the treatment of PSVT or any product candidate that may receive regulatory approval, we may not be successful in commercializing CARDAMYST for the treatment of PSVT or our product candidates if and when they are approved.</w:t>
      </w:r>
    </w:p>
    <w:p>
      <w:pPr>
        <w:ind w:left="1080"/>
        <w:spacing w:after="0"/>
        <w:rPr>
          <w:sz w:val="20"/>
          <w:szCs w:val="20"/>
          <w:color w:val="auto"/>
        </w:rPr>
      </w:pPr>
      <w:r>
        <w:rPr>
          <w:rFonts w:ascii="Times New Roman" w:cs="Times New Roman" w:eastAsia="Times New Roman" w:hAnsi="Times New Roman"/>
          <w:sz w:val="20"/>
          <w:szCs w:val="20"/>
          <w:color w:val="auto"/>
        </w:rPr>
        <w:t>CARDAMYST, along with any subsequent etripamil indications or any other product candidates, if approved, may fail to achieve market acceptance by physicians, patients, third-party payors or others in the medical community necessary for commercial success.</w:t>
      </w:r>
    </w:p>
    <w:p>
      <w:pPr>
        <w:ind w:left="720"/>
        <w:spacing w:after="0"/>
        <w:rPr>
          <w:sz w:val="20"/>
          <w:szCs w:val="20"/>
          <w:color w:val="auto"/>
        </w:rPr>
      </w:pPr>
      <w:r>
        <w:rPr>
          <w:rFonts w:ascii="Times New Roman" w:cs="Times New Roman" w:eastAsia="Times New Roman" w:hAnsi="Times New Roman"/>
          <w:sz w:val="20"/>
          <w:szCs w:val="20"/>
          <w:color w:val="auto"/>
        </w:rPr>
        <w:t>The success of etripamil will be dependent on its use in accordance with labeled instructions for use.</w:t>
      </w:r>
    </w:p>
    <w:p>
      <w:pPr>
        <w:ind w:left="1080"/>
        <w:spacing w:after="0" w:line="239" w:lineRule="auto"/>
        <w:rPr>
          <w:sz w:val="20"/>
          <w:szCs w:val="20"/>
          <w:color w:val="auto"/>
        </w:rPr>
      </w:pPr>
      <w:r>
        <w:rPr>
          <w:rFonts w:ascii="Times New Roman" w:cs="Times New Roman" w:eastAsia="Times New Roman" w:hAnsi="Times New Roman"/>
          <w:sz w:val="20"/>
          <w:szCs w:val="20"/>
          <w:color w:val="auto"/>
        </w:rPr>
        <w:t>If the market opportunities for CARDAMYST, any subsequent indications for etripamil, and any future product candidates are smaller than we estimate, our business may suffer.</w:t>
      </w:r>
    </w:p>
    <w:p>
      <w:pPr>
        <w:spacing w:after="0" w:line="1" w:lineRule="exact"/>
        <w:rPr>
          <w:sz w:val="20"/>
          <w:szCs w:val="20"/>
          <w:color w:val="auto"/>
        </w:rPr>
      </w:pPr>
    </w:p>
    <w:p>
      <w:pPr>
        <w:ind w:left="1080"/>
        <w:spacing w:after="0" w:line="239" w:lineRule="auto"/>
        <w:rPr>
          <w:sz w:val="20"/>
          <w:szCs w:val="20"/>
          <w:color w:val="auto"/>
        </w:rPr>
      </w:pPr>
      <w:r>
        <w:rPr>
          <w:rFonts w:ascii="Times New Roman" w:cs="Times New Roman" w:eastAsia="Times New Roman" w:hAnsi="Times New Roman"/>
          <w:sz w:val="20"/>
          <w:szCs w:val="20"/>
          <w:color w:val="auto"/>
        </w:rPr>
        <w:t>Coverage and adequate reimbursement may not be available for etripamil or any future product candidates, which could make it difficult for us to gain market acceptance.</w:t>
      </w:r>
    </w:p>
    <w:p>
      <w:pPr>
        <w:spacing w:after="0" w:line="1" w:lineRule="exact"/>
        <w:rPr>
          <w:sz w:val="20"/>
          <w:szCs w:val="20"/>
          <w:color w:val="auto"/>
        </w:rPr>
      </w:pPr>
    </w:p>
    <w:p>
      <w:pPr>
        <w:ind w:left="1080"/>
        <w:spacing w:after="0" w:line="252" w:lineRule="auto"/>
        <w:rPr>
          <w:sz w:val="20"/>
          <w:szCs w:val="20"/>
          <w:color w:val="auto"/>
        </w:rPr>
      </w:pPr>
      <w:r>
        <w:rPr>
          <w:rFonts w:ascii="Times New Roman" w:cs="Times New Roman" w:eastAsia="Times New Roman" w:hAnsi="Times New Roman"/>
          <w:sz w:val="19"/>
          <w:szCs w:val="19"/>
          <w:color w:val="auto"/>
        </w:rPr>
        <w:t>Even if we maintain regulatory approval for etripamil or any future product candidates from the Food and Drug Administration, or “FDA,” we may never obtain approval of etripamil or any future product candidates outside of the United States, which would limit our market opportunities and could harm our business.</w:t>
      </w:r>
    </w:p>
    <w:p>
      <w:pPr>
        <w:spacing w:after="0" w:line="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color w:val="auto"/>
        </w:rPr>
        <w:t>Even if we maintain approval for CARDAMYST, or we obtain regulatory approval for subsequent etripamil indications or any future product candidates, they, and etripamil for the treatment of PSVT, will remain subject to ongoing regulatory oversight.</w:t>
      </w:r>
    </w:p>
    <w:p>
      <w:pPr>
        <w:ind w:left="1080"/>
        <w:spacing w:after="0" w:line="252" w:lineRule="auto"/>
        <w:rPr>
          <w:sz w:val="20"/>
          <w:szCs w:val="20"/>
          <w:color w:val="auto"/>
        </w:rPr>
      </w:pPr>
      <w:r>
        <w:rPr>
          <w:rFonts w:ascii="Times New Roman" w:cs="Times New Roman" w:eastAsia="Times New Roman" w:hAnsi="Times New Roman"/>
          <w:sz w:val="19"/>
          <w:szCs w:val="19"/>
          <w:color w:val="auto"/>
        </w:rPr>
        <w:t>We will rely on third parties to produce clinical and commercial supplies of etripamil and any future product candidates, and if those third parties perform in an unsatisfactory manner, it may harm our business.</w:t>
      </w:r>
    </w:p>
    <w:p>
      <w:pPr>
        <w:ind w:left="1080"/>
        <w:spacing w:after="0"/>
        <w:rPr>
          <w:sz w:val="20"/>
          <w:szCs w:val="20"/>
          <w:color w:val="auto"/>
        </w:rPr>
      </w:pPr>
      <w:r>
        <w:rPr>
          <w:rFonts w:ascii="Times New Roman" w:cs="Times New Roman" w:eastAsia="Times New Roman" w:hAnsi="Times New Roman"/>
          <w:sz w:val="20"/>
          <w:szCs w:val="20"/>
          <w:color w:val="auto"/>
        </w:rPr>
        <w:t>We rely on third parties to conduct, supervise, and monitor our preclinical studies and clinical trials, and if those third parties perform in an unsatisfactory manner, it may harm our business.</w:t>
      </w:r>
    </w:p>
    <w:p>
      <w:pPr>
        <w:ind w:left="1080"/>
        <w:spacing w:after="0" w:line="279" w:lineRule="auto"/>
        <w:rPr>
          <w:sz w:val="20"/>
          <w:szCs w:val="20"/>
          <w:color w:val="auto"/>
        </w:rPr>
      </w:pPr>
      <w:r>
        <w:rPr>
          <w:rFonts w:ascii="Times New Roman" w:cs="Times New Roman" w:eastAsia="Times New Roman" w:hAnsi="Times New Roman"/>
          <w:sz w:val="20"/>
          <w:szCs w:val="20"/>
          <w:color w:val="auto"/>
        </w:rPr>
        <w:t>Etripamil is intended to be used with a nasal spray device, which may result in additional regulatory and supply risks.</w:t>
      </w:r>
    </w:p>
    <w:p>
      <w:pPr>
        <w:sectPr>
          <w:pgSz w:w="11880" w:h="15480" w:orient="portrait"/>
          <w:cols w:equalWidth="0" w:num="1">
            <w:col w:w="9720"/>
          </w:cols>
          <w:pgMar w:left="1080" w:top="1062"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w:t>
      </w:r>
    </w:p>
    <w:p>
      <w:pPr>
        <w:sectPr>
          <w:pgSz w:w="11880" w:h="15480" w:orient="portrait"/>
          <w:cols w:equalWidth="0" w:num="1">
            <w:col w:w="9720"/>
          </w:cols>
          <w:pgMar w:left="1080" w:top="1062" w:right="1080" w:bottom="544" w:gutter="0" w:footer="0" w:header="0"/>
          <w:type w:val="continuous"/>
        </w:sectPr>
      </w:pPr>
    </w:p>
    <w:bookmarkStart w:id="7" w:name="page8"/>
    <w:bookmarkEnd w:id="7"/>
    <w:p>
      <w:pPr>
        <w:ind w:left="720"/>
        <w:spacing w:after="0"/>
        <w:rPr>
          <w:sz w:val="20"/>
          <w:szCs w:val="20"/>
          <w:color w:val="auto"/>
        </w:rPr>
      </w:pPr>
      <w:r>
        <w:rPr>
          <w:rFonts w:ascii="Times New Roman" w:cs="Times New Roman" w:eastAsia="Times New Roman" w:hAnsi="Times New Roman"/>
          <w:sz w:val="20"/>
          <w:szCs w:val="20"/>
          <w:color w:val="auto"/>
        </w:rPr>
        <w:t>If we are unable to obtain and maintain patent protection for etripamil or any future product candidates, or if the scope of the patent protection obtained is not sufficiently broad, our competitors could develop and commercialize drugs similar or identical to ours, and our ability to successfully commercialize our product candidates may be impaired.</w:t>
      </w:r>
    </w:p>
    <w:p>
      <w:pPr>
        <w:ind w:left="720"/>
        <w:spacing w:after="0" w:line="239" w:lineRule="auto"/>
        <w:rPr>
          <w:sz w:val="20"/>
          <w:szCs w:val="20"/>
          <w:color w:val="auto"/>
        </w:rPr>
      </w:pPr>
      <w:r>
        <w:rPr>
          <w:rFonts w:ascii="Times New Roman" w:cs="Times New Roman" w:eastAsia="Times New Roman" w:hAnsi="Times New Roman"/>
          <w:sz w:val="20"/>
          <w:szCs w:val="20"/>
          <w:color w:val="auto"/>
        </w:rPr>
        <w:t>Our future success depends on our ability to retain key executives and to attract, retain, and motivate qualified personnel.</w:t>
      </w:r>
    </w:p>
    <w:p>
      <w:pPr>
        <w:spacing w:after="0" w:line="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market price of our common shares has been and may continue to be volatile and fluctuate substantially, and you could lose all or part of your investment.</w:t>
      </w:r>
    </w:p>
    <w:p>
      <w:pPr>
        <w:ind w:left="720"/>
        <w:spacing w:after="0" w:line="239" w:lineRule="auto"/>
        <w:rPr>
          <w:sz w:val="20"/>
          <w:szCs w:val="20"/>
          <w:color w:val="auto"/>
        </w:rPr>
      </w:pPr>
      <w:r>
        <w:rPr>
          <w:rFonts w:ascii="Times New Roman" w:cs="Times New Roman" w:eastAsia="Times New Roman" w:hAnsi="Times New Roman"/>
          <w:sz w:val="20"/>
          <w:szCs w:val="20"/>
          <w:color w:val="auto"/>
        </w:rPr>
        <w:t>Our common shares are thinly traded, and our shareholders may be unable to sell their shares quickly or at market price.</w:t>
      </w:r>
    </w:p>
    <w:p>
      <w:pPr>
        <w:spacing w:after="0" w:line="1" w:lineRule="exact"/>
        <w:rPr>
          <w:sz w:val="20"/>
          <w:szCs w:val="20"/>
          <w:color w:val="auto"/>
        </w:rPr>
      </w:pPr>
    </w:p>
    <w:p>
      <w:pPr>
        <w:ind w:left="720"/>
        <w:spacing w:after="0" w:line="280" w:lineRule="auto"/>
        <w:rPr>
          <w:sz w:val="20"/>
          <w:szCs w:val="20"/>
          <w:color w:val="auto"/>
        </w:rPr>
      </w:pPr>
      <w:r>
        <w:rPr>
          <w:rFonts w:ascii="Times New Roman" w:cs="Times New Roman" w:eastAsia="Times New Roman" w:hAnsi="Times New Roman"/>
          <w:sz w:val="20"/>
          <w:szCs w:val="20"/>
          <w:color w:val="auto"/>
        </w:rPr>
        <w:t>Concentration of ownership of our common shares among our existing executive officers, directors and principal shareholders may prevent new investors from influencing significant corporate decisions.</w:t>
      </w:r>
    </w:p>
    <w:p>
      <w:pPr>
        <w:sectPr>
          <w:pgSz w:w="11880" w:h="15480" w:orient="portrait"/>
          <w:cols w:equalWidth="0" w:num="1">
            <w:col w:w="9360"/>
          </w:cols>
          <w:pgMar w:left="144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color w:val="auto"/>
        </w:rPr>
        <w:t>6</w:t>
      </w:r>
    </w:p>
    <w:p>
      <w:pPr>
        <w:sectPr>
          <w:pgSz w:w="11880" w:h="15480" w:orient="portrait"/>
          <w:cols w:equalWidth="0" w:num="1">
            <w:col w:w="9360"/>
          </w:cols>
          <w:pgMar w:left="1440" w:top="1064" w:right="1080" w:bottom="544"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3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BUSINESS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Overview</w:t>
      </w:r>
    </w:p>
    <w:p>
      <w:pPr>
        <w:spacing w:after="0" w:line="2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are a biopharmaceutical company focused on the development and commercialization of innovative cardiovascular medicines. Our approved product CARDAMYST</w:t>
      </w:r>
      <w:r>
        <w:rPr>
          <w:rFonts w:ascii="Times New Roman" w:cs="Times New Roman" w:eastAsia="Times New Roman" w:hAnsi="Times New Roman"/>
          <w:sz w:val="25"/>
          <w:szCs w:val="25"/>
          <w:b w:val="1"/>
          <w:bCs w:val="1"/>
          <w:color w:val="auto"/>
          <w:vertAlign w:val="superscript"/>
        </w:rPr>
        <w:t>TM</w:t>
      </w:r>
      <w:r>
        <w:rPr>
          <w:rFonts w:ascii="Times New Roman" w:cs="Times New Roman" w:eastAsia="Times New Roman" w:hAnsi="Times New Roman"/>
          <w:sz w:val="20"/>
          <w:szCs w:val="20"/>
          <w:color w:val="auto"/>
        </w:rPr>
        <w:t xml:space="preserve"> (etripamil) nasal spray is available in the United States and is the first and only FDA approved self-administered treatment for use by patients anywhere, anytime an attack of PSVT occurs. We continue to seek, either directly or through collaboration with our partners, marketing approval from regulatory agencies responsible for regions outside the United States. We are also developing etripamil for the indication of atrial fibrillation with rapid ventricular rate, or “AFib-RVR.”</w:t>
      </w:r>
    </w:p>
    <w:p>
      <w:pPr>
        <w:spacing w:after="0" w:line="20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We are currently focusing our efforts and financial resources on (i) the commercialization of CARDAMYST</w:t>
      </w:r>
      <w:r>
        <w:rPr>
          <w:rFonts w:ascii="Times New Roman" w:cs="Times New Roman" w:eastAsia="Times New Roman" w:hAnsi="Times New Roman"/>
          <w:sz w:val="25"/>
          <w:szCs w:val="25"/>
          <w:b w:val="1"/>
          <w:bCs w:val="1"/>
          <w:color w:val="auto"/>
          <w:vertAlign w:val="superscript"/>
        </w:rPr>
        <w:t>TM</w:t>
      </w:r>
      <w:r>
        <w:rPr>
          <w:rFonts w:ascii="Times New Roman" w:cs="Times New Roman" w:eastAsia="Times New Roman" w:hAnsi="Times New Roman"/>
          <w:sz w:val="20"/>
          <w:szCs w:val="20"/>
          <w:color w:val="auto"/>
        </w:rPr>
        <w:t xml:space="preserve"> (etripamil) nasal spray for the treatment of PSVT, (ii) the development of etripamil for the treatment of AFib-RVR and (iii) corporate development activities that have the potential to increase company value through strategic collaborations.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CARDAMYST</w:t>
      </w:r>
      <w:r>
        <w:rPr>
          <w:rFonts w:ascii="Times New Roman" w:cs="Times New Roman" w:eastAsia="Times New Roman" w:hAnsi="Times New Roman"/>
          <w:sz w:val="25"/>
          <w:szCs w:val="25"/>
          <w:b w:val="1"/>
          <w:bCs w:val="1"/>
          <w:color w:val="auto"/>
          <w:vertAlign w:val="superscript"/>
        </w:rPr>
        <w:t>TM</w:t>
      </w:r>
      <w:r>
        <w:rPr>
          <w:rFonts w:ascii="Times New Roman" w:cs="Times New Roman" w:eastAsia="Times New Roman" w:hAnsi="Times New Roman"/>
          <w:sz w:val="20"/>
          <w:szCs w:val="20"/>
          <w:b w:val="1"/>
          <w:bCs w:val="1"/>
          <w:color w:val="auto"/>
        </w:rPr>
        <w:t xml:space="preserve"> (etripamil) nasal spray for the Treatment of PSVT</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On December 12, 2025, we announced that the FDA approved our first commercial product, CARDAMYST (etripamil) nasal spray, a prescription medication for the conversion of acute symptomatic episodes of PSVT, to sinus rhythm in adults. We are focused on the commercialization of CARDAMYST, which became available in retail pharmacies in the first quarter of 2026. We manufacture CARDAMYST with a global supply chain that produces the active pharmaceutical ingredient, etripamil, and then formulates and assembles it into the delivery device, a nasal spray, before completing packaging of the saleable product which is then distributed via a third party logistics provider to wholesalers for delivery to retail pharmacies once prescriptions are received. To create demand, our sales team of approximately 60 representatives expects to engage healthcare providers who we believe will treat around 500,000 patients with a diagnosis of PSVT in 2026.</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We designed the molecule of etripamil, and we are commercializing and further developing the drug, a novel, potent, and rapid-onset calcium channel blocker, as a nasal spray to be administered by the patient to terminate episodes of transient cardiovascular conditions as they occur. Rapid pharmacological action is both appropriate and sufficient to resolve an episode of supraventricular tachycardia, or “SVT.” We are also developing etripamil to provide acute ventricular rate control for patients with symptomatic episodes of atrial fibrillation with rapid ventricular rate and are exploring other therapeutic applications in which a patient-administered, rapid-onset, non-dihydropyridine calcium channel blocking agent could provide patient benefit.</w:t>
      </w:r>
    </w:p>
    <w:p>
      <w:pPr>
        <w:spacing w:after="0" w:line="18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our work to develop potential therapies, we sought to create new chemical entities as analogs of known molecular classes with clinically validated mechanisms of action. Our goal was to preserve the beneficial pharmacology of existing molecules while altering their pharmacokinetic profile with focused medicinal chemistry to produce drugs that are fast acting. As a result, we created a series of novel non-dihydropyridine, L-type calcium channel blockers containing chemical ester moieties that preserved the desired pharmacology on the heart but that could be rapidly metabolized in the blood by serum esterases. Etripamil resulted from this effort as a new chemical entity with a fast pharmacodynamic effect in humans, relative to oral calcium channel blockers.</w:t>
      </w:r>
    </w:p>
    <w:p>
      <w:pPr>
        <w:spacing w:after="0" w:line="20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We believe that the following attributes of etripamil make it a better treatment candidate for certain episodic cardiovascular conditions than current standards of care:</w:t>
      </w:r>
    </w:p>
    <w:p>
      <w:pPr>
        <w:spacing w:after="0" w:line="163" w:lineRule="exact"/>
        <w:rPr>
          <w:sz w:val="20"/>
          <w:szCs w:val="20"/>
          <w:color w:val="auto"/>
        </w:rPr>
      </w:pPr>
    </w:p>
    <w:p>
      <w:pPr>
        <w:jc w:val="both"/>
        <w:ind w:left="1080" w:hanging="352"/>
        <w:spacing w:after="0" w:line="260" w:lineRule="auto"/>
        <w:tabs>
          <w:tab w:leader="none" w:pos="10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Action: Etripamil is designed to be rapidly metabolized by blood-borne esterases, with the goal of reducing either the duration of side effects that may occur with acute treatment or the long-term side effects that may occur with chronic drug therapy.</w:t>
      </w:r>
    </w:p>
    <w:p>
      <w:pPr>
        <w:sectPr>
          <w:pgSz w:w="11880" w:h="15480" w:orient="portrait"/>
          <w:cols w:equalWidth="0" w:num="1">
            <w:col w:w="9720"/>
          </w:cols>
          <w:pgMar w:left="1080" w:top="1061"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w:t>
      </w:r>
    </w:p>
    <w:p>
      <w:pPr>
        <w:sectPr>
          <w:pgSz w:w="11880" w:h="15480" w:orient="portrait"/>
          <w:cols w:equalWidth="0" w:num="1">
            <w:col w:w="9720"/>
          </w:cols>
          <w:pgMar w:left="1080" w:top="1061" w:right="1080" w:bottom="544" w:gutter="0" w:footer="0" w:header="0"/>
          <w:type w:val="continuous"/>
        </w:sectPr>
      </w:pPr>
    </w:p>
    <w:bookmarkStart w:id="9" w:name="page10"/>
    <w:bookmarkEnd w:id="9"/>
    <w:p>
      <w:pPr>
        <w:jc w:val="both"/>
        <w:ind w:left="1080" w:hanging="353"/>
        <w:spacing w:after="0"/>
        <w:tabs>
          <w:tab w:leader="none" w:pos="10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Absorption: Etripamil is designed to be absorbed into the bloodstream in less than 10 minutes through the inner lining of the nose, yielding a rapid-onset pharmacologic pattern consistent with parenterally administered drugs.</w:t>
      </w:r>
    </w:p>
    <w:p>
      <w:pPr>
        <w:ind w:left="1080" w:hanging="353"/>
        <w:spacing w:after="0" w:line="280" w:lineRule="auto"/>
        <w:tabs>
          <w:tab w:leader="none" w:pos="10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Administration: Etripamil is designed, and has been investigated, to empower patients to self-administer treatment outside of a medical setting and as prompted by a patient’s symptoms.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PSVT</w:t>
      </w:r>
    </w:p>
    <w:p>
      <w:pPr>
        <w:spacing w:after="0" w:line="24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PSVT is a serious, markedly symptomatic, and recurring cardiac arrhythmia, caused by altered electrical conduction within the heart involving the atrioventricular, or “AV,” node and over an abnormal electrical circuit in most cases. The common form of PSVT, AV nodal reentrant tachycardia, or “AVNRT,” has an abnormal limb of electrical circuitry within the AV node that is the substrate of the tachycardia and forms the basis for a reentrant arrhythmia, resulting in excessively rapid beating of both the atria and ventricles.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135890</wp:posOffset>
            </wp:positionV>
            <wp:extent cx="5256530" cy="2457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extLst>
                    </a:blip>
                    <a:srcRect/>
                    <a:stretch>
                      <a:fillRect/>
                    </a:stretch>
                  </pic:blipFill>
                  <pic:spPr bwMode="auto">
                    <a:xfrm>
                      <a:off x="0" y="0"/>
                      <a:ext cx="5256530" cy="2457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the next most common form of PSVT, atrioventricular reciprocating tachycardia, or “AVRT,” there is an abnormal limb of electrical tissue, or bypass tract, that directly connects the atria and the ventricles. In AVRT, the bypass tract allows the signal to travel between the atria and ventricles as a “short circuit.” AVRT also involves the AV node, in addition to the bypass tract. Thus, for both AVNRT and AVRT – two PSVT types that require the AV node as a part of their abnormal circuit (i.e., AV-nodal dependent PSVTs) – a drug which targets the AV node can represent a potential treatment. Non-dihydropyridine calcium channel blockers are a class of drugs that target the AV node, reflecting why etripamil has been an excellent therapeutic candidate for AVNRT and AVRT disruption and termination.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Current Treatment Options for PSVT</w:t>
      </w:r>
    </w:p>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Treatment for PSVT depends on the frequency, duration, and severity of the episodes, as well as patient preference for pharmacologic or invasive treatment. Current options for patients with PSVT to acutely terminate an episode of arrhythmia include intravenous, or “IV,” medication (e.g., IV adenosine, IV calcium channel blockers), administered in an emergency department, which transiently alter electrical conduction over the AV node leading to termination of AV-dependent arrhythmias and restoration of sinus rhythm; or an external shock delivered in the emergency department. Of note, IV adenosine temporarily causes complete heart block and patients have reported experiencing chest tightness, flushing, and a sense of impending doom. Two other modalities, though of low effectiveness, are vagal maneuvers or oral medications administered at the onset of an episode (e.g., calcium channel blockers, beta blockers). Long-term, preventative strategies include chronic drug therapy to reduce the frequency of episodes, though patients exhibit break-through episodes of PSVT and emergency department visits for the same, despite chronic medications and cardiac ablation to potentially cure the disease. Patients may also elect not to treat their PSVT and simply endure episodes of SVT when they occur.</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w:t>
      </w:r>
    </w:p>
    <w:p>
      <w:pPr>
        <w:sectPr>
          <w:pgSz w:w="11880" w:h="15480" w:orient="portrait"/>
          <w:cols w:equalWidth="0" w:num="1">
            <w:col w:w="9720"/>
          </w:cols>
          <w:pgMar w:left="1080" w:top="1064" w:right="1080" w:bottom="544" w:gutter="0" w:footer="0" w:header="0"/>
          <w:type w:val="continuous"/>
        </w:sectPr>
      </w:pPr>
    </w:p>
    <w:bookmarkStart w:id="10" w:name="page11"/>
    <w:bookmarkEnd w:id="10"/>
    <w:p>
      <w:pPr>
        <w:jc w:val="both"/>
        <w:spacing w:after="0" w:line="250" w:lineRule="auto"/>
        <w:rPr>
          <w:sz w:val="20"/>
          <w:szCs w:val="20"/>
          <w:color w:val="auto"/>
        </w:rPr>
      </w:pPr>
      <w:r>
        <w:rPr>
          <w:rFonts w:ascii="Times New Roman" w:cs="Times New Roman" w:eastAsia="Times New Roman" w:hAnsi="Times New Roman"/>
          <w:sz w:val="20"/>
          <w:szCs w:val="20"/>
          <w:color w:val="auto"/>
        </w:rPr>
        <w:t>Of note, chronic medication can lead to side effects such as sexual dysfunction or fatigue in the case of beta blockers and constipation in the case of verapamil. Some patients discontinue chronic oral medication due to intolerable side effects. Based on our market research, we estimate that approximately two thirds of patients with PSVT have been prescribed chronic medications such as beta blockers or calcium channel blockers to prevent episodes of SVT or to treat other concomitant conditions such as hypertension.</w:t>
      </w:r>
    </w:p>
    <w:p>
      <w:pPr>
        <w:spacing w:after="0" w:line="19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Ablations, a potentially curative treatment for PSVT, is an invasive procedure, which works by directly cauterizing or freezing the short circuit that is the substrate for the abnormal rhythm. This is achieved in an electrophysiology lab via catheters that enter the patient’s heart through the blood vessels and that deliver burning or freezing to ablate the abnormal electrical tissue. Ablation single-procedure success rates for PSVT are reported to be 91% to 96%. However, we estimate that less than 10% of eligible patients with PSVT per year choose this option, which we believe is due primarily to anxiety related to the procedure. Although ablations are generally considered to be safe by the treating community, as with any invasive procedure there are potential complications, which include bleeding, blood clots, pericardial tamponade, and transient or permanent heart block, with the latter requiring permanent pacemaker implantation.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PSVT Market Overview</w:t>
      </w:r>
    </w:p>
    <w:p>
      <w:pPr>
        <w:spacing w:after="0" w:line="23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PSVT is a condition that causes a patient’s heart to suddenly start beating faster than normal. It can be life-altering as PSVT is highly symptomatic, characterized by unpredictable attacks of a racing heart, often exceeding 150 beats per minute. Symptoms of PSVT arise suddenly and may include palpitations, sweating, chest pressure or pain, shortness of breath, sudden onset of fatigue, lightheadedness or dizziness, fainting, and anxiety, causing many patients to interrupt their daily activities at the time of symptom-onset. The impact and morbidity from an episode of PSVT can be especially detrimental in patients with underlying cardiovascular or medical conditions, such as heart failure, obstructive coronary disease, or dehydration. The uncertainty of when such an attack of PSVT will strike or how long it will persist is often anxiety-provoking, reducing patients’ quality of life and preventing participation in many desired activities. Drugs approved for the treatment of attacks of PSVT include adenosine, verapamil, and diltiazem, with all being administered intravenously under medical supervision, usually in the emergency department. Other oral drugs are sometimes used to treat attacks in a concept called “pill in the pocket.” However, those drugs have never been proven effective or safe and are not approved for this use. Doctors are often frustrated by the limited effective treatment options with the only approved options involving prolonged, unpleasant, and costly trips to the emergency department or, for some patients, an invasive ablation procedure. PSVT can be traumatic for patients, frustrating for healthcare providers, and costly for payors. With no pharmaceutical innovation in the treatment of PSVT for more than 30 years and a movement in the healthcare system to enable patient-centered care, we believe there is an opportunity to help patients living with PSVT to take greater control over their PSVT.</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believe that PSVT is a large and under-recognized market which we estimate affects more than two million Americans. From this diagnosed population, we define the immediate target addressable market for CARDAMYST as approximately 50% of patients with PSVT who have sufficient disease burden that they are compelled to seek care for their condition and are primarily managed by approximately 40,000 healthcare providers composed primarily of clinical cardiologists, interventional cardiologists and electrophysiologists. The remaining patients with PSVT can become addressable over time, as they are inconsistently managed (cycling in and out of the healthcare system). Furthermore, PSVT is expected to increase in diagnosed prevalence in coming years as wearable electrocardiogram, or “ECG,” technology (e.g., smartphone, watches) becomes both more adept at diagnosing PSVT and more widely used by patients and clinical practitioners, in turn shortening the time to diagnosis.</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Following the release of data from the RAPID clinical study, in market research, cardiologists reported a willingness to prescribe CARDAMYST to approximately 50% of the patients with PSVT in their care, which suggests approximately 500,000 to 800,000 patients can potentially be treated with CARDAMYST in peak years. Additionally, we believe that this cardiology-identified group of patients may use CARDAMYST to treat a median of three to five episodes per year, based on the projected number of self-reported longer and more intense episodes experienced by patients, as well as the patient utilization experience in our Phase 3 clinical trials. This implies a peak demand potential in the United States for CARDAMYST of 2.5 million to 4 million episodes treated per year.</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w:t>
      </w:r>
    </w:p>
    <w:p>
      <w:pPr>
        <w:sectPr>
          <w:pgSz w:w="11880" w:h="15480" w:orient="portrait"/>
          <w:cols w:equalWidth="0" w:num="1">
            <w:col w:w="9720"/>
          </w:cols>
          <w:pgMar w:left="1080" w:top="1064" w:right="1080" w:bottom="544" w:gutter="0" w:footer="0" w:header="0"/>
          <w:type w:val="continuous"/>
        </w:sectPr>
      </w:pPr>
    </w:p>
    <w:bookmarkStart w:id="11" w:name="page12"/>
    <w:bookmarkEnd w:id="11"/>
    <w:p>
      <w:pPr>
        <w:jc w:val="both"/>
        <w:spacing w:after="0" w:line="253" w:lineRule="auto"/>
        <w:rPr>
          <w:sz w:val="20"/>
          <w:szCs w:val="20"/>
          <w:color w:val="auto"/>
        </w:rPr>
      </w:pPr>
      <w:r>
        <w:rPr>
          <w:rFonts w:ascii="Times New Roman" w:cs="Times New Roman" w:eastAsia="Times New Roman" w:hAnsi="Times New Roman"/>
          <w:sz w:val="20"/>
          <w:szCs w:val="20"/>
          <w:color w:val="auto"/>
        </w:rPr>
        <w:t>Current treatment for PSVT also consumes significant healthcare resources. Research published in the American Journal of Cardiology in 2020 shows that total healthcare expenditures in the year following a diagnosis of PSVT ranged from $20,000 to $30,000 per patient which were significantly higher than the expenditures observed for patients without PSVT. These significant increases included increased emergency department visits and hospitalization costs. Of note, catheter ablations following diagnosis represented only 23% of this increased spend, meaning most costs were unrelated to ablations. Recent data from the Healthcare Cost and Utilization Project, or “HCUP,” database indicate that in 2019 there were approximately 140,000 emergency department, or “ED,” visits for PSVT when coded (for billing) in the primary diagnostic position, and a total of approximately 525,000 ED visits when PSVT was coded in any diagnostic position. Of these, approximately 25% of ED admissions for PSVT resulted in a hospital admission. HCUP estimates a total of approximately 40,000 to approximately 120,000 inpatient admissions for PSVT in 2019 (based again if a PSVT billing code was found in the primary v. any diagnostic position). Despite the effectiveness of catheter ablation, claims data suggests that only approximately 15% of patients with PSVT are ablated over a three-year period, leading to a total of approximately 100,000 catheter ablations annually. In total, up to $15.0 billion is spent annually in the United States on the management of PSVT.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PSVT Continued Development Highlights</w:t>
      </w:r>
    </w:p>
    <w:p>
      <w:pPr>
        <w:spacing w:after="0" w:line="22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0"/>
          <w:szCs w:val="20"/>
          <w:color w:val="auto"/>
        </w:rPr>
        <w:t>In November 2025, we submitted our marketing authorization application, or “MAA,” to the European Medicines Agency, or “EMA,” for review for approval to market etripamil nasal spray, under the trade name TACHYMIST</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in European Union. The MAA utilizes much of the clinical, manufacturing and quality data package that was submitted in the NDA which lead to the US FDA approval.</w:t>
      </w:r>
    </w:p>
    <w:p>
      <w:pPr>
        <w:spacing w:after="0" w:line="1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January 2025, our licensing partner, Corxel (formerly Ji Xing Pharmaceuticals Limited, JIXING), announced that the Center for Drug Evaluation, or “CDE,” of the National Medical Products Administration, or “NMPA,” of the People’s Republic of China has accepted the New Drug Application, or “NDA,” for etripamil nasal spray for</w:t>
      </w:r>
      <w:r>
        <w:rPr>
          <w:rFonts w:ascii="Arial" w:cs="Arial" w:eastAsia="Arial" w:hAnsi="Arial"/>
          <w:sz w:val="20"/>
          <w:szCs w:val="20"/>
          <w:color w:val="auto"/>
        </w:rPr>
        <w:t> </w:t>
      </w:r>
      <w:r>
        <w:rPr>
          <w:rFonts w:ascii="Times New Roman" w:cs="Times New Roman" w:eastAsia="Times New Roman" w:hAnsi="Times New Roman"/>
          <w:sz w:val="20"/>
          <w:szCs w:val="20"/>
          <w:color w:val="auto"/>
        </w:rPr>
        <w:t>the treatment of PSVT. The NDA to the NMPA included data from the successful Phase 3 JX02002 clinical trial of etripamil nasal spray in patients with PSVT in China in addition to data included in the NDA that Milestone submitted to the FDA.</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500-patient Phase 3 trial (JX02002) met its primary endpoint, with a Kaplan Meier analysis shows a statistically significantly greater proportion of patients who self-administered etripamil converted from PSVT to sinus rhythm within 30 minutes compared to placebo (40.5% vs. 15.9%, respectively; hazard ratio [HR] = 3.00; 95% CI 1.58-5.71; p&lt;0.001). Statistically significant (p&lt;0.05) results were also shown for the secondary efficacy endpoints for percent of patients’ PSVT converted to sinus rhythm by 10, 15, 45 and 60 minutes after self-administration of study drug.</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Corxel further reported that, overall, treatment emergent adverse events were comparable between treatment groups, and there were no reported serious adverse events related to etripamil. The safety and tolerability data from the JX02002 trial were consistent with previous clinical studies. This important study further expands the etripamil global development program to more than 2,000 unique patients treated with etripamil.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Etripamil Nasal Spray for the Treatment of AFib-RVR</w:t>
      </w:r>
    </w:p>
    <w:p>
      <w:pPr>
        <w:spacing w:after="0" w:line="23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Similar to our approach for PSVT, we believe that etripamil has the potential to help people experiencing a symptomatic episode of AFib-RVR to self-treat and to conveniently, reliably, and quickly reduce their elevated heart rate, with the goal of reducing the need for emergency department utilization. We completed a successful Phase 2 study, named “ReVeRA” or the “ReVeRA study”, in patients presenting urgently with episodes of AFib-RVR to the emergency department. We have published the ReVeRA study and results, which demonstrated that patients receiving etripamil nasal spray experienced rapid and statistically superior ventricular rate reduction and improved symptom-relief compared to placebo, with safety and tolerability findings generally consistent with those observed in our PSVT program. We believe these data support the continued development of etripamil, self-administered in the medically unmonitored setting, for the treatment of AFib-RVR.</w:t>
      </w:r>
    </w:p>
    <w:p>
      <w:pPr>
        <w:spacing w:after="0" w:line="196"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9"/>
          <w:szCs w:val="19"/>
          <w:color w:val="auto"/>
        </w:rPr>
        <w:t>Incorporating FDA’s guidance, we have developed a Phase 3 registrational program to evaluate self-administered etripamil as a potential treatment for patients with AFib-RVR. We intend to pursue a supplemental new drug application, or “sNDA,”</w:t>
      </w:r>
    </w:p>
    <w:p>
      <w:pPr>
        <w:sectPr>
          <w:pgSz w:w="11880" w:h="15480" w:orient="portrait"/>
          <w:cols w:equalWidth="0" w:num="1">
            <w:col w:w="9720"/>
          </w:cols>
          <w:pgMar w:left="1080" w:top="1075"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880" w:h="15480" w:orient="portrait"/>
          <w:cols w:equalWidth="0" w:num="1">
            <w:col w:w="9720"/>
          </w:cols>
          <w:pgMar w:left="1080" w:top="1075" w:right="1080" w:bottom="544" w:gutter="0" w:footer="0" w:header="0"/>
          <w:type w:val="continuous"/>
        </w:sectPr>
      </w:pPr>
    </w:p>
    <w:bookmarkStart w:id="12" w:name="page13"/>
    <w:bookmarkEnd w:id="12"/>
    <w:p>
      <w:pPr>
        <w:jc w:val="both"/>
        <w:spacing w:after="0" w:line="280" w:lineRule="auto"/>
        <w:rPr>
          <w:sz w:val="20"/>
          <w:szCs w:val="20"/>
          <w:color w:val="auto"/>
        </w:rPr>
      </w:pPr>
      <w:r>
        <w:rPr>
          <w:rFonts w:ascii="Times New Roman" w:cs="Times New Roman" w:eastAsia="Times New Roman" w:hAnsi="Times New Roman"/>
          <w:sz w:val="20"/>
          <w:szCs w:val="20"/>
          <w:color w:val="auto"/>
        </w:rPr>
        <w:t>regulatory approval pathway for a potential second indication for etripamil in Afib -RVR. As such, we will leverage the PSVT indication and PSVT program data, along with a single pivotal Phase 3 study in patients with AFib-RVR.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Atrial Fibrillation</w:t>
      </w:r>
    </w:p>
    <w:p>
      <w:pPr>
        <w:spacing w:after="0" w:line="2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AFib is a common arrhythmia with an irregular and often rapid heart rate that can increase the risk of stroke, embolism, heart failure, and other cardiac morbidities. AFib is often highly symptomatic, particularly when episodes have rapid heart rates. Symptoms include heart palpitations, shortness of breath, fatigue, and weakness, and underlying cardiac disorders can be worsened. Episodes of atrial fibrillation can come and go, or patients may have AFib that does not resolve. Although the heart arrhythmia in AFib itself usually is not life-threatening, it is a serious medical condition that sometimes requires emergency treatment. Because AFib is associated with elevated risk of embolism and stroke, anticoagulant medications, also called blood thinners, are commonly prescribed to manage this risk. Uncertainty around symptom timing and episode length may impact a patient’s quality of life. During AFib, the heart’s two upper chambers, the atria, beat chaotically and irregularly—out of coordination with the two lower chambers, the ventricles, of the heart, as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1369060</wp:posOffset>
            </wp:positionH>
            <wp:positionV relativeFrom="paragraph">
              <wp:posOffset>133350</wp:posOffset>
            </wp:positionV>
            <wp:extent cx="3434080" cy="16300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extLst>
                    </a:blip>
                    <a:srcRect/>
                    <a:stretch>
                      <a:fillRect/>
                    </a:stretch>
                  </pic:blipFill>
                  <pic:spPr bwMode="auto">
                    <a:xfrm>
                      <a:off x="0" y="0"/>
                      <a:ext cx="3434080" cy="163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Categorization of AFib is customarily defined as: paroxysmal, which involves episodes of AFib that resolve spontaneously within seven days of symptom onset; persistent, which involves episodes that fail to terminate within seven days of symptom onset and require treatment to convert back to sinus rhythm; long-standing persistent, which involves episodes of atrial fibrillation that last longer than one year despite continued attempts to restore sinus rhythm; and permanent, which involves a joint decision by the treating provider and patient to no longer pursue cardioversion and leave the patient in AFib, focusing on rate control and symptom management. Prevalence of categories includes approximately 40% of patients with AFib as paroxysmal stage, 30% as persistent and long-standing persistent stage, and 30% as permanent. Concomitant structural heart irregularities including valvular dysfunction and the presence of active symptoms may also help to characterize patients and influence treatment decisions.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Current Treatment Options for Atrial Fibrillation with Rapid Ventricular Rate</w:t>
      </w:r>
    </w:p>
    <w:p>
      <w:pPr>
        <w:spacing w:after="0" w:line="23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 xml:space="preserve">A common complication of AFib is an RVR which can be defined as a heart rate of </w:t>
      </w:r>
      <w:r>
        <w:rPr>
          <w:rFonts w:ascii="Arial" w:cs="Arial" w:eastAsia="Arial" w:hAnsi="Arial"/>
          <w:sz w:val="20"/>
          <w:szCs w:val="20"/>
          <w:color w:val="auto"/>
        </w:rPr>
        <w:t>≥</w:t>
      </w:r>
      <w:r>
        <w:rPr>
          <w:rFonts w:ascii="Times New Roman" w:cs="Times New Roman" w:eastAsia="Times New Roman" w:hAnsi="Times New Roman"/>
          <w:sz w:val="20"/>
          <w:szCs w:val="20"/>
          <w:color w:val="auto"/>
        </w:rPr>
        <w:t>110 beats per minute. Irregular and inefficient cardiac pumping function caused by a RVR accounts for hemodynamic instability and many of the arrhythmia’s symptoms.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There are currently two major approaches to managing AFib: rate control to lower a RVR or upward excursions in rate, and rhythm control to both restore and maintain normal sinus rhythm and to prevent recurrent AFib. Either of these treatment approaches, often performed by pharmacological means, may be given chronically or acutely, depending on patient preference and episode frequency and severity, though each has limitations. The decision to pursue rate or rhythm control for episodes of AFib is dependent on factors including episode severity, episode frequency, patient preference, and safety and tolerability of treatments. Several rhythm control strategies exist, including electrical cardioversion, catheter-based cardiac ablation, and antiarrhythmic drug therapy. For rate control, the rapid heart rate of AFib is can be treated with chronically administered AV nodal acting drugs (e.g., calcium channel blockers, beta blockers, digoxin) to control RVR and symptoms from RVR, and to improve cardiac function/hemodynamic stability. Oral rate control drugs used acutely do not provide immediate ventricular rate control due to a 30-to-120-minute delayed onset of action. Breakthrough</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880" w:h="15480" w:orient="portrait"/>
          <w:cols w:equalWidth="0" w:num="1">
            <w:col w:w="9720"/>
          </w:cols>
          <w:pgMar w:left="1080" w:top="1064" w:right="1080" w:bottom="544" w:gutter="0" w:footer="0" w:header="0"/>
          <w:type w:val="continuous"/>
        </w:sectPr>
      </w:pPr>
    </w:p>
    <w:bookmarkStart w:id="13" w:name="page14"/>
    <w:bookmarkEnd w:id="13"/>
    <w:p>
      <w:pPr>
        <w:jc w:val="both"/>
        <w:spacing w:after="0" w:line="260" w:lineRule="auto"/>
        <w:rPr>
          <w:sz w:val="20"/>
          <w:szCs w:val="20"/>
          <w:color w:val="auto"/>
        </w:rPr>
      </w:pPr>
      <w:r>
        <w:rPr>
          <w:rFonts w:ascii="Times New Roman" w:cs="Times New Roman" w:eastAsia="Times New Roman" w:hAnsi="Times New Roman"/>
          <w:sz w:val="20"/>
          <w:szCs w:val="20"/>
          <w:color w:val="auto"/>
        </w:rPr>
        <w:t>episodes of symptomatic atrial fibrillation often require urgent medical treatment with IV calcium channel blockers and IV beta blockers under medical supervision in an emergency department to quickly reduce heart rate before transitioning a patient back to oral therapy.</w:t>
      </w:r>
    </w:p>
    <w:p>
      <w:pPr>
        <w:spacing w:after="0" w:line="183"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0"/>
          <w:szCs w:val="20"/>
          <w:color w:val="auto"/>
        </w:rPr>
        <w:t>Of note, AHA and ACC guidelines do not explicitly acknowledge the as needed (PRN) approach to acutely administering oral rate control agents, however, market research conducted by us indicates a significant share of patients are managed this way. This market research, from 2018, estimated that approximately 40% of patients use acutely administered rate control medication to manage symptoms of atrial fibrillation. Additionally, our physician market research, from 2021, suggests that both clinical/interventional cardiologists and electrophysiologists prescribe PRN rate control for some of their patients with AFib.</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Clinical Development Plan for Atrial Fibrillation with Rapid Ventricular Rate</w:t>
      </w:r>
    </w:p>
    <w:p>
      <w:pPr>
        <w:spacing w:after="0" w:line="2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In November 2023, we presented positive Phase 2 data from the ReVeRA study as a Featured Science Presentation at the American Heart Association Scientific Meetings (Philadelphia, PA) and as simultaneously published in </w:t>
      </w:r>
      <w:r>
        <w:rPr>
          <w:rFonts w:ascii="Times New Roman" w:cs="Times New Roman" w:eastAsia="Times New Roman" w:hAnsi="Times New Roman"/>
          <w:sz w:val="20"/>
          <w:szCs w:val="20"/>
          <w:i w:val="1"/>
          <w:iCs w:val="1"/>
          <w:color w:val="auto"/>
        </w:rPr>
        <w:t>Circulation: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Arrhythmia and Electrophysiology</w:t>
      </w:r>
      <w:r>
        <w:rPr>
          <w:rFonts w:ascii="Times New Roman" w:cs="Times New Roman" w:eastAsia="Times New Roman" w:hAnsi="Times New Roman"/>
          <w:sz w:val="20"/>
          <w:szCs w:val="20"/>
          <w:color w:val="auto"/>
        </w:rPr>
        <w:t>. The Phase 2, double-blind, placebo-controlled, study, Reduction of Ventricular Rate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in Patients with Atrial Fibrillation, or “ReVeRA”, was conducted in patients presenting urgently (e.g., to an emergency department) with AFib-RVR. ReVeRA’s objectives included evaluation of the potential effectiveness of etripamil NS to reduce RVR and to improve symptoms in patients with AFib and evaluation of the drug’s safety. The trial enrolled 87 patients and dosed 56 patients with blinded study drug (the latter having a ventricular rate of </w:t>
      </w:r>
      <w:r>
        <w:rPr>
          <w:rFonts w:ascii="Arial" w:cs="Arial" w:eastAsia="Arial" w:hAnsi="Arial"/>
          <w:sz w:val="20"/>
          <w:szCs w:val="20"/>
          <w:color w:val="auto"/>
        </w:rPr>
        <w:t>≥</w:t>
      </w:r>
      <w:r>
        <w:rPr>
          <w:rFonts w:ascii="Times New Roman" w:cs="Times New Roman" w:eastAsia="Times New Roman" w:hAnsi="Times New Roman"/>
          <w:sz w:val="20"/>
          <w:szCs w:val="20"/>
          <w:color w:val="auto"/>
        </w:rPr>
        <w:t>110 beats per minute, or “bpm”) prior to receiving study drug.</w:t>
      </w:r>
    </w:p>
    <w:p>
      <w:pPr>
        <w:spacing w:after="0" w:line="20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Data showed that delivery of etripamil nasal spray significantly and rapidly reduced ventricular rate, with a time course consistent with the drug’s pharmacologic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117475</wp:posOffset>
            </wp:positionV>
            <wp:extent cx="6095365" cy="3342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extLst>
                    </a:blip>
                    <a:srcRect/>
                    <a:stretch>
                      <a:fillRect/>
                    </a:stretch>
                  </pic:blipFill>
                  <pic:spPr bwMode="auto">
                    <a:xfrm>
                      <a:off x="0" y="0"/>
                      <a:ext cx="6095365" cy="3342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Etripamil achieved the primary endpoint with high statistical significance with patients experiencing a ventricular rate reduction of 29.91 bpm (95% confidence interval: -40.31, -19.52; p&lt;0.0001) in the etripamil arm compared to placebo. The maximum absolute reduction in rate in the etripamil arm was 34.97 bpm. The median time to maximum reduction in ventricular rate, or “VR,” was 13 minutes in patients taking etripamil, and the duration of effect (reduction in VR from</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880" w:h="15480" w:orient="portrait"/>
          <w:cols w:equalWidth="0" w:num="1">
            <w:col w:w="9720"/>
          </w:cols>
          <w:pgMar w:left="1080" w:top="1064" w:right="1080" w:bottom="544" w:gutter="0" w:footer="0" w:header="0"/>
          <w:type w:val="continuous"/>
        </w:sectPr>
      </w:pPr>
    </w:p>
    <w:bookmarkStart w:id="14" w:name="page15"/>
    <w:bookmarkEnd w:id="14"/>
    <w:p>
      <w:pPr>
        <w:spacing w:after="0" w:line="280" w:lineRule="auto"/>
        <w:rPr>
          <w:sz w:val="20"/>
          <w:szCs w:val="20"/>
          <w:color w:val="auto"/>
        </w:rPr>
      </w:pPr>
      <w:r>
        <w:rPr>
          <w:rFonts w:ascii="Times New Roman" w:cs="Times New Roman" w:eastAsia="Times New Roman" w:hAnsi="Times New Roman"/>
          <w:sz w:val="20"/>
          <w:szCs w:val="20"/>
          <w:color w:val="auto"/>
        </w:rPr>
        <w:t>baseline and from placebo) was at least 150 min. The median duration of maintaining a VR &lt;100 bpm was 45.5 min in the first 60 min following drug in the etripamil arm.</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ReVeRA Primary Endpoint – Maximum Reduction in Ventricular Rate from Baseline</w:t>
      </w:r>
    </w:p>
    <w:p>
      <w:pPr>
        <w:spacing w:after="0" w:line="287" w:lineRule="exact"/>
        <w:rPr>
          <w:sz w:val="20"/>
          <w:szCs w:val="20"/>
          <w:color w:val="auto"/>
        </w:rPr>
      </w:pPr>
    </w:p>
    <w:tbl>
      <w:tblPr>
        <w:tblLayout w:type="fixed"/>
        <w:tblInd w:w="10" w:type="dxa"/>
        <w:tblCellMar>
          <w:top w:w="0" w:type="dxa"/>
          <w:left w:w="0" w:type="dxa"/>
          <w:bottom w:w="0" w:type="dxa"/>
          <w:right w:w="0" w:type="dxa"/>
        </w:tblCellMar>
      </w:tblPr>
      <w:tr>
        <w:trPr>
          <w:trHeight w:val="286"/>
        </w:trPr>
        <w:tc>
          <w:tcPr>
            <w:tcW w:w="120" w:type="dxa"/>
            <w:vAlign w:val="bottom"/>
            <w:tcBorders>
              <w:top w:val="single" w:sz="8" w:color="auto"/>
              <w:left w:val="single" w:sz="8" w:color="A6A6A6"/>
            </w:tcBorders>
            <w:shd w:val="clear" w:color="auto" w:fill="F0F2F2"/>
          </w:tcPr>
          <w:p>
            <w:pPr>
              <w:spacing w:after="0"/>
              <w:rPr>
                <w:sz w:val="24"/>
                <w:szCs w:val="24"/>
                <w:color w:val="auto"/>
              </w:rPr>
            </w:pPr>
          </w:p>
        </w:tc>
        <w:tc>
          <w:tcPr>
            <w:tcW w:w="4100" w:type="dxa"/>
            <w:vAlign w:val="bottom"/>
            <w:tcBorders>
              <w:top w:val="single" w:sz="8" w:color="auto"/>
            </w:tcBorders>
            <w:shd w:val="clear" w:color="auto" w:fill="F0F2F2"/>
          </w:tcPr>
          <w:p>
            <w:pPr>
              <w:spacing w:after="0"/>
              <w:rPr>
                <w:sz w:val="20"/>
                <w:szCs w:val="20"/>
                <w:color w:val="auto"/>
              </w:rPr>
            </w:pPr>
            <w:r>
              <w:rPr>
                <w:rFonts w:ascii="Times New Roman" w:cs="Times New Roman" w:eastAsia="Times New Roman" w:hAnsi="Times New Roman"/>
                <w:sz w:val="20"/>
                <w:szCs w:val="20"/>
                <w:b w:val="1"/>
                <w:bCs w:val="1"/>
                <w:color w:val="auto"/>
              </w:rPr>
              <w:t>P</w:t>
            </w:r>
            <w:r>
              <w:rPr>
                <w:rFonts w:ascii="Times New Roman" w:cs="Times New Roman" w:eastAsia="Times New Roman" w:hAnsi="Times New Roman"/>
                <w:sz w:val="15"/>
                <w:szCs w:val="15"/>
                <w:b w:val="1"/>
                <w:bCs w:val="1"/>
                <w:color w:val="auto"/>
              </w:rPr>
              <w:t>RIMARY</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5"/>
                <w:szCs w:val="15"/>
                <w:b w:val="1"/>
                <w:bCs w:val="1"/>
                <w:color w:val="auto"/>
              </w:rPr>
              <w:t>NDPOINT</w:t>
            </w:r>
            <w:r>
              <w:rPr>
                <w:rFonts w:ascii="Times New Roman" w:cs="Times New Roman" w:eastAsia="Times New Roman" w:hAnsi="Times New Roman"/>
                <w:sz w:val="20"/>
                <w:szCs w:val="20"/>
                <w:b w:val="1"/>
                <w:bCs w:val="1"/>
                <w:color w:val="auto"/>
              </w:rPr>
              <w:t>: Maximum Reduction in</w:t>
            </w:r>
          </w:p>
        </w:tc>
        <w:tc>
          <w:tcPr>
            <w:tcW w:w="120" w:type="dxa"/>
            <w:vAlign w:val="bottom"/>
            <w:tcBorders>
              <w:top w:val="single" w:sz="8" w:color="auto"/>
              <w:right w:val="single" w:sz="8" w:color="A6A6A6"/>
            </w:tcBorders>
            <w:shd w:val="clear" w:color="auto" w:fill="F0F2F2"/>
          </w:tcPr>
          <w:p>
            <w:pPr>
              <w:spacing w:after="0"/>
              <w:rPr>
                <w:sz w:val="24"/>
                <w:szCs w:val="24"/>
                <w:color w:val="auto"/>
              </w:rPr>
            </w:pPr>
          </w:p>
        </w:tc>
        <w:tc>
          <w:tcPr>
            <w:tcW w:w="2700" w:type="dxa"/>
            <w:vAlign w:val="bottom"/>
            <w:tcBorders>
              <w:top w:val="single" w:sz="8" w:color="auto"/>
              <w:right w:val="single" w:sz="8" w:color="A6A6A6"/>
            </w:tcBorders>
          </w:tcPr>
          <w:p>
            <w:pPr>
              <w:ind w:left="820"/>
              <w:spacing w:after="0"/>
              <w:rPr>
                <w:sz w:val="20"/>
                <w:szCs w:val="20"/>
                <w:color w:val="auto"/>
              </w:rPr>
            </w:pPr>
            <w:r>
              <w:rPr>
                <w:rFonts w:ascii="Times New Roman" w:cs="Times New Roman" w:eastAsia="Times New Roman" w:hAnsi="Times New Roman"/>
                <w:sz w:val="20"/>
                <w:szCs w:val="20"/>
                <w:b w:val="1"/>
                <w:bCs w:val="1"/>
                <w:color w:val="auto"/>
              </w:rPr>
              <w:t>Placebo NS,</w:t>
            </w:r>
          </w:p>
        </w:tc>
        <w:tc>
          <w:tcPr>
            <w:tcW w:w="2680" w:type="dxa"/>
            <w:vAlign w:val="bottom"/>
            <w:tcBorders>
              <w:top w:val="single" w:sz="8" w:color="auto"/>
              <w:right w:val="single" w:sz="8" w:color="A6A6A6"/>
            </w:tcBorders>
          </w:tcPr>
          <w:p>
            <w:pPr>
              <w:ind w:left="420"/>
              <w:spacing w:after="0"/>
              <w:rPr>
                <w:sz w:val="20"/>
                <w:szCs w:val="20"/>
                <w:color w:val="auto"/>
              </w:rPr>
            </w:pPr>
            <w:r>
              <w:rPr>
                <w:rFonts w:ascii="Times New Roman" w:cs="Times New Roman" w:eastAsia="Times New Roman" w:hAnsi="Times New Roman"/>
                <w:sz w:val="20"/>
                <w:szCs w:val="20"/>
                <w:b w:val="1"/>
                <w:bCs w:val="1"/>
                <w:color w:val="auto"/>
              </w:rPr>
              <w:t>Etripamil NS, 70 mg,</w:t>
            </w:r>
          </w:p>
        </w:tc>
        <w:tc>
          <w:tcPr>
            <w:tcW w:w="0" w:type="dxa"/>
            <w:vAlign w:val="bottom"/>
          </w:tcPr>
          <w:p>
            <w:pPr>
              <w:spacing w:after="0"/>
              <w:rPr>
                <w:sz w:val="1"/>
                <w:szCs w:val="1"/>
                <w:color w:val="auto"/>
              </w:rPr>
            </w:pPr>
          </w:p>
        </w:tc>
      </w:tr>
      <w:tr>
        <w:trPr>
          <w:trHeight w:val="310"/>
        </w:trPr>
        <w:tc>
          <w:tcPr>
            <w:tcW w:w="120" w:type="dxa"/>
            <w:vAlign w:val="bottom"/>
            <w:tcBorders>
              <w:left w:val="single" w:sz="8" w:color="A6A6A6"/>
            </w:tcBorders>
            <w:shd w:val="clear" w:color="auto" w:fill="F0F2F2"/>
          </w:tcPr>
          <w:p>
            <w:pPr>
              <w:spacing w:after="0"/>
              <w:rPr>
                <w:sz w:val="24"/>
                <w:szCs w:val="24"/>
                <w:color w:val="auto"/>
              </w:rPr>
            </w:pPr>
          </w:p>
        </w:tc>
        <w:tc>
          <w:tcPr>
            <w:tcW w:w="4100" w:type="dxa"/>
            <w:vAlign w:val="bottom"/>
            <w:shd w:val="clear" w:color="auto" w:fill="F0F2F2"/>
          </w:tcPr>
          <w:p>
            <w:pPr>
              <w:spacing w:after="0"/>
              <w:rPr>
                <w:sz w:val="20"/>
                <w:szCs w:val="20"/>
                <w:color w:val="auto"/>
              </w:rPr>
            </w:pPr>
            <w:r>
              <w:rPr>
                <w:rFonts w:ascii="Times New Roman" w:cs="Times New Roman" w:eastAsia="Times New Roman" w:hAnsi="Times New Roman"/>
                <w:sz w:val="20"/>
                <w:szCs w:val="20"/>
                <w:b w:val="1"/>
                <w:bCs w:val="1"/>
                <w:color w:val="auto"/>
              </w:rPr>
              <w:t>VR from Baseline</w:t>
            </w:r>
          </w:p>
        </w:tc>
        <w:tc>
          <w:tcPr>
            <w:tcW w:w="120" w:type="dxa"/>
            <w:vAlign w:val="bottom"/>
            <w:tcBorders>
              <w:right w:val="single" w:sz="8" w:color="A6A6A6"/>
            </w:tcBorders>
            <w:shd w:val="clear" w:color="auto" w:fill="F0F2F2"/>
          </w:tcPr>
          <w:p>
            <w:pPr>
              <w:spacing w:after="0"/>
              <w:rPr>
                <w:sz w:val="24"/>
                <w:szCs w:val="24"/>
                <w:color w:val="auto"/>
              </w:rPr>
            </w:pPr>
          </w:p>
        </w:tc>
        <w:tc>
          <w:tcPr>
            <w:tcW w:w="2700" w:type="dxa"/>
            <w:vAlign w:val="bottom"/>
            <w:tcBorders>
              <w:right w:val="single" w:sz="8" w:color="A6A6A6"/>
            </w:tcBorders>
          </w:tcPr>
          <w:p>
            <w:pPr>
              <w:jc w:val="center"/>
              <w:spacing w:after="0"/>
              <w:rPr>
                <w:sz w:val="20"/>
                <w:szCs w:val="20"/>
                <w:color w:val="auto"/>
              </w:rPr>
            </w:pPr>
            <w:r>
              <w:rPr>
                <w:rFonts w:ascii="Times New Roman" w:cs="Times New Roman" w:eastAsia="Times New Roman" w:hAnsi="Times New Roman"/>
                <w:sz w:val="20"/>
                <w:szCs w:val="20"/>
                <w:color w:val="auto"/>
                <w:w w:val="96"/>
              </w:rPr>
              <w:t>N=25</w:t>
            </w:r>
            <w:r>
              <w:rPr>
                <w:rFonts w:ascii="Times New Roman" w:cs="Times New Roman" w:eastAsia="Times New Roman" w:hAnsi="Times New Roman"/>
                <w:sz w:val="25"/>
                <w:szCs w:val="25"/>
                <w:b w:val="1"/>
                <w:bCs w:val="1"/>
                <w:color w:val="auto"/>
                <w:w w:val="96"/>
                <w:vertAlign w:val="superscript"/>
              </w:rPr>
              <w:t>1</w:t>
            </w:r>
          </w:p>
        </w:tc>
        <w:tc>
          <w:tcPr>
            <w:tcW w:w="2680" w:type="dxa"/>
            <w:vAlign w:val="bottom"/>
            <w:tcBorders>
              <w:right w:val="single" w:sz="8" w:color="A6A6A6"/>
            </w:tcBorders>
          </w:tcPr>
          <w:p>
            <w:pPr>
              <w:jc w:val="center"/>
              <w:spacing w:after="0"/>
              <w:rPr>
                <w:sz w:val="20"/>
                <w:szCs w:val="20"/>
                <w:color w:val="auto"/>
              </w:rPr>
            </w:pPr>
            <w:r>
              <w:rPr>
                <w:rFonts w:ascii="Times New Roman" w:cs="Times New Roman" w:eastAsia="Times New Roman" w:hAnsi="Times New Roman"/>
                <w:sz w:val="20"/>
                <w:szCs w:val="20"/>
                <w:color w:val="auto"/>
                <w:w w:val="96"/>
              </w:rPr>
              <w:t>N=24</w:t>
            </w:r>
            <w:r>
              <w:rPr>
                <w:rFonts w:ascii="Times New Roman" w:cs="Times New Roman" w:eastAsia="Times New Roman" w:hAnsi="Times New Roman"/>
                <w:sz w:val="25"/>
                <w:szCs w:val="25"/>
                <w:b w:val="1"/>
                <w:bCs w:val="1"/>
                <w:color w:val="auto"/>
                <w:w w:val="96"/>
                <w:vertAlign w:val="superscript"/>
              </w:rPr>
              <w:t>1</w:t>
            </w:r>
          </w:p>
        </w:tc>
        <w:tc>
          <w:tcPr>
            <w:tcW w:w="0" w:type="dxa"/>
            <w:vAlign w:val="bottom"/>
          </w:tcPr>
          <w:p>
            <w:pPr>
              <w:spacing w:after="0"/>
              <w:rPr>
                <w:sz w:val="1"/>
                <w:szCs w:val="1"/>
                <w:color w:val="auto"/>
              </w:rPr>
            </w:pPr>
          </w:p>
        </w:tc>
      </w:tr>
      <w:tr>
        <w:trPr>
          <w:trHeight w:val="47"/>
        </w:trPr>
        <w:tc>
          <w:tcPr>
            <w:tcW w:w="120" w:type="dxa"/>
            <w:vAlign w:val="bottom"/>
            <w:tcBorders>
              <w:left w:val="single" w:sz="8" w:color="A6A6A6"/>
              <w:bottom w:val="single" w:sz="8" w:color="F0F2F2"/>
            </w:tcBorders>
            <w:shd w:val="clear" w:color="auto" w:fill="F0F2F2"/>
          </w:tcPr>
          <w:p>
            <w:pPr>
              <w:spacing w:after="0"/>
              <w:rPr>
                <w:sz w:val="4"/>
                <w:szCs w:val="4"/>
                <w:color w:val="auto"/>
              </w:rPr>
            </w:pPr>
          </w:p>
        </w:tc>
        <w:tc>
          <w:tcPr>
            <w:tcW w:w="4100" w:type="dxa"/>
            <w:vAlign w:val="bottom"/>
            <w:tcBorders>
              <w:bottom w:val="single" w:sz="8" w:color="F0F2F2"/>
            </w:tcBorders>
            <w:shd w:val="clear" w:color="auto" w:fill="F0F2F2"/>
          </w:tcPr>
          <w:p>
            <w:pPr>
              <w:spacing w:after="0"/>
              <w:rPr>
                <w:sz w:val="4"/>
                <w:szCs w:val="4"/>
                <w:color w:val="auto"/>
              </w:rPr>
            </w:pPr>
          </w:p>
        </w:tc>
        <w:tc>
          <w:tcPr>
            <w:tcW w:w="120" w:type="dxa"/>
            <w:vAlign w:val="bottom"/>
            <w:tcBorders>
              <w:bottom w:val="single" w:sz="8" w:color="F0F2F2"/>
              <w:right w:val="single" w:sz="8" w:color="A6A6A6"/>
            </w:tcBorders>
            <w:shd w:val="clear" w:color="auto" w:fill="F0F2F2"/>
          </w:tcPr>
          <w:p>
            <w:pPr>
              <w:spacing w:after="0"/>
              <w:rPr>
                <w:sz w:val="4"/>
                <w:szCs w:val="4"/>
                <w:color w:val="auto"/>
              </w:rPr>
            </w:pPr>
          </w:p>
        </w:tc>
        <w:tc>
          <w:tcPr>
            <w:tcW w:w="2700" w:type="dxa"/>
            <w:vAlign w:val="bottom"/>
            <w:tcBorders>
              <w:right w:val="single" w:sz="8" w:color="A6A6A6"/>
            </w:tcBorders>
          </w:tcPr>
          <w:p>
            <w:pPr>
              <w:spacing w:after="0"/>
              <w:rPr>
                <w:sz w:val="4"/>
                <w:szCs w:val="4"/>
                <w:color w:val="auto"/>
              </w:rPr>
            </w:pPr>
          </w:p>
        </w:tc>
        <w:tc>
          <w:tcPr>
            <w:tcW w:w="2680" w:type="dxa"/>
            <w:vAlign w:val="bottom"/>
            <w:tcBorders>
              <w:right w:val="single" w:sz="8" w:color="A6A6A6"/>
            </w:tcBorders>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120" w:type="dxa"/>
            <w:vAlign w:val="bottom"/>
            <w:tcBorders>
              <w:top w:val="single" w:sz="8" w:color="D9D9D9"/>
              <w:left w:val="single" w:sz="8" w:color="A6A6A6"/>
            </w:tcBorders>
            <w:shd w:val="clear" w:color="auto" w:fill="F0F2F2"/>
          </w:tcPr>
          <w:p>
            <w:pPr>
              <w:spacing w:after="0" w:line="20" w:lineRule="exact"/>
              <w:rPr>
                <w:sz w:val="1"/>
                <w:szCs w:val="1"/>
                <w:color w:val="auto"/>
              </w:rPr>
            </w:pPr>
          </w:p>
        </w:tc>
        <w:tc>
          <w:tcPr>
            <w:tcW w:w="4100" w:type="dxa"/>
            <w:vAlign w:val="bottom"/>
            <w:tcBorders>
              <w:top w:val="single" w:sz="8" w:color="D9D9D9"/>
            </w:tcBorders>
            <w:vMerge w:val="restart"/>
            <w:shd w:val="clear" w:color="auto" w:fill="F0F2F2"/>
          </w:tcPr>
          <w:p>
            <w:pPr>
              <w:spacing w:after="0"/>
              <w:rPr>
                <w:sz w:val="20"/>
                <w:szCs w:val="20"/>
                <w:color w:val="auto"/>
              </w:rPr>
            </w:pPr>
            <w:r>
              <w:rPr>
                <w:rFonts w:ascii="Times New Roman" w:cs="Times New Roman" w:eastAsia="Times New Roman" w:hAnsi="Times New Roman"/>
                <w:sz w:val="20"/>
                <w:szCs w:val="20"/>
                <w:color w:val="auto"/>
              </w:rPr>
              <w:t>Mean (95% CI), bpm</w:t>
            </w:r>
          </w:p>
        </w:tc>
        <w:tc>
          <w:tcPr>
            <w:tcW w:w="120" w:type="dxa"/>
            <w:vAlign w:val="bottom"/>
            <w:tcBorders>
              <w:top w:val="single" w:sz="8" w:color="D9D9D9"/>
              <w:right w:val="single" w:sz="8" w:color="A6A6A6"/>
            </w:tcBorders>
            <w:shd w:val="clear" w:color="auto" w:fill="F0F2F2"/>
          </w:tcPr>
          <w:p>
            <w:pPr>
              <w:spacing w:after="0" w:line="20" w:lineRule="exact"/>
              <w:rPr>
                <w:sz w:val="1"/>
                <w:szCs w:val="1"/>
                <w:color w:val="auto"/>
              </w:rPr>
            </w:pPr>
          </w:p>
        </w:tc>
        <w:tc>
          <w:tcPr>
            <w:tcW w:w="2700" w:type="dxa"/>
            <w:vAlign w:val="bottom"/>
            <w:tcBorders>
              <w:top w:val="single" w:sz="8" w:color="D9D9D9"/>
              <w:right w:val="single" w:sz="8" w:color="A6A6A6"/>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-5.06 (-7.44, -2.67)</w:t>
            </w:r>
          </w:p>
        </w:tc>
        <w:tc>
          <w:tcPr>
            <w:tcW w:w="2680" w:type="dxa"/>
            <w:vAlign w:val="bottom"/>
            <w:tcBorders>
              <w:top w:val="single" w:sz="8" w:color="D9D9D9"/>
              <w:right w:val="single" w:sz="8" w:color="A6A6A6"/>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-34.97 (-45.13, -24.87)</w:t>
            </w:r>
          </w:p>
        </w:tc>
        <w:tc>
          <w:tcPr>
            <w:tcW w:w="0" w:type="dxa"/>
            <w:vAlign w:val="bottom"/>
          </w:tcPr>
          <w:p>
            <w:pPr>
              <w:spacing w:after="0" w:line="20" w:lineRule="exact"/>
              <w:rPr>
                <w:sz w:val="1"/>
                <w:szCs w:val="1"/>
                <w:color w:val="auto"/>
              </w:rPr>
            </w:pPr>
          </w:p>
        </w:tc>
      </w:tr>
      <w:tr>
        <w:trPr>
          <w:trHeight w:val="296"/>
        </w:trPr>
        <w:tc>
          <w:tcPr>
            <w:tcW w:w="120" w:type="dxa"/>
            <w:vAlign w:val="bottom"/>
            <w:tcBorders>
              <w:left w:val="single" w:sz="8" w:color="A6A6A6"/>
            </w:tcBorders>
            <w:shd w:val="clear" w:color="auto" w:fill="F0F2F2"/>
          </w:tcPr>
          <w:p>
            <w:pPr>
              <w:spacing w:after="0"/>
              <w:rPr>
                <w:sz w:val="24"/>
                <w:szCs w:val="24"/>
                <w:color w:val="auto"/>
              </w:rPr>
            </w:pPr>
          </w:p>
        </w:tc>
        <w:tc>
          <w:tcPr>
            <w:tcW w:w="4100" w:type="dxa"/>
            <w:vAlign w:val="bottom"/>
            <w:vMerge w:val="continue"/>
            <w:shd w:val="clear" w:color="auto" w:fill="F0F2F2"/>
          </w:tcPr>
          <w:p>
            <w:pPr>
              <w:spacing w:after="0"/>
              <w:rPr>
                <w:sz w:val="24"/>
                <w:szCs w:val="24"/>
                <w:color w:val="auto"/>
              </w:rPr>
            </w:pPr>
          </w:p>
        </w:tc>
        <w:tc>
          <w:tcPr>
            <w:tcW w:w="120" w:type="dxa"/>
            <w:vAlign w:val="bottom"/>
            <w:tcBorders>
              <w:right w:val="single" w:sz="8" w:color="A6A6A6"/>
            </w:tcBorders>
            <w:shd w:val="clear" w:color="auto" w:fill="F0F2F2"/>
          </w:tcPr>
          <w:p>
            <w:pPr>
              <w:spacing w:after="0"/>
              <w:rPr>
                <w:sz w:val="24"/>
                <w:szCs w:val="24"/>
                <w:color w:val="auto"/>
              </w:rPr>
            </w:pPr>
          </w:p>
        </w:tc>
        <w:tc>
          <w:tcPr>
            <w:tcW w:w="2700" w:type="dxa"/>
            <w:vAlign w:val="bottom"/>
            <w:tcBorders>
              <w:right w:val="single" w:sz="8" w:color="A6A6A6"/>
            </w:tcBorders>
            <w:vMerge w:val="continue"/>
          </w:tcPr>
          <w:p>
            <w:pPr>
              <w:spacing w:after="0"/>
              <w:rPr>
                <w:sz w:val="24"/>
                <w:szCs w:val="24"/>
                <w:color w:val="auto"/>
              </w:rPr>
            </w:pPr>
          </w:p>
        </w:tc>
        <w:tc>
          <w:tcPr>
            <w:tcW w:w="2680" w:type="dxa"/>
            <w:vAlign w:val="bottom"/>
            <w:tcBorders>
              <w:right w:val="single" w:sz="8" w:color="A6A6A6"/>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20" w:type="dxa"/>
            <w:vAlign w:val="bottom"/>
            <w:tcBorders>
              <w:left w:val="single" w:sz="8" w:color="A6A6A6"/>
              <w:bottom w:val="single" w:sz="8" w:color="F0F2F2"/>
            </w:tcBorders>
            <w:shd w:val="clear" w:color="auto" w:fill="F0F2F2"/>
          </w:tcPr>
          <w:p>
            <w:pPr>
              <w:spacing w:after="0"/>
              <w:rPr>
                <w:sz w:val="7"/>
                <w:szCs w:val="7"/>
                <w:color w:val="auto"/>
              </w:rPr>
            </w:pPr>
          </w:p>
        </w:tc>
        <w:tc>
          <w:tcPr>
            <w:tcW w:w="4100" w:type="dxa"/>
            <w:vAlign w:val="bottom"/>
            <w:tcBorders>
              <w:bottom w:val="single" w:sz="8" w:color="F0F2F2"/>
            </w:tcBorders>
            <w:shd w:val="clear" w:color="auto" w:fill="F0F2F2"/>
          </w:tcPr>
          <w:p>
            <w:pPr>
              <w:spacing w:after="0"/>
              <w:rPr>
                <w:sz w:val="7"/>
                <w:szCs w:val="7"/>
                <w:color w:val="auto"/>
              </w:rPr>
            </w:pPr>
          </w:p>
        </w:tc>
        <w:tc>
          <w:tcPr>
            <w:tcW w:w="120" w:type="dxa"/>
            <w:vAlign w:val="bottom"/>
            <w:tcBorders>
              <w:bottom w:val="single" w:sz="8" w:color="F0F2F2"/>
              <w:right w:val="single" w:sz="8" w:color="A6A6A6"/>
            </w:tcBorders>
            <w:shd w:val="clear" w:color="auto" w:fill="F0F2F2"/>
          </w:tcPr>
          <w:p>
            <w:pPr>
              <w:spacing w:after="0"/>
              <w:rPr>
                <w:sz w:val="7"/>
                <w:szCs w:val="7"/>
                <w:color w:val="auto"/>
              </w:rPr>
            </w:pPr>
          </w:p>
        </w:tc>
        <w:tc>
          <w:tcPr>
            <w:tcW w:w="2700" w:type="dxa"/>
            <w:vAlign w:val="bottom"/>
            <w:tcBorders>
              <w:right w:val="single" w:sz="8" w:color="A6A6A6"/>
            </w:tcBorders>
          </w:tcPr>
          <w:p>
            <w:pPr>
              <w:spacing w:after="0"/>
              <w:rPr>
                <w:sz w:val="7"/>
                <w:szCs w:val="7"/>
                <w:color w:val="auto"/>
              </w:rPr>
            </w:pPr>
          </w:p>
        </w:tc>
        <w:tc>
          <w:tcPr>
            <w:tcW w:w="2680" w:type="dxa"/>
            <w:vAlign w:val="bottom"/>
            <w:tcBorders>
              <w:right w:val="single" w:sz="8" w:color="A6A6A6"/>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D9D9D9"/>
              <w:left w:val="single" w:sz="8" w:color="A6A6A6"/>
            </w:tcBorders>
            <w:shd w:val="clear" w:color="auto" w:fill="F0F2F2"/>
          </w:tcPr>
          <w:p>
            <w:pPr>
              <w:spacing w:after="0" w:line="20" w:lineRule="exact"/>
              <w:rPr>
                <w:sz w:val="1"/>
                <w:szCs w:val="1"/>
                <w:color w:val="auto"/>
              </w:rPr>
            </w:pPr>
          </w:p>
        </w:tc>
        <w:tc>
          <w:tcPr>
            <w:tcW w:w="4100" w:type="dxa"/>
            <w:vAlign w:val="bottom"/>
            <w:tcBorders>
              <w:top w:val="single" w:sz="8" w:color="D9D9D9"/>
            </w:tcBorders>
            <w:vMerge w:val="restart"/>
            <w:shd w:val="clear" w:color="auto" w:fill="F0F2F2"/>
          </w:tcPr>
          <w:p>
            <w:pPr>
              <w:spacing w:after="0"/>
              <w:rPr>
                <w:sz w:val="20"/>
                <w:szCs w:val="20"/>
                <w:color w:val="auto"/>
              </w:rPr>
            </w:pPr>
            <w:r>
              <w:rPr>
                <w:rFonts w:ascii="Times New Roman" w:cs="Times New Roman" w:eastAsia="Times New Roman" w:hAnsi="Times New Roman"/>
                <w:sz w:val="20"/>
                <w:szCs w:val="20"/>
                <w:color w:val="auto"/>
              </w:rPr>
              <w:t>Difference in means (95% CI), bpm</w:t>
            </w:r>
          </w:p>
        </w:tc>
        <w:tc>
          <w:tcPr>
            <w:tcW w:w="120" w:type="dxa"/>
            <w:vAlign w:val="bottom"/>
            <w:tcBorders>
              <w:top w:val="single" w:sz="8" w:color="D9D9D9"/>
              <w:right w:val="single" w:sz="8" w:color="A6A6A6"/>
            </w:tcBorders>
            <w:vMerge w:val="restart"/>
            <w:shd w:val="clear" w:color="auto" w:fill="F0F2F2"/>
          </w:tcPr>
          <w:p>
            <w:pPr>
              <w:spacing w:after="0" w:line="20" w:lineRule="exact"/>
              <w:rPr>
                <w:sz w:val="1"/>
                <w:szCs w:val="1"/>
                <w:color w:val="auto"/>
              </w:rPr>
            </w:pPr>
          </w:p>
        </w:tc>
        <w:tc>
          <w:tcPr>
            <w:tcW w:w="2700" w:type="dxa"/>
            <w:vAlign w:val="bottom"/>
            <w:tcBorders>
              <w:top w:val="single" w:sz="8" w:color="D9D9D9"/>
              <w:right w:val="single" w:sz="8" w:color="A6A6A6"/>
            </w:tcBorders>
            <w:vMerge w:val="restart"/>
          </w:tcPr>
          <w:p>
            <w:pPr>
              <w:jc w:val="center"/>
              <w:spacing w:after="0"/>
              <w:rPr>
                <w:sz w:val="20"/>
                <w:szCs w:val="20"/>
                <w:color w:val="auto"/>
              </w:rPr>
            </w:pPr>
            <w:r>
              <w:rPr>
                <w:rFonts w:ascii="Arial" w:cs="Arial" w:eastAsia="Arial" w:hAnsi="Arial"/>
                <w:sz w:val="20"/>
                <w:szCs w:val="20"/>
                <w:color w:val="auto"/>
                <w:w w:val="98"/>
              </w:rPr>
              <w:t>─</w:t>
            </w:r>
          </w:p>
        </w:tc>
        <w:tc>
          <w:tcPr>
            <w:tcW w:w="2680" w:type="dxa"/>
            <w:vAlign w:val="bottom"/>
            <w:tcBorders>
              <w:top w:val="single" w:sz="8" w:color="D9D9D9"/>
              <w:right w:val="single" w:sz="8" w:color="A6A6A6"/>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-29.91 (-40.31, -19.52)</w:t>
            </w:r>
          </w:p>
        </w:tc>
        <w:tc>
          <w:tcPr>
            <w:tcW w:w="0" w:type="dxa"/>
            <w:vAlign w:val="bottom"/>
          </w:tcPr>
          <w:p>
            <w:pPr>
              <w:spacing w:after="0" w:line="20" w:lineRule="exact"/>
              <w:rPr>
                <w:sz w:val="1"/>
                <w:szCs w:val="1"/>
                <w:color w:val="auto"/>
              </w:rPr>
            </w:pPr>
          </w:p>
        </w:tc>
      </w:tr>
      <w:tr>
        <w:trPr>
          <w:trHeight w:val="384"/>
        </w:trPr>
        <w:tc>
          <w:tcPr>
            <w:tcW w:w="120" w:type="dxa"/>
            <w:vAlign w:val="bottom"/>
            <w:tcBorders>
              <w:left w:val="single" w:sz="8" w:color="A6A6A6"/>
            </w:tcBorders>
            <w:shd w:val="clear" w:color="auto" w:fill="F0F2F2"/>
          </w:tcPr>
          <w:p>
            <w:pPr>
              <w:spacing w:after="0"/>
              <w:rPr>
                <w:sz w:val="24"/>
                <w:szCs w:val="24"/>
                <w:color w:val="auto"/>
              </w:rPr>
            </w:pPr>
          </w:p>
        </w:tc>
        <w:tc>
          <w:tcPr>
            <w:tcW w:w="4100" w:type="dxa"/>
            <w:vAlign w:val="bottom"/>
            <w:vMerge w:val="continue"/>
            <w:shd w:val="clear" w:color="auto" w:fill="F0F2F2"/>
          </w:tcPr>
          <w:p>
            <w:pPr>
              <w:spacing w:after="0"/>
              <w:rPr>
                <w:sz w:val="24"/>
                <w:szCs w:val="24"/>
                <w:color w:val="auto"/>
              </w:rPr>
            </w:pPr>
          </w:p>
        </w:tc>
        <w:tc>
          <w:tcPr>
            <w:tcW w:w="120" w:type="dxa"/>
            <w:vAlign w:val="bottom"/>
            <w:tcBorders>
              <w:right w:val="single" w:sz="8" w:color="A6A6A6"/>
            </w:tcBorders>
            <w:vMerge w:val="continue"/>
            <w:shd w:val="clear" w:color="auto" w:fill="F0F2F2"/>
          </w:tcPr>
          <w:p>
            <w:pPr>
              <w:spacing w:after="0"/>
              <w:rPr>
                <w:sz w:val="24"/>
                <w:szCs w:val="24"/>
                <w:color w:val="auto"/>
              </w:rPr>
            </w:pPr>
          </w:p>
        </w:tc>
        <w:tc>
          <w:tcPr>
            <w:tcW w:w="2700" w:type="dxa"/>
            <w:vAlign w:val="bottom"/>
            <w:tcBorders>
              <w:right w:val="single" w:sz="8" w:color="A6A6A6"/>
            </w:tcBorders>
            <w:vMerge w:val="continue"/>
          </w:tcPr>
          <w:p>
            <w:pPr>
              <w:spacing w:after="0"/>
              <w:rPr>
                <w:sz w:val="24"/>
                <w:szCs w:val="24"/>
                <w:color w:val="auto"/>
              </w:rPr>
            </w:pPr>
          </w:p>
        </w:tc>
        <w:tc>
          <w:tcPr>
            <w:tcW w:w="2680" w:type="dxa"/>
            <w:vAlign w:val="bottom"/>
            <w:tcBorders>
              <w:right w:val="single" w:sz="8" w:color="A6A6A6"/>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20" w:type="dxa"/>
            <w:vAlign w:val="bottom"/>
            <w:tcBorders>
              <w:left w:val="single" w:sz="8" w:color="A6A6A6"/>
              <w:bottom w:val="single" w:sz="8" w:color="D9D9D9"/>
            </w:tcBorders>
            <w:shd w:val="clear" w:color="auto" w:fill="F0F2F2"/>
          </w:tcPr>
          <w:p>
            <w:pPr>
              <w:spacing w:after="0"/>
              <w:rPr>
                <w:sz w:val="11"/>
                <w:szCs w:val="11"/>
                <w:color w:val="auto"/>
              </w:rPr>
            </w:pPr>
          </w:p>
        </w:tc>
        <w:tc>
          <w:tcPr>
            <w:tcW w:w="4100" w:type="dxa"/>
            <w:vAlign w:val="bottom"/>
            <w:tcBorders>
              <w:bottom w:val="single" w:sz="8" w:color="D9D9D9"/>
            </w:tcBorders>
            <w:shd w:val="clear" w:color="auto" w:fill="F0F2F2"/>
          </w:tcPr>
          <w:p>
            <w:pPr>
              <w:spacing w:after="0"/>
              <w:rPr>
                <w:sz w:val="11"/>
                <w:szCs w:val="11"/>
                <w:color w:val="auto"/>
              </w:rPr>
            </w:pPr>
          </w:p>
        </w:tc>
        <w:tc>
          <w:tcPr>
            <w:tcW w:w="120" w:type="dxa"/>
            <w:vAlign w:val="bottom"/>
            <w:tcBorders>
              <w:bottom w:val="single" w:sz="8" w:color="D9D9D9"/>
              <w:right w:val="single" w:sz="8" w:color="A6A6A6"/>
            </w:tcBorders>
            <w:shd w:val="clear" w:color="auto" w:fill="F0F2F2"/>
          </w:tcPr>
          <w:p>
            <w:pPr>
              <w:spacing w:after="0"/>
              <w:rPr>
                <w:sz w:val="11"/>
                <w:szCs w:val="11"/>
                <w:color w:val="auto"/>
              </w:rPr>
            </w:pPr>
          </w:p>
        </w:tc>
        <w:tc>
          <w:tcPr>
            <w:tcW w:w="2700" w:type="dxa"/>
            <w:vAlign w:val="bottom"/>
            <w:tcBorders>
              <w:bottom w:val="single" w:sz="8" w:color="D9D9D9"/>
              <w:right w:val="single" w:sz="8" w:color="A6A6A6"/>
            </w:tcBorders>
          </w:tcPr>
          <w:p>
            <w:pPr>
              <w:spacing w:after="0"/>
              <w:rPr>
                <w:sz w:val="11"/>
                <w:szCs w:val="11"/>
                <w:color w:val="auto"/>
              </w:rPr>
            </w:pPr>
          </w:p>
        </w:tc>
        <w:tc>
          <w:tcPr>
            <w:tcW w:w="2680" w:type="dxa"/>
            <w:vAlign w:val="bottom"/>
            <w:tcBorders>
              <w:bottom w:val="single" w:sz="8" w:color="D9D9D9"/>
              <w:right w:val="single" w:sz="8" w:color="A6A6A6"/>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0" w:type="dxa"/>
            <w:vAlign w:val="bottom"/>
            <w:tcBorders>
              <w:left w:val="single" w:sz="8" w:color="A6A6A6"/>
            </w:tcBorders>
            <w:shd w:val="clear" w:color="auto" w:fill="F0F2F2"/>
          </w:tcPr>
          <w:p>
            <w:pPr>
              <w:spacing w:after="0" w:line="20" w:lineRule="exact"/>
              <w:rPr>
                <w:sz w:val="1"/>
                <w:szCs w:val="1"/>
                <w:color w:val="auto"/>
              </w:rPr>
            </w:pPr>
          </w:p>
        </w:tc>
        <w:tc>
          <w:tcPr>
            <w:tcW w:w="4100" w:type="dxa"/>
            <w:vAlign w:val="bottom"/>
            <w:vMerge w:val="restart"/>
            <w:shd w:val="clear" w:color="auto" w:fill="F0F2F2"/>
          </w:tcPr>
          <w:p>
            <w:pPr>
              <w:spacing w:after="0"/>
              <w:rPr>
                <w:sz w:val="20"/>
                <w:szCs w:val="20"/>
                <w:color w:val="auto"/>
              </w:rPr>
            </w:pPr>
            <w:r>
              <w:rPr>
                <w:rFonts w:ascii="Times New Roman" w:cs="Times New Roman" w:eastAsia="Times New Roman" w:hAnsi="Times New Roman"/>
                <w:sz w:val="20"/>
                <w:szCs w:val="20"/>
                <w:b w:val="1"/>
                <w:bCs w:val="1"/>
                <w:color w:val="auto"/>
              </w:rPr>
              <w:t>p-value</w:t>
            </w:r>
            <w:r>
              <w:rPr>
                <w:rFonts w:ascii="Times New Roman" w:cs="Times New Roman" w:eastAsia="Times New Roman" w:hAnsi="Times New Roman"/>
                <w:sz w:val="25"/>
                <w:szCs w:val="25"/>
                <w:b w:val="1"/>
                <w:bCs w:val="1"/>
                <w:color w:val="auto"/>
                <w:vertAlign w:val="superscript"/>
              </w:rPr>
              <w:t>2</w:t>
            </w:r>
          </w:p>
        </w:tc>
        <w:tc>
          <w:tcPr>
            <w:tcW w:w="120" w:type="dxa"/>
            <w:vAlign w:val="bottom"/>
            <w:tcBorders>
              <w:right w:val="single" w:sz="8" w:color="A6A6A6"/>
            </w:tcBorders>
            <w:shd w:val="clear" w:color="auto" w:fill="F0F2F2"/>
          </w:tcPr>
          <w:p>
            <w:pPr>
              <w:spacing w:after="0" w:line="20" w:lineRule="exact"/>
              <w:rPr>
                <w:sz w:val="1"/>
                <w:szCs w:val="1"/>
                <w:color w:val="auto"/>
              </w:rPr>
            </w:pPr>
          </w:p>
        </w:tc>
        <w:tc>
          <w:tcPr>
            <w:tcW w:w="2700" w:type="dxa"/>
            <w:vAlign w:val="bottom"/>
            <w:tcBorders>
              <w:right w:val="single" w:sz="8" w:color="A6A6A6"/>
            </w:tcBorders>
            <w:vMerge w:val="restart"/>
          </w:tcPr>
          <w:p>
            <w:pPr>
              <w:jc w:val="center"/>
              <w:spacing w:after="0"/>
              <w:rPr>
                <w:sz w:val="20"/>
                <w:szCs w:val="20"/>
                <w:color w:val="auto"/>
              </w:rPr>
            </w:pPr>
            <w:r>
              <w:rPr>
                <w:rFonts w:ascii="Arial" w:cs="Arial" w:eastAsia="Arial" w:hAnsi="Arial"/>
                <w:sz w:val="20"/>
                <w:szCs w:val="20"/>
                <w:color w:val="auto"/>
                <w:w w:val="98"/>
              </w:rPr>
              <w:t>─</w:t>
            </w:r>
          </w:p>
        </w:tc>
        <w:tc>
          <w:tcPr>
            <w:tcW w:w="2680" w:type="dxa"/>
            <w:vAlign w:val="bottom"/>
            <w:tcBorders>
              <w:right w:val="single" w:sz="8" w:color="A6A6A6"/>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&lt;0.0001</w:t>
            </w:r>
          </w:p>
        </w:tc>
        <w:tc>
          <w:tcPr>
            <w:tcW w:w="0" w:type="dxa"/>
            <w:vAlign w:val="bottom"/>
          </w:tcPr>
          <w:p>
            <w:pPr>
              <w:spacing w:after="0" w:line="20" w:lineRule="exact"/>
              <w:rPr>
                <w:sz w:val="1"/>
                <w:szCs w:val="1"/>
                <w:color w:val="auto"/>
              </w:rPr>
            </w:pPr>
          </w:p>
        </w:tc>
      </w:tr>
      <w:tr>
        <w:trPr>
          <w:trHeight w:val="331"/>
        </w:trPr>
        <w:tc>
          <w:tcPr>
            <w:tcW w:w="120" w:type="dxa"/>
            <w:vAlign w:val="bottom"/>
            <w:tcBorders>
              <w:left w:val="single" w:sz="8" w:color="A6A6A6"/>
              <w:bottom w:val="single" w:sz="8" w:color="D9D9D9"/>
            </w:tcBorders>
            <w:shd w:val="clear" w:color="auto" w:fill="F0F2F2"/>
          </w:tcPr>
          <w:p>
            <w:pPr>
              <w:spacing w:after="0"/>
              <w:rPr>
                <w:sz w:val="24"/>
                <w:szCs w:val="24"/>
                <w:color w:val="auto"/>
              </w:rPr>
            </w:pPr>
          </w:p>
        </w:tc>
        <w:tc>
          <w:tcPr>
            <w:tcW w:w="4100" w:type="dxa"/>
            <w:vAlign w:val="bottom"/>
            <w:tcBorders>
              <w:bottom w:val="single" w:sz="8" w:color="D9D9D9"/>
            </w:tcBorders>
            <w:vMerge w:val="continue"/>
            <w:shd w:val="clear" w:color="auto" w:fill="F0F2F2"/>
          </w:tcPr>
          <w:p>
            <w:pPr>
              <w:spacing w:after="0"/>
              <w:rPr>
                <w:sz w:val="24"/>
                <w:szCs w:val="24"/>
                <w:color w:val="auto"/>
              </w:rPr>
            </w:pPr>
          </w:p>
        </w:tc>
        <w:tc>
          <w:tcPr>
            <w:tcW w:w="120" w:type="dxa"/>
            <w:vAlign w:val="bottom"/>
            <w:tcBorders>
              <w:bottom w:val="single" w:sz="8" w:color="D9D9D9"/>
              <w:right w:val="single" w:sz="8" w:color="A6A6A6"/>
            </w:tcBorders>
            <w:shd w:val="clear" w:color="auto" w:fill="F0F2F2"/>
          </w:tcPr>
          <w:p>
            <w:pPr>
              <w:spacing w:after="0"/>
              <w:rPr>
                <w:sz w:val="24"/>
                <w:szCs w:val="24"/>
                <w:color w:val="auto"/>
              </w:rPr>
            </w:pPr>
          </w:p>
        </w:tc>
        <w:tc>
          <w:tcPr>
            <w:tcW w:w="2700" w:type="dxa"/>
            <w:vAlign w:val="bottom"/>
            <w:tcBorders>
              <w:bottom w:val="single" w:sz="8" w:color="D9D9D9"/>
              <w:right w:val="single" w:sz="8" w:color="A6A6A6"/>
            </w:tcBorders>
            <w:vMerge w:val="continue"/>
          </w:tcPr>
          <w:p>
            <w:pPr>
              <w:spacing w:after="0"/>
              <w:rPr>
                <w:sz w:val="24"/>
                <w:szCs w:val="24"/>
                <w:color w:val="auto"/>
              </w:rPr>
            </w:pPr>
          </w:p>
        </w:tc>
        <w:tc>
          <w:tcPr>
            <w:tcW w:w="2680" w:type="dxa"/>
            <w:vAlign w:val="bottom"/>
            <w:tcBorders>
              <w:bottom w:val="single" w:sz="8" w:color="D9D9D9"/>
              <w:right w:val="single" w:sz="8" w:color="A6A6A6"/>
            </w:tcBorders>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-1272540</wp:posOffset>
                </wp:positionV>
                <wp:extent cx="12700" cy="14605"/>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4605"/>
                        </a:xfrm>
                        <a:prstGeom prst="rect">
                          <a:avLst/>
                        </a:prstGeom>
                        <a:solidFill>
                          <a:srgbClr val="A6A6A6"/>
                        </a:solidFill>
                      </wps:spPr>
                      <wps:bodyPr/>
                    </wps:wsp>
                  </a:graphicData>
                </a:graphic>
              </wp:anchor>
            </w:drawing>
          </mc:Choice>
          <mc:Fallback>
            <w:pict>
              <v:rect id="Shape 9" o:spid="_x0000_s1034" style="position:absolute;margin-left:-0.1499pt;margin-top:-100.1999pt;width:1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6A6A6" stroked="f"/>
            </w:pict>
          </mc:Fallback>
        </mc:AlternateContent>
      </w:r>
    </w:p>
    <w:p>
      <w:pPr>
        <w:spacing w:after="0" w:line="190" w:lineRule="exact"/>
        <w:rPr>
          <w:sz w:val="20"/>
          <w:szCs w:val="20"/>
          <w:color w:val="auto"/>
        </w:rPr>
      </w:pPr>
    </w:p>
    <w:p>
      <w:pPr>
        <w:ind w:firstLine="7"/>
        <w:spacing w:after="0" w:line="205" w:lineRule="auto"/>
        <w:tabs>
          <w:tab w:leader="none" w:pos="125" w:val="left"/>
        </w:tabs>
        <w:numPr>
          <w:ilvl w:val="0"/>
          <w:numId w:val="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Efficacy population (all randomized patients receiving study drug remaining in atrial fibrillation with adequately diagnostic ECG recordings for at least 60 min post drug)</w:t>
      </w:r>
    </w:p>
    <w:p>
      <w:pPr>
        <w:spacing w:after="0" w:line="1" w:lineRule="exact"/>
        <w:rPr>
          <w:rFonts w:ascii="Times New Roman" w:cs="Times New Roman" w:eastAsia="Times New Roman" w:hAnsi="Times New Roman"/>
          <w:sz w:val="24"/>
          <w:szCs w:val="24"/>
          <w:color w:val="auto"/>
          <w:vertAlign w:val="superscript"/>
        </w:rPr>
      </w:pPr>
    </w:p>
    <w:p>
      <w:pPr>
        <w:ind w:left="120" w:hanging="113"/>
        <w:spacing w:after="0" w:line="180" w:lineRule="auto"/>
        <w:tabs>
          <w:tab w:leader="none" w:pos="120" w:val="left"/>
        </w:tabs>
        <w:numPr>
          <w:ilvl w:val="0"/>
          <w:numId w:val="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From ANCOVA; calculations adjust for variance in baseline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Bpm = beats per minute, ECG = electrocardiogram, CI = confidence interval, NS = nasal spray, VR = ventricular rate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118745</wp:posOffset>
                </wp:positionV>
                <wp:extent cx="154178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9.35pt" to="121.65pt,9.35pt" o:allowincell="f" strokecolor="#000000" strokeweight="1.02pt"/>
            </w:pict>
          </mc:Fallback>
        </mc:AlternateContent>
      </w:r>
    </w:p>
    <w:p>
      <w:pPr>
        <w:spacing w:after="0" w:line="200" w:lineRule="exact"/>
        <w:rPr>
          <w:sz w:val="20"/>
          <w:szCs w:val="20"/>
          <w:color w:val="auto"/>
        </w:rPr>
      </w:pPr>
    </w:p>
    <w:p>
      <w:pPr>
        <w:spacing w:after="0" w:line="23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Etripamil treatment was associated with significant improvement in symptom relief and in treatment satisfaction as measured by the TSQM-9 patient reported outcome, or “PRO,” instrument. Patients treated with etripamil, compared to those treated with placebo, demonstrated significant improvements in satisfaction ratings in the TSQM -9 Effectiveness Domain (p&lt;0.0001) and on the Relief of Symptoms Question from the Effectiveness Domain (p = 0.0002, with a treatment effect of 1.55 units). Moreover, patients in the placebo arm were given additional AFib-RVR treatments during the window of 60 minutes to 24 hours after study drug to an approximately two-fold greater degree than patients in the etripamil 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276860</wp:posOffset>
            </wp:positionV>
            <wp:extent cx="6160770" cy="34093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extLst>
                    </a:blip>
                    <a:srcRect/>
                    <a:stretch>
                      <a:fillRect/>
                    </a:stretch>
                  </pic:blipFill>
                  <pic:spPr bwMode="auto">
                    <a:xfrm>
                      <a:off x="0" y="0"/>
                      <a:ext cx="6160770" cy="3409315"/>
                    </a:xfrm>
                    <a:prstGeom prst="rect">
                      <a:avLst/>
                    </a:prstGeom>
                    <a:noFill/>
                  </pic:spPr>
                </pic:pic>
              </a:graphicData>
            </a:graphic>
          </wp:anchor>
        </w:drawing>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880" w:h="15480" w:orient="portrait"/>
          <w:cols w:equalWidth="0" w:num="1">
            <w:col w:w="9720"/>
          </w:cols>
          <w:pgMar w:left="1080" w:top="1064" w:right="1080" w:bottom="544" w:gutter="0" w:footer="0" w:header="0"/>
          <w:type w:val="continuous"/>
        </w:sectPr>
      </w:pPr>
    </w:p>
    <w:bookmarkStart w:id="15" w:name="page16"/>
    <w:bookmarkEnd w:id="15"/>
    <w:p>
      <w:pPr>
        <w:jc w:val="both"/>
        <w:spacing w:after="0" w:line="245" w:lineRule="auto"/>
        <w:rPr>
          <w:sz w:val="20"/>
          <w:szCs w:val="20"/>
          <w:color w:val="auto"/>
        </w:rPr>
      </w:pPr>
      <w:r>
        <w:rPr>
          <w:rFonts w:ascii="Times New Roman" w:cs="Times New Roman" w:eastAsia="Times New Roman" w:hAnsi="Times New Roman"/>
          <w:sz w:val="20"/>
          <w:szCs w:val="20"/>
          <w:color w:val="auto"/>
        </w:rPr>
        <w:t>In ReVeRA, safety and tolerability data were generally consistent with that observed in our PSVT program. Treatment-emergent serious adverse events, or “TESAEs,” were rare, with two occurring in one patient in the etripamil arm (3.7%) and four occurring in two patients in the placebo arm (6.9%). The TESAEs in the etripamil arm (transient severe bradycardia and syncope, assessed as due to hyper-vagotonia) occurred in a patient with a history of vagal events, and fully resolved by placing the patient supine and was without sequelae. The majority of common AEs were localized to the drug-administration site, and there was a low incidence of serious adverse events. The most common (</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5%) adverse events were mild or moderate in intensity and included nasal discomfort, rhinorrhea, increased lacrimation, throat irritation and dizziness.</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These positive Phase 2 data have supported interactions with the FDA (as summarized in “AFib-RVR Clinical Development Highlights”) that have established a path to potential approval for an indication for etripamil in patients with AFib-RVR. The Phase 3 study is expected to use an optional repeat-dose, self- administration approach of etripamil nasal spray, outside of the medically supervised setting, that is similar to that used in the PSVT development program.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AFib-RVR Clinical Development Highlights</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During 2024, we met with the FDA on the ReVeRA study, during which the FDA confirmed its guidance from our Pre-IND meeting (2023) regarding the availability of a sNDA pathway for the marketing approval for etripamil for the indication of AFib-RVR. The sNDA pathway potentially permits a single pivotal efficacy study to be sufficient for filing for marketing approval if etripamil is already approved for PSVT. FDA further concurred with respect to key proposed study elements including powering, inclusion criteria, patient population, and statistical analyses, and offered clarification with respect to the endpoints to guide the design of the Phase 3 study. In our mid- 2023 Pre-IND meeting, the FDA provided guidance that our primary endpoint can be the reduction of ventricular rate, and the primary analysis would be performed on the intent to treat, or “ITT,” population. In addition, the study would have to show statistical significance (p&lt;0.05) on the key secondary endpoint of symptom relief as a patient benefit, also in the ITT population. The secondary endpoint could use a PRO measure, and various PROs were discussed with the FDA. We have finalized the Phase 3 study protocol following FDA’s review and obtained concurrence with the FDA to proceed.</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Phase 3 study will be conducted in a medically unmonitored setting (e.g., at-home) in a manner very similar to the conduct of our Phase 3 development program for PSVT. The Phase 3 AFib-RVR study will enroll patients with a history of symptomatic AFib episodes, and will use a self-administered, repeat-dose regimen of 70 mg per dose (the dose and dosing approach that was studied in the RAPID trial in patients with PSVT). The Phase 3 study’s target population will be patients with verified history of AFib-RVR, and the ITT population will be all patients self-administering the study drug for perceived AFib-RVR. The primary endpoint is the mean change from baseline ventricular rate to nadir ventricular rate for patients treated with etripamil versus placebo, as was studied in the ReVeRA trial in AFib-RVR. The key secondary endpoint will be based on a PRO of symptomatic improvement, discussed with the FDA, which is similar to the PRO questions utilized in our PSVT and AFib-RVR programs. The study has been powered and sized based upon approximately 150 events from 150 unique patients with a history of symptomatic episodes of AFib-RVR.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AFib-RVR Market Overview</w:t>
      </w:r>
    </w:p>
    <w:p>
      <w:pPr>
        <w:spacing w:after="0" w:line="24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 xml:space="preserve">Atrial Fibrillation, or “AFib,” is a common cardiac arrhythmia with an irregular and often rapid heart rate that is often markedly symptomatic and, without proper treatment, can increase the risk of stroke, heart failure, and other cardiovascular complications. A common complication of AFib is a rapid heart rate, also referred to as AFib-RVR, which is frequently defined as a heart rate </w:t>
      </w:r>
      <w:r>
        <w:rPr>
          <w:rFonts w:ascii="Arial" w:cs="Arial" w:eastAsia="Arial" w:hAnsi="Arial"/>
          <w:sz w:val="19"/>
          <w:szCs w:val="19"/>
          <w:color w:val="auto"/>
        </w:rPr>
        <w:t>≥</w:t>
      </w:r>
      <w:r>
        <w:rPr>
          <w:rFonts w:ascii="Times New Roman" w:cs="Times New Roman" w:eastAsia="Times New Roman" w:hAnsi="Times New Roman"/>
          <w:sz w:val="19"/>
          <w:szCs w:val="19"/>
          <w:color w:val="auto"/>
        </w:rPr>
        <w:t xml:space="preserve"> 110 beats per minute. The occurrence of a rapid ventricular rate, or “RVR,” in patients with atrial fibrillation increases the likelihood of marked symptoms including heart palpitations, shortness of breath and weakness. There are two commonly used pharmacological approaches to chronically manage AFib, rhythm control and rate control. Regardless of the chronic approach, break-through episodes of rapid heart rate occur frequently; and when faced with a sudden episode of AFib-RVR, acute rate control is needed, with most treatments being AV-nodal targeted drugs such as a beta blocker or calcium channel blocker. These treatments can be given intravenously; however, this requires a burdensome trip to an emergency department which may lead to a hospital admission. Acute treatment can be attempted by administration of an oral rate control drug; however, such drugs do not adequately provide immediate or dependable enough ventricular rate control due to a 30- to 90-minute delayed onset of action, and, as a result, many patients need faster</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880" w:h="15480" w:orient="portrait"/>
          <w:cols w:equalWidth="0" w:num="1">
            <w:col w:w="9720"/>
          </w:cols>
          <w:pgMar w:left="1080" w:top="1064" w:right="1080" w:bottom="544" w:gutter="0" w:footer="0" w:header="0"/>
          <w:type w:val="continuous"/>
        </w:sectPr>
      </w:pPr>
    </w:p>
    <w:bookmarkStart w:id="16" w:name="page17"/>
    <w:bookmarkEnd w:id="16"/>
    <w:p>
      <w:pPr>
        <w:jc w:val="both"/>
        <w:spacing w:after="0" w:line="257" w:lineRule="auto"/>
        <w:rPr>
          <w:sz w:val="20"/>
          <w:szCs w:val="20"/>
          <w:color w:val="auto"/>
        </w:rPr>
      </w:pPr>
      <w:r>
        <w:rPr>
          <w:rFonts w:ascii="Times New Roman" w:cs="Times New Roman" w:eastAsia="Times New Roman" w:hAnsi="Times New Roman"/>
          <w:sz w:val="20"/>
          <w:szCs w:val="20"/>
          <w:color w:val="auto"/>
        </w:rPr>
        <w:t>and more certain rate-reduction and symptom- resolution and so seek acute-medical care by going to the emergency department for treatment utilizing intravenous rate control and/or electrical cardioversion of their atrial fibrillation. Furthermore, the chronic administration of oral rate-control drugs does not broadly prevent episodes of AFib-RVR. Similar to PSVT, patients may feel a loss of control by needing to visit the emergency department for overcoming their AFib-RVR episode and the unpredictable nature of these episodes, which can occur anytime and anywhere. Doctors have expressed frustration at the lack of options for patients to self-manage these acute rate attacks; and payor organizations would prefer to treat the AFib-RVR attacks in a more cost effective and time-efficient manner.</w:t>
      </w:r>
    </w:p>
    <w:p>
      <w:pPr>
        <w:spacing w:after="0" w:line="19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An estimated 10 million Americans suffer from AFib. The prevalence of AFib is expected to grow to greater than 12 million by 2030. A subset of patients with AFib experiences episodes of abnormally high heart rate, most often accompanied by palpitations, shortness of breath, dizziness, and weakness. While these episodes, known as AFib-RVR, may be treated by oral calcium channel blockers and/or beta blockers, patients frequently seek acute care in the ED to address symptoms. In 2019, nearly 1.1 million patients were admitted to the ED due to AFib symptoms. Initial data suggests that approximately 60% of all AFib ED visits were attributable to AFib -RVR, as symptoms driving patients to seek care generally become more pronounced at higher heart rates. Treatment for such symptoms typically includes medically supervised intravenous administration of calcium channel blockers or beta blockers, or electrical cardioversion. With little available data for AFib-RVR, we believe, based on our initial market research, that 30% to 40% of patients with AFib experience one or more symptomatic episodes of RVR per year that require treatment, suggesting a current target addressable market of approximately three to four million patients for etripamil in patients with AFib-RVR.</w:t>
      </w:r>
    </w:p>
    <w:p>
      <w:pPr>
        <w:spacing w:after="0" w:line="18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We believe that etripamil has the potential to be developed such that it can be used by patients to rapidly reduce their heart rate to provide a supplemental option to either the acute oral rate or rhythm control strategy their physician would use. When presented with a target product profile reflecting this potential use case, cardiologists and electrophysiologists, in a 2021 market research study perceived utility in the product profile and indicated that they would prescribe to approximately two-thirds of their patients that experience episodes of AFib-RVR. They further indicated that a rapidly-acting intranasal calcium channel blocker could serve as a “bridge” to the longer onset times of acute oral agents. According to physicians, it can take hours for patients to feel an alleviation of symptoms using acute oral rate or rhythm control. During this time, patients may experience concerning symptoms that often prompt them to seek emergency care. We believe that the combination of convenient delivery, potency, rapid onset and short duration of action of etripamil has the potential to move the current treatment setting for some acute episodes of AFib out of the burdensome and costly emergency department.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Current AFib management consumes significant healthcare resources in the United States. The American Heart Association published a report in 2016 summarizing the current and projected cost burden of cardiovascular diseases in the United States. This report suggests atrial fibrillation resulted in $25 billion in direct medical costs in 2016 (approximately 7% of all cardiovascular diseases) and another $7 billion in indirect costs (i.e., up to $32 billion in total costs). Additionally, the forecasted growth in atrial fibrillation prevalence is anticipated to result in healthcare expenditures of $46 billion in direct costs and $10 billion in indirect costs in the United States by 2030.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Strategy</w:t>
      </w:r>
    </w:p>
    <w:p>
      <w:pPr>
        <w:spacing w:after="0" w:line="229"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20"/>
          <w:szCs w:val="20"/>
          <w:color w:val="auto"/>
        </w:rPr>
        <w:t>Our goal is to identify, develop, and commercialize innovative cardiovascular medicines, including etripamil for the treatment of PSVT, AFib-RVR, and other cardiovascular indications, and potentially including additional clinical stage compounds for other cardiovascular conditions. The key elements of our business strategy to achieve this goal include the following:</w:t>
      </w:r>
    </w:p>
    <w:p>
      <w:pPr>
        <w:spacing w:after="0" w:line="190" w:lineRule="exact"/>
        <w:rPr>
          <w:sz w:val="20"/>
          <w:szCs w:val="20"/>
          <w:color w:val="auto"/>
        </w:rPr>
      </w:pPr>
    </w:p>
    <w:p>
      <w:pPr>
        <w:ind w:left="108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 xml:space="preserve">Maximize the value of our launch of CARDAMYST in the United States. </w:t>
      </w:r>
      <w:r>
        <w:rPr>
          <w:rFonts w:ascii="Times New Roman" w:cs="Times New Roman" w:eastAsia="Times New Roman" w:hAnsi="Times New Roman"/>
          <w:sz w:val="20"/>
          <w:szCs w:val="20"/>
          <w:color w:val="auto"/>
        </w:rPr>
        <w:t>We have launched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CARDAMYST by building out our sales team of approximately 60 sales representatives who will be targeting cardiology and high value primary care healthcare providers who we believe will treat up to an estimated 500,000 patients with a diagnosis of PSVT during 2026. We have implemented retail distribution and target most of our launch year marketing mix on increasing healthcare professional, or “HCP,” awareness and the number of trials of CARDAMYST.</w:t>
      </w:r>
    </w:p>
    <w:p>
      <w:pPr>
        <w:sectPr>
          <w:pgSz w:w="11880" w:h="15480" w:orient="portrait"/>
          <w:cols w:equalWidth="0" w:num="1">
            <w:col w:w="9720"/>
          </w:cols>
          <w:pgMar w:left="1080" w:top="1075"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880" w:h="15480" w:orient="portrait"/>
          <w:cols w:equalWidth="0" w:num="1">
            <w:col w:w="9720"/>
          </w:cols>
          <w:pgMar w:left="1080" w:top="1075" w:right="1080" w:bottom="544" w:gutter="0" w:footer="0" w:header="0"/>
          <w:type w:val="continuous"/>
        </w:sectPr>
      </w:pPr>
    </w:p>
    <w:bookmarkStart w:id="17" w:name="page18"/>
    <w:bookmarkEnd w:id="17"/>
    <w:p>
      <w:pPr>
        <w:ind w:left="1080"/>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 xml:space="preserve">Expand the scope of cardiovascular indications for etripamil beyond PSVT. </w:t>
      </w:r>
      <w:r>
        <w:rPr>
          <w:rFonts w:ascii="Times New Roman" w:cs="Times New Roman" w:eastAsia="Times New Roman" w:hAnsi="Times New Roman"/>
          <w:sz w:val="20"/>
          <w:szCs w:val="20"/>
          <w:color w:val="auto"/>
        </w:rPr>
        <w:t>We are investigating, through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 completed Phase 2 study and an upcoming Phase 3 study, the use of etripamil for the treatment of patients with AFib-RVR. We believe that etripamil could benefit patients with AFib-RVR based on the approved use of IV calcium channel blockers in this indication. We also intend to explore additional cardiovascular opportunities for the use of etripamil.</w:t>
      </w:r>
    </w:p>
    <w:p>
      <w:pPr>
        <w:spacing w:after="0" w:line="194" w:lineRule="exact"/>
        <w:rPr>
          <w:sz w:val="20"/>
          <w:szCs w:val="20"/>
          <w:color w:val="auto"/>
        </w:rPr>
      </w:pPr>
    </w:p>
    <w:p>
      <w:pPr>
        <w:ind w:left="10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Successfully complete development and obtain regulatory approval of etripamil in other major markets. </w:t>
      </w:r>
      <w:r>
        <w:rPr>
          <w:rFonts w:ascii="Times New Roman" w:cs="Times New Roman" w:eastAsia="Times New Roman" w:hAnsi="Times New Roman"/>
          <w:sz w:val="20"/>
          <w:szCs w:val="20"/>
          <w:color w:val="auto"/>
        </w:rPr>
        <w:t>We are currently seeking regulatory approval in China through our partner, Corxel. We intend to seek regulatory approvals in other major markets through additional strategic partnerships.</w:t>
      </w:r>
    </w:p>
    <w:p>
      <w:pPr>
        <w:spacing w:after="0" w:line="183" w:lineRule="exact"/>
        <w:rPr>
          <w:sz w:val="20"/>
          <w:szCs w:val="20"/>
          <w:color w:val="auto"/>
        </w:rPr>
      </w:pPr>
    </w:p>
    <w:p>
      <w:pPr>
        <w:ind w:left="1080"/>
        <w:spacing w:after="0" w:line="263" w:lineRule="auto"/>
        <w:rPr>
          <w:sz w:val="20"/>
          <w:szCs w:val="20"/>
          <w:color w:val="auto"/>
        </w:rPr>
      </w:pPr>
      <w:r>
        <w:rPr>
          <w:rFonts w:ascii="Times New Roman" w:cs="Times New Roman" w:eastAsia="Times New Roman" w:hAnsi="Times New Roman"/>
          <w:sz w:val="19"/>
          <w:szCs w:val="19"/>
          <w:b w:val="1"/>
          <w:bCs w:val="1"/>
          <w:i w:val="1"/>
          <w:iCs w:val="1"/>
          <w:color w:val="auto"/>
        </w:rPr>
        <w:t xml:space="preserve">Leverage our expertise and experience to expand our pipeline of product candidates. </w:t>
      </w:r>
      <w:r>
        <w:rPr>
          <w:rFonts w:ascii="Times New Roman" w:cs="Times New Roman" w:eastAsia="Times New Roman" w:hAnsi="Times New Roman"/>
          <w:sz w:val="19"/>
          <w:szCs w:val="19"/>
          <w:color w:val="auto"/>
        </w:rPr>
        <w:t>We seek to maximize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our commercial opportunities by acquiring or in-licensing product candidates for indications with significant unmet need with a focus on novel treatments for cardiovascular or other conditions. Our leadership team has extensive experience in developing and commercializing successful drugs and has developed a deep understanding of the PSVT and Atrial Fibrillation markets. We intend to leverage the collective talent within our organization and our network to guide our development plans and pipeline expansion.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Etripamil in Other Therapeutic Applications</w:t>
      </w:r>
    </w:p>
    <w:p>
      <w:pPr>
        <w:spacing w:after="0" w:line="24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goal in expanding our pipeline around etripamil is to apply the same paradigm-changing aspiration that we have for supraventricular tachycardias, like PSVT and AFib-RVR, to other cardiac and potentially non-cardiac conditions where we believe that a rapid-onset dihydropyridine L-type calcium channel blocker could potentially deliver significant clinical and quality of life benefits for patients. We believe that the insights that led to the development of etripamil for the treatment of PSVT are relevant in other indications where AV-nodal blocking agents with blood vessel widening activity have demonstrated clinical utility. Both calcium channel blockers and beta blockers are commonly used to manage supraventricular tachycardias like PSVT or AFib-RVR, and other conditions.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and Marketing</w:t>
      </w: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We are commercializing CARDAMYST in the United States by targeting high volume healthcare providers, primarily cardiologists, with a focused specialty sales force supported by digital/omnichannel investments and robust reimbursement and patient support. Specifically, the launch of CARDAMYST is being led by a focused national field force calling on approximately 8,000 clinical/interventional cardiologists, 1,500 electrophysiologists, and 500 primary care physicians who treat large populations of patients with PSVT, supported by strategic investments in medical affairs, digital/targeted non-personal promotion, and robust reimbursement and patient support programs. Although we will initially focus on obtaining broad commercial insurance coverage from large Pharmacy Benefit Managers, or “PBMs,” and targeted national and regional commercial payors, as we expand reimbursement for CARDAMYST to include government payors and targeted integrated delivery networks we anticipate that this investment in omnichannel promotion will grow, targeting both prescribers and patients. As we expand, we believe our field force could potentially grow to call on up to 25,000 clinical cardiologists, interventional cardiologists, electrophysiologists, and high-volume primary care physicians/advanced practice providers who have a history of prescribing cardiovascular therapies. We believe an organization of this size could potentially allow us to reach prescribers that collectively care for most patients diagnosed with PSVT in the United States. Given the importance of increasing awareness and educating patients with PSVT, as we establish favorable broad payor reimbursement, we also anticipate deploying focused direct-to-patient marketing campaigns for CARDAMYST.</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anticipate that our sales force could also support the commercialization of additional product candidates treating cardiovascular diseases through partnerships and/or co-promotion deals. In addition, we may pursue and believe that we can maximize the value of etripamil by entering into collaboration agreements for certain territories outside the United States, including the European Union, while retaining commercialization rights in the United States.</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880" w:h="15480" w:orient="portrait"/>
          <w:cols w:equalWidth="0" w:num="1">
            <w:col w:w="9720"/>
          </w:cols>
          <w:pgMar w:left="1080" w:top="1064" w:right="1080" w:bottom="544"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color w:val="auto"/>
        </w:rPr>
        <w:t>Manufacturing of Commercial Supply</w:t>
      </w:r>
    </w:p>
    <w:p>
      <w:pPr>
        <w:spacing w:after="0" w:line="24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do not have any manufacturing facilities. We rely on, and expect to continue to rely on, third party contract manufacturing organizations, or “CMOs,” for all of our required raw materials, nasal spray device, active pharmaceutical ingredient, or “API,” and finished product for our commercial product, clinical trials and for our preclinical research. We require all of our CMOs to conduct manufacturing activities in compliance with current good manufacturing practice, or “cGMP,” requirements. We have assembled a team of experienced employees and consultants to provide the necessary technical, quality, and regulatory oversight over our CMOs and have implemented a comprehensive plan for audits of our CMOs. Currently, we have contracts and quality agreements with our CMOs for the manufacturing of etripamil drug substance and drug product. We believe we currently have enough manufactured supply of etripamil to support our commercial launch. We also may elect to pursue additional CMOs for manufacturing supplies of regulatory starting materials in the future and for the filling of the nasal spray device, labeling, packaging, storage, and distribution of investigational and commercial drug products. We plan to continue to rely on third party manufacturers for any future trials and commercialization of etripamil. We anticipate that these CMOs will have capacity to support commercial scale production.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4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Drug development is highly competitive and subject to rapid and significant technological advancements. Our ability to compete will significantly depend upon our ability to complete necessary clinical trials, regulatory approval processes, and effectively market any drug that we may successfully develop. Our current and potential future competitors include pharmaceutical and biotechnology companies, academic institutions, and government agencies. The primary competitive factors that will affect the commercial success of etripamil or any other product candidate for which we may receive marketing approval, include differentiation of any competitor’s product regarding efficacy, safety, tolerability, dosing convenience, price, coverage, and reimbursement. A number of our potential competitors have substantially greater financial, technical, and human resources than we do and significantly greater experience in the discovery and development of product candidates, as well as in obtaining regulatory approvals and commercializing those product candidates in the United States and in foreign countries. It is also possible that a competitor may develop a cure or more effective treatment method for the diseases we are targeting, which could render our current or future product candidates non- competitive or obsolete, or reduce the demand for our product candidates before we can recover our development and commercialization expenses.</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We are not aware of any approved drug or any drug candidate in clinical development for a patient with PSVT to self-administer treatment to terminate PSVT episodes. In the acute setting, IV treatments of generic drugs such as adenosine, verapamil, and diltiazem, are routinely given. Additionally, some practitioners prescribe oral medications, such as calcium channel blockers, beta blockers and antiarrhythmics to be taken at the onset of an episode. However, these interventions are not acutely effective and are not approved by the FDA or other regulatory agencies for this use.</w:t>
      </w:r>
    </w:p>
    <w:p>
      <w:pPr>
        <w:spacing w:after="0" w:line="19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For AFib, there are a number of marketed generic antiarrhythmic drugs that are used for chronic and/or acute rate control, such as metoprolol, propranolol, esmolol, pindolol, atenolol, nadolol, verapamil, and diltiazem. For acute rate control, the intravenous forms of these drugs are the ones most often used. We are aware of several drugs or new formulations of existing drugs under development or recently under development for atrial fibrillation, including InRhythm (flecainide), a sodium channel blocker in Phase 3 from InCarda Therapeutics, Inc., and an IV and potentially oral small-molecule SK channel inhibitor being developed by Acesion Pharma for acute conversion and chronic maintenance of sinus rhythm, respectively, in patients with AFib. Acesion’s lead asset, AAP30663, is the IV-formulated short acting AFib conversion therapy for hospital use that has successfully completed a Phase 2 trial. Rapiblyk (landiolol) is an intravenous beta blocker approved for the short-term reduction of ventricular rate with supraventricular tachycardia including atrial fibrillation and atrial flutter.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4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We have filed numerous patent applications pertaining to etripamil and possible future product candidates, formulations containing etripamil, methods of making such formulations, and clinical use. We strive to protect and enhance the</w:t>
      </w:r>
    </w:p>
    <w:p>
      <w:pPr>
        <w:sectPr>
          <w:pgSz w:w="11880" w:h="15480" w:orient="portrait"/>
          <w:cols w:equalWidth="0" w:num="1">
            <w:col w:w="9720"/>
          </w:cols>
          <w:pgMar w:left="1080" w:top="1062"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880" w:h="15480" w:orient="portrait"/>
          <w:cols w:equalWidth="0" w:num="1">
            <w:col w:w="9720"/>
          </w:cols>
          <w:pgMar w:left="1080" w:top="1062" w:right="1080" w:bottom="544" w:gutter="0" w:footer="0" w:header="0"/>
          <w:type w:val="continuous"/>
        </w:sectPr>
      </w:pPr>
    </w:p>
    <w:bookmarkStart w:id="19" w:name="page20"/>
    <w:bookmarkEnd w:id="19"/>
    <w:p>
      <w:pPr>
        <w:jc w:val="both"/>
        <w:spacing w:after="0" w:line="248" w:lineRule="auto"/>
        <w:rPr>
          <w:sz w:val="20"/>
          <w:szCs w:val="20"/>
          <w:color w:val="auto"/>
        </w:rPr>
      </w:pPr>
      <w:r>
        <w:rPr>
          <w:rFonts w:ascii="Times New Roman" w:cs="Times New Roman" w:eastAsia="Times New Roman" w:hAnsi="Times New Roman"/>
          <w:sz w:val="20"/>
          <w:szCs w:val="20"/>
          <w:color w:val="auto"/>
        </w:rPr>
        <w:t>proprietary technology, invention, and improvements that are commercially important to the development of our business by seeking, maintaining, and defending our intellectual property. We also rely on know - how, continuing technological innovation and potential in - licensing opportunities to develop, strengthen, and maintain our position in the field of cardiac arrhythmias, such as PSVT, and immediate rate control in atrial fibrillation, as well as other medical conditions affecting the cardiovascular system. Additionally, we intend to rely on regulatory protection afforded through data exclusivity and market exclusivity, as well as patent term extensions, where available.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2025, our patent portfolio as it pertains to etripamil included:</w:t>
      </w:r>
    </w:p>
    <w:p>
      <w:pPr>
        <w:spacing w:after="0" w:line="239" w:lineRule="exact"/>
        <w:rPr>
          <w:sz w:val="20"/>
          <w:szCs w:val="20"/>
          <w:color w:val="auto"/>
        </w:rPr>
      </w:pPr>
    </w:p>
    <w:p>
      <w:pPr>
        <w:ind w:left="1080"/>
        <w:spacing w:after="0" w:line="250" w:lineRule="auto"/>
        <w:rPr>
          <w:sz w:val="20"/>
          <w:szCs w:val="20"/>
          <w:color w:val="auto"/>
        </w:rPr>
      </w:pPr>
      <w:r>
        <w:rPr>
          <w:rFonts w:ascii="Times New Roman" w:cs="Times New Roman" w:eastAsia="Times New Roman" w:hAnsi="Times New Roman"/>
          <w:sz w:val="20"/>
          <w:szCs w:val="20"/>
          <w:color w:val="auto"/>
        </w:rPr>
        <w:t>a patent family containing six U.S. patents, projected to expire in 2028, a pending U.S. patent application, which, if granted, is projected to expire in 2028, as well as corresponding patents in Australia, Brazil, Canada, China, Europe, Hong Kong, India, Japan, Mexico, New Zealand, and South Korea, directed to etripamil, pharmaceutical compositions including etripamil, and uses of etripamil such as to treat cardiac arrhythmias, including PSVT and atrial fibrillation; and</w:t>
      </w:r>
    </w:p>
    <w:p>
      <w:pPr>
        <w:spacing w:after="0" w:line="191" w:lineRule="exact"/>
        <w:rPr>
          <w:sz w:val="20"/>
          <w:szCs w:val="20"/>
          <w:color w:val="auto"/>
        </w:rPr>
      </w:pPr>
    </w:p>
    <w:p>
      <w:pPr>
        <w:ind w:left="1080"/>
        <w:spacing w:after="0" w:line="248" w:lineRule="auto"/>
        <w:rPr>
          <w:sz w:val="20"/>
          <w:szCs w:val="20"/>
          <w:color w:val="auto"/>
        </w:rPr>
      </w:pPr>
      <w:r>
        <w:rPr>
          <w:rFonts w:ascii="Times New Roman" w:cs="Times New Roman" w:eastAsia="Times New Roman" w:hAnsi="Times New Roman"/>
          <w:sz w:val="20"/>
          <w:szCs w:val="20"/>
          <w:color w:val="auto"/>
        </w:rPr>
        <w:t>a patent family containing one U.S. patent, projected to expire in 2036, a pending U.S. patent application, which, if granted, is projected to expire in 2036, as well as corresponding patents in Australia, Brazil, Canada, China, Europe, Hong Kong, Israel, Japan, Macau, Mexico, Russia, South Africa, South Korea and Ukraine and corresponding patent applications in China, Europe, Hong Kong, and New Zealand, directed to formulations including etripamil, methods of making such formulations, and uses of such formulations to treat cardiac arrhythmias, such as PSVT and atrial fibrillation.</w:t>
      </w:r>
    </w:p>
    <w:p>
      <w:pPr>
        <w:spacing w:after="0" w:line="194" w:lineRule="exact"/>
        <w:rPr>
          <w:sz w:val="20"/>
          <w:szCs w:val="20"/>
          <w:color w:val="auto"/>
        </w:rPr>
      </w:pPr>
    </w:p>
    <w:p>
      <w:pPr>
        <w:ind w:left="1080"/>
        <w:spacing w:after="0" w:line="253" w:lineRule="auto"/>
        <w:rPr>
          <w:sz w:val="20"/>
          <w:szCs w:val="20"/>
          <w:color w:val="auto"/>
        </w:rPr>
      </w:pPr>
      <w:r>
        <w:rPr>
          <w:rFonts w:ascii="Times New Roman" w:cs="Times New Roman" w:eastAsia="Times New Roman" w:hAnsi="Times New Roman"/>
          <w:sz w:val="20"/>
          <w:szCs w:val="20"/>
          <w:color w:val="auto"/>
        </w:rPr>
        <w:t>a patent family containing one U.S. patent, projected to expire in 2042, a pending U.S. application which, if granted, is projected to expire in 2042, and pending applications in Canada and Europe, which, if granted, are projected to expire in 2041 in Canada and 2042 in Europe, directed to uses of formulations including etripamil to treat cardiac arrhythmias, such as PSVT and atrial fibrillation, or migraines.</w:t>
      </w:r>
    </w:p>
    <w:p>
      <w:pPr>
        <w:spacing w:after="0" w:line="191" w:lineRule="exact"/>
        <w:rPr>
          <w:sz w:val="20"/>
          <w:szCs w:val="20"/>
          <w:color w:val="auto"/>
        </w:rPr>
      </w:pPr>
    </w:p>
    <w:p>
      <w:pPr>
        <w:jc w:val="both"/>
        <w:ind w:firstLine="1"/>
        <w:spacing w:after="0" w:line="245" w:lineRule="auto"/>
        <w:rPr>
          <w:sz w:val="20"/>
          <w:szCs w:val="20"/>
          <w:color w:val="auto"/>
        </w:rPr>
      </w:pPr>
      <w:r>
        <w:rPr>
          <w:rFonts w:ascii="Times New Roman" w:cs="Times New Roman" w:eastAsia="Times New Roman" w:hAnsi="Times New Roman"/>
          <w:sz w:val="20"/>
          <w:szCs w:val="20"/>
          <w:color w:val="auto"/>
        </w:rPr>
        <w:t>The terms of individual patents may vary based on the countries in which they are obtained. Generally, patents issued for applications filed in the United States are effective for 20 years from the earliest effective non - provisional filing date in the absence, for example, of a terminal disclaimer shortening the term of the patent or patent term adjustment increasing the term of the patent. In addition, in certain instances, a patent term can be extended to recapture a portion of the term effectively lost as a result of FDA regulatory review periods. The restoration period cannot be longer than five years and the total term, including the restoration period, must not exceed 14 years following FDA approval. The duration of patents outside the United States varies in accordance with provisions of applicable local law, but typically is also 20 years from the earliest non - provisional filing date.</w:t>
      </w:r>
    </w:p>
    <w:p>
      <w:pPr>
        <w:spacing w:after="0" w:line="2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addition to patents and patent applications that we own, we rely on know - how to develop and maintain our competitive position. We seek to protect our proprietary technology and processes, and obtain and maintain ownership of certain technologies, in part, through confidentiality agreements and invention assignment agreements with our employees, consultants, scientific advisors, contractors, and commercial partners.</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Our future commercial success depends, in part, on our ability to obtain and maintain patent and other proprietary protection for commercially important technology, inventions and know - how related to our business; defend and enforce our patents; and operate without infringing valid enforceable patents and proprietary rights of third parties. Our ability to stop third parties from making, using, selling, offering to sell, or importing our products may depend on the extent to which we have rights under valid and enforceable patents that cover these activities. With respect to our owned intellectual property, we cannot be sure that patents will issue from any of the pending patent applications which we own or from any patent applications that we may file in the future, nor can we be sure that any patents that may be issued in the future to us will be commercially useful in protecting etripamil or any future product candidates and methods of using or manufacturing the same. Moreover, we may be unable to obtain patent protection for certain aspects of etripamil or future product candidates generally, as well as with respect to certain indications. See the section entitled “Risk Factors—Risks Related to Our Intellectual Property” for a more comprehensive description of risks related to our intellectual property.</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880" w:h="15480" w:orient="portrait"/>
          <w:cols w:equalWidth="0" w:num="1">
            <w:col w:w="9720"/>
          </w:cols>
          <w:pgMar w:left="1080" w:top="1064" w:right="1080" w:bottom="544"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20"/>
          <w:szCs w:val="20"/>
          <w:b w:val="1"/>
          <w:bCs w:val="1"/>
          <w:color w:val="auto"/>
        </w:rPr>
        <w:t>Government Regulation and Product Approval</w:t>
      </w:r>
    </w:p>
    <w:p>
      <w:pPr>
        <w:spacing w:after="0" w:line="24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Government authorities in the United States at the federal, state, and local levels, and in other countries, extensively regulate, among other things, the research, development, testing, manufacture, packaging, storage, recordkeeping, labeling, advertising, promotion, distribution, marketing, import, and export of pharmaceutical products, such as those we are developing. The processes for obtaining regulatory approvals in the United States and in foreign countries, along with subsequent compliance with applicable statutes and regulations, require the expenditure of substantial time and financial resources.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United States Government Regulation</w:t>
      </w:r>
    </w:p>
    <w:p>
      <w:pPr>
        <w:spacing w:after="0" w:line="23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 the United States, the FDA regulates drugs under the Federal Food, Drug, and Cosmetic Act, or “FDCA,” and its implementing regulations. The process of obtaining regulatory approvals and the subsequent compliance with appropriate federal, state, local and foreign statutes and regulations require the expenditure of substantial time and financial resources. Failure to comply with the applicable United States requirements at any time during the drug development process, approval process or after approval, may subject an applicant to a variety of administrative or judicial sanctions, such as the FDA’s refusal to approve an NDA, withdrawal of an approval, imposition of a clinical hold, issuance of warning or untitled letters, product recalls, product seizures, total or partial suspension of production or distribution, injunctions, fines, refusals of government contracts, restitution, disgorgement, or civil or criminal penalties.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process required by the FDA before a drug may be marketed in the United States generally involves:</w:t>
      </w:r>
    </w:p>
    <w:p>
      <w:pPr>
        <w:spacing w:after="0" w:line="239" w:lineRule="exact"/>
        <w:rPr>
          <w:sz w:val="20"/>
          <w:szCs w:val="20"/>
          <w:color w:val="auto"/>
        </w:rPr>
      </w:pPr>
    </w:p>
    <w:p>
      <w:pPr>
        <w:ind w:left="1080" w:hanging="353"/>
        <w:spacing w:after="0" w:line="280" w:lineRule="auto"/>
        <w:tabs>
          <w:tab w:leader="none" w:pos="10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completion of preclinical laboratory tests, animal studies and formulation studies in compliance with the FDA’s good laboratory practice, or “GLP,” regulations;</w:t>
      </w:r>
    </w:p>
    <w:p>
      <w:pPr>
        <w:spacing w:after="0" w:line="164"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submission to the FDA of an IND, which must become effective before human clinical trials may begin;</w:t>
      </w:r>
    </w:p>
    <w:p>
      <w:pPr>
        <w:spacing w:after="0" w:line="239" w:lineRule="exact"/>
        <w:rPr>
          <w:rFonts w:ascii="Times New Roman" w:cs="Times New Roman" w:eastAsia="Times New Roman" w:hAnsi="Times New Roman"/>
          <w:sz w:val="20"/>
          <w:szCs w:val="20"/>
          <w:color w:val="auto"/>
        </w:rPr>
      </w:pPr>
    </w:p>
    <w:p>
      <w:pPr>
        <w:ind w:left="1080" w:hanging="353"/>
        <w:spacing w:after="0" w:line="280" w:lineRule="auto"/>
        <w:tabs>
          <w:tab w:leader="none" w:pos="10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approval by an independent institutional review board, or “IRB,” at each clinical site before each trial may be initiated;</w:t>
      </w:r>
    </w:p>
    <w:p>
      <w:pPr>
        <w:spacing w:after="0" w:line="162" w:lineRule="exact"/>
        <w:rPr>
          <w:rFonts w:ascii="Times New Roman" w:cs="Times New Roman" w:eastAsia="Times New Roman" w:hAnsi="Times New Roman"/>
          <w:sz w:val="20"/>
          <w:szCs w:val="20"/>
          <w:color w:val="auto"/>
        </w:rPr>
      </w:pPr>
    </w:p>
    <w:p>
      <w:pPr>
        <w:ind w:left="1080" w:hanging="353"/>
        <w:spacing w:after="0" w:line="280" w:lineRule="auto"/>
        <w:tabs>
          <w:tab w:leader="none" w:pos="10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 of adequate and well controlled clinical trials, in accordance with good clinical practice, or “GCP,” requirements to establish the safety and efficacy of the proposed drug for each indication;</w:t>
      </w:r>
    </w:p>
    <w:p>
      <w:pPr>
        <w:spacing w:after="0" w:line="164"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submission to the FDA of an NDA;</w:t>
      </w:r>
    </w:p>
    <w:p>
      <w:pPr>
        <w:spacing w:after="0" w:line="240"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satisfactory completion of an FDA advisory committee review, if applicable;</w:t>
      </w:r>
    </w:p>
    <w:p>
      <w:pPr>
        <w:spacing w:after="0" w:line="239" w:lineRule="exact"/>
        <w:rPr>
          <w:rFonts w:ascii="Times New Roman" w:cs="Times New Roman" w:eastAsia="Times New Roman" w:hAnsi="Times New Roman"/>
          <w:sz w:val="20"/>
          <w:szCs w:val="20"/>
          <w:color w:val="auto"/>
        </w:rPr>
      </w:pPr>
    </w:p>
    <w:p>
      <w:pPr>
        <w:jc w:val="both"/>
        <w:ind w:left="1080" w:hanging="353"/>
        <w:spacing w:after="0" w:line="260" w:lineRule="auto"/>
        <w:tabs>
          <w:tab w:leader="none" w:pos="10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satisfactory completion of an FDA inspection of the manufacturing facility or facilities at which the product is produced to assess compliance with cGMP requirements, and to assure that the facilities, methods and controls are adequate to preserve the drug’s identity, strength, quality, and purity;</w:t>
      </w:r>
    </w:p>
    <w:p>
      <w:pPr>
        <w:spacing w:after="0" w:line="182" w:lineRule="exact"/>
        <w:rPr>
          <w:rFonts w:ascii="Times New Roman" w:cs="Times New Roman" w:eastAsia="Times New Roman" w:hAnsi="Times New Roman"/>
          <w:sz w:val="20"/>
          <w:szCs w:val="20"/>
          <w:color w:val="auto"/>
        </w:rPr>
      </w:pPr>
    </w:p>
    <w:p>
      <w:pPr>
        <w:ind w:left="1080" w:hanging="353"/>
        <w:spacing w:after="0" w:line="280" w:lineRule="auto"/>
        <w:tabs>
          <w:tab w:leader="none" w:pos="10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satisfactory completion of an FDA inspection of selected clinical sites to assure compliance with GCPs and the integrity of the clinical data;</w:t>
      </w:r>
    </w:p>
    <w:p>
      <w:pPr>
        <w:spacing w:after="0" w:line="164"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user fees; and</w:t>
      </w:r>
    </w:p>
    <w:p>
      <w:pPr>
        <w:spacing w:after="0" w:line="239"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FDA review and approval of the NDA.</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Preclinical Studies</w:t>
      </w:r>
    </w:p>
    <w:p>
      <w:pPr>
        <w:spacing w:after="0" w:line="236" w:lineRule="exact"/>
        <w:rPr>
          <w:sz w:val="20"/>
          <w:szCs w:val="20"/>
          <w:color w:val="auto"/>
        </w:rPr>
      </w:pPr>
    </w:p>
    <w:p>
      <w:pPr>
        <w:spacing w:after="0" w:line="308" w:lineRule="auto"/>
        <w:rPr>
          <w:sz w:val="20"/>
          <w:szCs w:val="20"/>
          <w:color w:val="auto"/>
        </w:rPr>
      </w:pPr>
      <w:r>
        <w:rPr>
          <w:rFonts w:ascii="Times New Roman" w:cs="Times New Roman" w:eastAsia="Times New Roman" w:hAnsi="Times New Roman"/>
          <w:sz w:val="19"/>
          <w:szCs w:val="19"/>
          <w:color w:val="auto"/>
        </w:rPr>
        <w:t>Preclinical studies include laboratory evaluation of product chemistry, toxicity, and formulation, as well as animal studies to assess potential safety and efficacy. An IND sponsor must submit the results of the nonclinical tests, together with</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880" w:h="15480" w:orient="portrait"/>
          <w:cols w:equalWidth="0" w:num="1">
            <w:col w:w="9720"/>
          </w:cols>
          <w:pgMar w:left="1080" w:top="1292" w:right="1080" w:bottom="544" w:gutter="0" w:footer="0" w:header="0"/>
        </w:sectPr>
      </w:pPr>
    </w:p>
    <w:bookmarkStart w:id="21" w:name="page22"/>
    <w:bookmarkEnd w:id="21"/>
    <w:p>
      <w:pPr>
        <w:jc w:val="both"/>
        <w:spacing w:after="0" w:line="253" w:lineRule="auto"/>
        <w:rPr>
          <w:sz w:val="20"/>
          <w:szCs w:val="20"/>
          <w:color w:val="auto"/>
        </w:rPr>
      </w:pPr>
      <w:r>
        <w:rPr>
          <w:rFonts w:ascii="Times New Roman" w:cs="Times New Roman" w:eastAsia="Times New Roman" w:hAnsi="Times New Roman"/>
          <w:sz w:val="20"/>
          <w:szCs w:val="20"/>
          <w:color w:val="auto"/>
        </w:rPr>
        <w:t>manufacturing information, analytical data, and any available clinical data or literature, among other things, to the FDA as part of an IND. Some nonclinical testing may continue even after the IND is submitted. An IND automatically becomes effective 30 days after receipt by the FDA, unless before that time the FDA raises concerns or questions related to one or more proposed clinical trials and places the clinical trial on a clinical hold.</w:t>
      </w:r>
    </w:p>
    <w:p>
      <w:pPr>
        <w:spacing w:after="0" w:line="19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In such a case, the IND sponsor and the FDA must resolve any outstanding concerns before the clinical trial can begin. As a result, submission of an IND may not result in the FDA allowing clinical trials to commence.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Clinical Trials</w:t>
      </w:r>
    </w:p>
    <w:p>
      <w:pPr>
        <w:spacing w:after="0" w:line="23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Clinical trials involve the administration of the investigational new drug to human subjects under the supervision of qualified investigators in accordance with GCP requirements, which include the requirement that all research subjects provide their informed consent in writing for their participation in any clinical trial. Clinical trials are conducted under protocols detailing, among other things, the objectives of the trial, the parameters to be used in monitoring safety and the effectiveness criteria to be evaluated. A protocol for each clinical trial and any subsequent protocol amendments must be submitted to the FDA as part of the IND. In addition, an IRB at each institution participating in the clinical trial must review and approve the plan for any clinical trial before it commences at that institution, and the IRB must continue to oversee the clinical trial while it is being conducted. Information about certain clinical trials must be submitted within specific timeframes to the National Institutes of Health, or “NIH,” for public dissemination on their ClinicalTrials.gov website.</w:t>
      </w:r>
    </w:p>
    <w:p>
      <w:pPr>
        <w:spacing w:after="0" w:line="20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Human clinical trials are typically conducted in three sequential phases, which may overlap or be combined. In Phase 1, the drug is initially introduced into healthy human subjects or patients with the target disease or condition and tested for safety, dosage tolerance, absorption, metabolism, distribution, excretion and, if possible, to gain an initial indication of its effectiveness. In Phase 2, the drug typically is administered to a limited patient population to identify possible adverse effects and safety risks, to preliminarily evaluate the efficacy of the product for specific targeted diseases and to determine dosage tolerance and optimal dosage. In Phase 3, the drug is administered to an expanded patient population, generally at geographically dispersed clinical trial sites, in well controlled clinical trials to generate enough data to statistically evaluate the safety and efficacy of the product for approval, to establish the overall risk benefit profile of the product and to provide adequate information for the labeling of the product.</w:t>
      </w:r>
    </w:p>
    <w:p>
      <w:pPr>
        <w:spacing w:after="0" w:line="19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Progress reports detailing the results of the clinical trials must be submitted, at least annually, to the FDA, and more frequently if serious adverse events occur.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Marketing Approval</w:t>
      </w:r>
    </w:p>
    <w:p>
      <w:pPr>
        <w:spacing w:after="0" w:line="23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Assuming successful completion of the required clinical testing, the results of the preclinical and clinical studies, together with detailed information relating to the product’s chemistry, manufacture, controls, and proposed labeling, among other things, are submitted to the FDA as part of an NDA requesting approval to market the product for one or more indications. In most cases, the submission of an NDA is subject to a substantial application user fee. Under the PDUFA guidelines that are currently in effect, the FDA has a goal of ten months from the date of “filing” of a standard NDA for a new molecular entity to review and act on the submission. This review typically takes twelve months from the date the NDA is submitted to the FDA because the FDA has approximately two months to make a “filing” decision.</w:t>
      </w:r>
    </w:p>
    <w:p>
      <w:pPr>
        <w:spacing w:after="0" w:line="19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In addition, under the Pediatric Research Equity Act, certain NDAs or supplements to an NDA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880" w:h="15480" w:orient="portrait"/>
          <w:cols w:equalWidth="0" w:num="1">
            <w:col w:w="9720"/>
          </w:cols>
          <w:pgMar w:left="1080" w:top="1064" w:right="1080" w:bottom="544" w:gutter="0" w:footer="0" w:header="0"/>
          <w:type w:val="continuous"/>
        </w:sectPr>
      </w:pPr>
    </w:p>
    <w:bookmarkStart w:id="22" w:name="page23"/>
    <w:bookmarkEnd w:id="22"/>
    <w:p>
      <w:pPr>
        <w:jc w:val="both"/>
        <w:spacing w:after="0" w:line="260" w:lineRule="auto"/>
        <w:rPr>
          <w:sz w:val="20"/>
          <w:szCs w:val="20"/>
          <w:color w:val="auto"/>
        </w:rPr>
      </w:pPr>
      <w:r>
        <w:rPr>
          <w:rFonts w:ascii="Times New Roman" w:cs="Times New Roman" w:eastAsia="Times New Roman" w:hAnsi="Times New Roman"/>
          <w:sz w:val="20"/>
          <w:szCs w:val="20"/>
          <w:color w:val="auto"/>
        </w:rPr>
        <w:t>or all pediatric data until after approval of the product for use in adults, or full or partial waivers from the pediatric data requirements. Unless otherwise required by regulation, the pediatric data requirements do not apply to products with orphan designation.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FDA also may require submission of a risk evaluation and mitigation strategy, or “REMS,” plan to ensure that the benefits of the drug outweigh its risks. The REMS plan could include medication guides, physician communication plans, assessment plans, and/or elements to assure safe use, such as restricted distribution methods, patient registries, or other risk minimization tools.</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 - 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w:t>
      </w:r>
    </w:p>
    <w:p>
      <w:pPr>
        <w:spacing w:after="0" w:line="18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trial sites to assure compliance with GCP requirements.</w:t>
      </w:r>
    </w:p>
    <w:p>
      <w:pPr>
        <w:spacing w:after="0" w:line="19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contains a statement of specific conditions that must be met in order to secure final approval of the NDA and may require additional clinical or preclinical testing in order for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with specific prescribing information for specific indications.</w:t>
      </w:r>
    </w:p>
    <w:p>
      <w:pPr>
        <w:spacing w:after="0" w:line="20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Even if the FDA approves a product, it may limit the approved indications for use of the product, require that contraindications, warnings, or precautions be included in the product labeling, require that post - approval studies, including Phase 4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 - 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Post-Approval Requirements</w:t>
      </w:r>
    </w:p>
    <w:p>
      <w:pPr>
        <w:spacing w:after="0" w:line="23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manufacturing changes or other labeling claims, are</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880" w:h="15480" w:orient="portrait"/>
          <w:cols w:equalWidth="0" w:num="1">
            <w:col w:w="9720"/>
          </w:cols>
          <w:pgMar w:left="1080" w:top="1064" w:right="1080" w:bottom="544" w:gutter="0" w:footer="0" w:header="0"/>
          <w:type w:val="continuous"/>
        </w:sectPr>
      </w:pPr>
    </w:p>
    <w:bookmarkStart w:id="23" w:name="page24"/>
    <w:bookmarkEnd w:id="23"/>
    <w:p>
      <w:pPr>
        <w:jc w:val="both"/>
        <w:spacing w:after="0" w:line="253" w:lineRule="auto"/>
        <w:rPr>
          <w:sz w:val="20"/>
          <w:szCs w:val="20"/>
          <w:color w:val="auto"/>
        </w:rPr>
      </w:pPr>
      <w:r>
        <w:rPr>
          <w:rFonts w:ascii="Times New Roman" w:cs="Times New Roman" w:eastAsia="Times New Roman" w:hAnsi="Times New Roman"/>
          <w:sz w:val="20"/>
          <w:szCs w:val="20"/>
          <w:color w:val="auto"/>
        </w:rPr>
        <w:t>subject to further testing requirements and prior FDA review and approval. There also are continuing annual user fee requirements for any marketed products and the establishments at which such products are manufactured, as well as application fees for supplemental applications with clinical data. The FDA may prevent or limit further marketing of a product based on the results of post - marketing studies or surveillance programs.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 - party manufacturers that the sponsor may decide to use. Accordingly, manufacturers must continue to expend time, money, and effort in the area of production and quality control to maintain cGMP compliance.</w:t>
      </w:r>
    </w:p>
    <w:p>
      <w:pPr>
        <w:spacing w:after="0" w:line="18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Once an approval is granted, the FDA may withdraw the approval if compliance with regulatory requirements and standards is not maintained or if problems occur after the product reaches the market.</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 market studies or clinical trials to assess new safety risks, or imposition of distribution or other restrictions under a REMS program. Other potential consequences include, among other things:</w:t>
      </w:r>
    </w:p>
    <w:p>
      <w:pPr>
        <w:spacing w:after="0" w:line="192" w:lineRule="exact"/>
        <w:rPr>
          <w:sz w:val="20"/>
          <w:szCs w:val="20"/>
          <w:color w:val="auto"/>
        </w:rPr>
      </w:pPr>
    </w:p>
    <w:p>
      <w:pPr>
        <w:ind w:left="1080" w:hanging="353"/>
        <w:spacing w:after="0" w:line="280" w:lineRule="auto"/>
        <w:tabs>
          <w:tab w:leader="none" w:pos="10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the marketing or manufacturing of the product, complete withdrawal of the product from the market, or product recalls;</w:t>
      </w:r>
    </w:p>
    <w:p>
      <w:pPr>
        <w:spacing w:after="0" w:line="164"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fines, warning letters or holds on post-approval clinical trials;</w:t>
      </w:r>
    </w:p>
    <w:p>
      <w:pPr>
        <w:spacing w:after="0" w:line="239" w:lineRule="exact"/>
        <w:rPr>
          <w:rFonts w:ascii="Times New Roman" w:cs="Times New Roman" w:eastAsia="Times New Roman" w:hAnsi="Times New Roman"/>
          <w:sz w:val="20"/>
          <w:szCs w:val="20"/>
          <w:color w:val="auto"/>
        </w:rPr>
      </w:pPr>
    </w:p>
    <w:p>
      <w:pPr>
        <w:ind w:left="1080" w:hanging="353"/>
        <w:spacing w:after="0" w:line="280" w:lineRule="auto"/>
        <w:tabs>
          <w:tab w:leader="none" w:pos="10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refusal of the FDA to approve pending NDAs or supplements to approved NDAs, or suspension or revocation of product approvals;</w:t>
      </w:r>
    </w:p>
    <w:p>
      <w:pPr>
        <w:spacing w:after="0" w:line="164"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seizure or detention, or refusal to permit the import or export of products; or</w:t>
      </w:r>
    </w:p>
    <w:p>
      <w:pPr>
        <w:spacing w:after="0" w:line="239"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injunctions or the imposition of civil or criminal penalties.</w:t>
      </w:r>
    </w:p>
    <w:p>
      <w:pPr>
        <w:spacing w:after="0" w:line="24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FDA strictly regulates marketing, labeling, advertising and promotion of products that are placed on the market. Drugs may be promoted only for the approved indications and in accordance with the provisions of the approved label, although physicians, based on their independent medical judgement, may prescribe approved drugs for unapproved (or “off-label”) indications. The FDA and other agencies actively enforce the laws and regulations prohibiting their promotion of off - label uses, and a company that is found to have improperly promoted off-label uses may be subject to significant civil, criminal and administrative liability.</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In addition, the distribution of prescription pharmaceutical products is subject to the Drug Supply Security Chain Act, which regulates the distribution of drugs and drug samples at the federal level, and sets minimum standards for the registration and regulation of drug distributors by the states.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Federal and State Fraud and Abuse, Data Privacy and Security, and Transparency Laws and Regulations</w:t>
      </w:r>
    </w:p>
    <w:p>
      <w:pPr>
        <w:spacing w:after="0" w:line="2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In addition to FDA restrictions on marketing of pharmaceutical products, federal and state healthcare laws and regulations restrict business practices in the biopharmaceutical industry. These laws regulate, among other things, our current and future business operations, including our clinical research activities, sales, marketing, and education programs. These laws may also constrain the business or financial arrangements and relationships with healthcare providers and other parties through which we market, sell, and distribute our products for which we obtain marketing approval. These laws include</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880" w:h="15480" w:orient="portrait"/>
          <w:cols w:equalWidth="0" w:num="1">
            <w:col w:w="9720"/>
          </w:cols>
          <w:pgMar w:left="1080" w:top="1064" w:right="1080" w:bottom="544" w:gutter="0" w:footer="0" w:header="0"/>
          <w:type w:val="continuous"/>
        </w:sectPr>
      </w:pPr>
    </w:p>
    <w:bookmarkStart w:id="24" w:name="page25"/>
    <w:bookmarkEnd w:id="24"/>
    <w:p>
      <w:pPr>
        <w:jc w:val="both"/>
        <w:spacing w:after="0" w:line="280" w:lineRule="auto"/>
        <w:rPr>
          <w:sz w:val="20"/>
          <w:szCs w:val="20"/>
          <w:color w:val="auto"/>
        </w:rPr>
      </w:pPr>
      <w:r>
        <w:rPr>
          <w:rFonts w:ascii="Times New Roman" w:cs="Times New Roman" w:eastAsia="Times New Roman" w:hAnsi="Times New Roman"/>
          <w:sz w:val="20"/>
          <w:szCs w:val="20"/>
          <w:color w:val="auto"/>
        </w:rPr>
        <w:t>anti - kickback and false claims laws and regulations, data privacy and security laws and regulations, and transparency laws and regulations, including, without limitation, those laws described below.</w:t>
      </w:r>
    </w:p>
    <w:p>
      <w:pPr>
        <w:spacing w:after="0" w:line="16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federal Anti - Kickback Statute prohibits any person or entity from, among other things, knowingly and willfully offering, paying, soliciting, or receiving remuneration to induce or in return for purchasing, leasing, ordering, or arranging for or recommending the purchase, lease, or order of any item or service reimbursable under Medicare, Medicaid, or other federal healthcare programs. The term “remuneration” has been broadly interpreted to include anything of value. The federal Anti - 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 Practices that involve remuneration that may be alleged to be intended to induce prescribing, purchases or recommendations may be subject to scrutiny if they do not qualify for an exception or safe harbor. Several courts have interpreted the statute’s intent requirement to mean that if any one purpose of an arrangement involving remuneration is to induce referrals of federal healthcare covered business, the statute has been violated.</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 person or entity does not need to have actual knowledge of this statute or specific intent to violate it in order to have committed a violation. In addition, the government may assert that a claim including items or services resulting from a violation of the federal Anti - Kickback Statute constitutes a false or fraudulent claim for purposes of the federal civil False Claims Act or the civil monetary penalties laws.</w:t>
      </w:r>
    </w:p>
    <w:p>
      <w:pPr>
        <w:spacing w:after="0" w:line="1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Federal civil and criminal false claims laws, including the federal civil False Claims Act, which can be enforced by individuals through civil whistleblower and qui tam actions and civil monetary penalties laws, prohibit any person or entity from, among other things, knowingly presenting, or causing to be presented, a false claim for payment to the federal government or knowingly making, using or causing to be made or used a false record or statement material to a false or fraudulent claim to the federal government. A claim includes “any request or demand” for money or property presented to the U.S. government.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products for unapproved, and thus non-reimbursable, uses.</w:t>
      </w:r>
    </w:p>
    <w:p>
      <w:pPr>
        <w:spacing w:after="0" w:line="19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The federal Health Insurance Portability and Accountability Act of 1996, or “HIPAA,” created additional federal criminal statutes that prohibit, among other things, knowingly and willfully executing a scheme to defraud any healthcare benefit program, including private third - party payors and knowingly and willfully falsifying, concealing or covering up a material fact or making any materially false, fictitious, or fraudulent statement in connection with the delivery of or payment for healthcare benefits, items or services. Also, many states have similar fraud and abuse statutes or regulations that apply to items and services reimbursed under Medicaid and other state programs, or, in several states, apply regardless of the payor.</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In addition, we are subject to data privacy and security regulation by both the federal government and the states in which we conduct our business. HIPAA, as amended by the Health Information Technology for Economic and Clinical Health Act, or “HITECH,” and their respective implementing regulations, impose specified requirements on certain types of individuals and entities relating to the privacy, security, and transmission of individually identifiable health information. Among other things, HITECH makes HIPAA’s security standards directly applicable to “business associates,” defined as independent contractors or agents of covered entities, which include certain healthcare providers, healthcare clearinghouse and health plans, that create, receive, maintain, or transmit individually identifiable health information in connection with providing a service for or on behalf of a covered entity, and their covered subcontractors. HITECH also increased the civil and criminal penalties that may be imposed against covered entities, business associates, and possibly other persons, and gave state attorneys general new authority to file civil actions for damages or injunctions in federal courts to enforce HIPAA and seek attorney’s fees and costs associated with pursuing federal civil actions. In addition, state laws govern the privacy and security of health information in certain circumstances, many of which are not preempted by HIPAA, differ from each other in significant ways and may not have the same effect, thus complicating compliance efforts.</w:t>
      </w:r>
    </w:p>
    <w:p>
      <w:pPr>
        <w:spacing w:after="0" w:line="19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federal Physician Payments Sunshine Act requires certain manufacturers of drugs, devices, biologics and medical supplies for which payment is available under Medicare, Medicaid or the Children’s Health Insurance Program, with</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880" w:h="15480" w:orient="portrait"/>
          <w:cols w:equalWidth="0" w:num="1">
            <w:col w:w="9720"/>
          </w:cols>
          <w:pgMar w:left="1080" w:top="1064" w:right="1080" w:bottom="544" w:gutter="0" w:footer="0" w:header="0"/>
          <w:type w:val="continuous"/>
        </w:sectPr>
      </w:pPr>
    </w:p>
    <w:bookmarkStart w:id="25" w:name="page26"/>
    <w:bookmarkEnd w:id="25"/>
    <w:p>
      <w:pPr>
        <w:jc w:val="both"/>
        <w:spacing w:after="0" w:line="250" w:lineRule="auto"/>
        <w:rPr>
          <w:sz w:val="20"/>
          <w:szCs w:val="20"/>
          <w:color w:val="auto"/>
        </w:rPr>
      </w:pPr>
      <w:r>
        <w:rPr>
          <w:rFonts w:ascii="Times New Roman" w:cs="Times New Roman" w:eastAsia="Times New Roman" w:hAnsi="Times New Roman"/>
          <w:sz w:val="20"/>
          <w:szCs w:val="20"/>
          <w:color w:val="auto"/>
        </w:rPr>
        <w:t>specific exceptions, to report annually to the Centers for Medicare &amp; Medicaid Services, or “CMS,” information related to payments or other transfers of value made to physicians (defined to include doctors, dentists, optometrists, podiatrists and chiropractors), other healthcare professionals (such as physician assistants and nurse practitioners), and teaching hospitals, and applicable manufacturers and applicable group purchasing organizations to report annually to CMS ownership and investment interests held by physicians and their immediate family members.</w:t>
      </w:r>
    </w:p>
    <w:p>
      <w:pPr>
        <w:spacing w:after="0" w:line="19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may also be subject to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or marketing expenditures, state laws that require drug manufacturers to report information on the pricing of certain drugs, and state and local laws that require certain regulatory licenses to manufacture or distribute our products commercially and/or the registration of pharmaceutical sales representatives.</w:t>
      </w:r>
    </w:p>
    <w:p>
      <w:pPr>
        <w:spacing w:after="0" w:line="19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Because of the breadth of these laws, it is possible that some of our business activities could be subject to challenge under one or more of such laws. There are a number of statutory exceptions and regulatory safe harbors protecting some common activities from prosecution. If our operations are found to be in violation of any of the federal and state laws described above or any other governmental regulations that apply to us, we may be subject to significant criminal, civil and administrative penalties including damages, fines, imprisonment, additional reporting requirements and oversight if we become subject to a corporate integrity agreement or similar agreement to resolve allegations of non - compliance with these laws, contractual damages, reputational harm, diminished profits and future earnings, disgorgement, exclusion from participation in government healthcare programs and the curtailment or restructuring of our operations, any of which could adversely affect our ability to operate our business and our results of operations. To the extent that any of our products are sold in a foreign country, we may be subject to similar foreign laws and regulations, which may include, for instance, applicable post - marketing requirements, including safety surveillance, anti - fraud and abuse laws, implementation of corporate compliance programs, reporting of payments or transfers of value to healthcare professionals, and additional data privacy and security requirements.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Coverage and Reimbursement</w:t>
      </w:r>
    </w:p>
    <w:p>
      <w:pPr>
        <w:spacing w:after="0" w:line="2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The future commercial success of our, or any of our collaborators’, product candidates, if approved, will depend in part on the extent to which third - party payors, such as governmental payor programs at the federal and state levels, including Medicare and Medicaid, private health insurers and other third - party payors, provide coverage of and establish adequate reimbursement levels for our product candidates. Third - party payors generally decide which products they will pay for and establish reimbursement levels for those products. In particular, in the United States, no uniform policy for coverage and reimbursement exists. Private health insurers and other third - party payors often provide coverage and reimbursement for products based on the level at which the government, through the Medicare program, provides coverage and reimbursement for such products, but also have their own methods and approval process apart from Medicare determinations. Therefore, coverage and reimbursement can differ significantly from payor to payor.</w:t>
      </w:r>
    </w:p>
    <w:p>
      <w:pPr>
        <w:spacing w:after="0" w:line="18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 the United States, the European Union, or “EU,” and other potentially significant markets for our product candidates, government authorities and third - party payors are increasingly attempting to limit or regulate the price of products, particularly for new and innovative products, which often has resulted in average selling prices lower than they would otherwise be. Further, the increased emphasis on managed healthcare in the United States and on country and regional pricing and reimbursement controls in the EU will put additional pressure on product pricing, reimbursement and usage. These pressures can arise from rules and practices of managed care groups, judicial decisions and laws and regulations related to Medicare, Medicaid and healthcare reform, pharmaceutical coverage and reimbursement policies and pricing in general. Further, the U.S. Department of Health and Human Services, or “HHS,” imposes rebates on many Medicare Part B and Medicare Part D products to penalize price increases that outpace inflation on an annual basis. HHS has also been empowered to negotiate the price of certain single-source drugs that have been on the market for at least seven (7)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880" w:h="15480" w:orient="portrait"/>
          <w:cols w:equalWidth="0" w:num="1">
            <w:col w:w="9720"/>
          </w:cols>
          <w:pgMar w:left="1080" w:top="1064" w:right="1080" w:bottom="544" w:gutter="0" w:footer="0" w:header="0"/>
          <w:type w:val="continuous"/>
        </w:sectPr>
      </w:pPr>
    </w:p>
    <w:bookmarkStart w:id="26" w:name="page27"/>
    <w:bookmarkEnd w:id="26"/>
    <w:p>
      <w:pPr>
        <w:jc w:val="both"/>
        <w:spacing w:after="0" w:line="242" w:lineRule="auto"/>
        <w:rPr>
          <w:sz w:val="20"/>
          <w:szCs w:val="20"/>
          <w:color w:val="auto"/>
        </w:rPr>
      </w:pPr>
      <w:r>
        <w:rPr>
          <w:rFonts w:ascii="Times New Roman" w:cs="Times New Roman" w:eastAsia="Times New Roman" w:hAnsi="Times New Roman"/>
          <w:sz w:val="20"/>
          <w:szCs w:val="20"/>
          <w:color w:val="auto"/>
        </w:rPr>
        <w:t>Third - party payors are increasingly imposing additional requirements and restrictions on coverage and limiting reimbursement levels for products. For example, federal and state governments reimburse products at varying rates generally below average wholesale price. These restrictions and limitations influence the purchase of products. Third - party payors may limit coverage to specific products on an approved list, or formulary, which might not include all of the FDA - approved products for a particular indication. Third - party payors are increasingly challenging the price and examining the medical necessity and cost - effectiveness of products, in addition to their safety and efficacy. We may need to conduct expensive pharmacoeconomic studies in order to demonstrate the medical necessity and cost - effectiveness of our product candidates, in addition to the costs required to obtain the FDA approvals. Our product candidates may not be considered medically necessary or cost - effective. A payor’s decision to provide coverage for a product does not imply that an adequate reimbursement rate will be approved. Adequate third - party payor reimbursement may not be available to enable us to realize an appropriate return on our investment in product development. Legislative proposals to reform healthcare or reduce costs under government insurance programs may result in lower reimbursement for our product candidates, if approved, or exclusion of our product candidates from coverage and reimbursement. The cost containment measures that third - party payors and providers are instituting and any healthcare reform could significantly reduce our revenues from the sale of any approved product candidates. Even if favorable coverage and reimbursement status is attained for one or more products for which we receive regulatory approval, less favorable coverage policies and reimbursement rates may be implemented in the future.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Healthcare Reform</w:t>
      </w:r>
    </w:p>
    <w:p>
      <w:pPr>
        <w:spacing w:after="0" w:line="23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United States and some foreign jurisdictions are considering enacting or have enacted a number of additional legislative and regulatory proposals to change the healthcare system in ways that could affect our ability to sell our product candidates profitably, if approved. Among policy makers and payors in the United States and elsewhere, there is significant interest in promoting changes in healthcare systems with the stated goals of containing healthcare costs, improving quality and expanding access. In the United States, the pharmaceutical industry has been a particular focus of these efforts, which include major legislative initiatives to reduce the cost of care through changes in the healthcare system, including limits on the pricing, coverage, and reimbursement of pharmaceutical and biopharmaceutical products, especially under government-funded health care programs, and increased governmental control of drug pricing.</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There have been several U.S. government initiatives over the past few years to fund and incentivize certain comparative effectiveness research, including creation of the Patient-Centered Outcomes Research Institute under the Patient Protection and Affordable Care Act of 2010, as amended by the Health Care and Education Reconciliation Act of 2010, or collectively the “PPACA.” It is also possible that comparative effectiveness research demonstrating benefits in a competitor’s product could adversely affect the sales of our product candidates.</w:t>
      </w:r>
    </w:p>
    <w:p>
      <w:pPr>
        <w:spacing w:after="0" w:line="19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There have been amendments to, and executive, judicial and Congressional challenges to certain aspects of the Patient Protection and Affordable Care Act, or the “PPACA.” For example, on July 4, 2025, the One Big Beautiful Bill Act, or the “OBBBA,” was signed into law, which narrowed access to PPACA marketplace exchange enrollment and declined to extend the PPACA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PPACA subsidies.</w:t>
      </w:r>
    </w:p>
    <w:p>
      <w:pPr>
        <w:spacing w:after="0" w:line="18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In addition, other legislative changes have been proposed and adopted since the PPACA was enacted. These changes include aggregate reductions to Medicare payments to providers of 2% per fiscal year, which began in 2013 and will remain in effect until 2032 unless additional Congressional action is taken.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 current administration is pursuing policies to reduce regulations and expenditures across government agencies including at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 to consumer platform, or “TrumpRx”, U.S. patients</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880" w:h="15480" w:orient="portrait"/>
          <w:cols w:equalWidth="0" w:num="1">
            <w:col w:w="9720"/>
          </w:cols>
          <w:pgMar w:left="1080" w:top="1064" w:right="1080" w:bottom="544" w:gutter="0" w:footer="0" w:header="0"/>
          <w:type w:val="continuous"/>
        </w:sectPr>
      </w:pPr>
    </w:p>
    <w:bookmarkStart w:id="27" w:name="page28"/>
    <w:bookmarkEnd w:id="27"/>
    <w:p>
      <w:pPr>
        <w:jc w:val="both"/>
        <w:ind w:firstLine="1"/>
        <w:spacing w:after="0" w:line="242" w:lineRule="auto"/>
        <w:rPr>
          <w:sz w:val="20"/>
          <w:szCs w:val="20"/>
          <w:color w:val="auto"/>
        </w:rPr>
      </w:pPr>
      <w:r>
        <w:rPr>
          <w:rFonts w:ascii="Times New Roman" w:cs="Times New Roman" w:eastAsia="Times New Roman" w:hAnsi="Times New Roman"/>
          <w:sz w:val="20"/>
          <w:szCs w:val="20"/>
          <w:color w:val="auto"/>
        </w:rPr>
        <w:t>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(3) imposing tariffs on imported pharmaceutical products; and (4) as part of the Make America Healthy Again, or “MAHA”,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or “PBM”,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materially and adversely affect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Regulation</w:t>
      </w:r>
    </w:p>
    <w:p>
      <w:pPr>
        <w:spacing w:after="0" w:line="23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 order to market any product outside of the United States, we would need to comply with numerous and varying regulatory requirements of other countries regarding safety and efficacy and governing, among other things, clinical trials, marketing authorization, commercial sales and distribution of our product candidates. For example, in the EU, we must obtain authorization of a clinical trial application, or “CTA,” in each member state in which we intend to conduct a clinical trial. Whether or not we obtain FDA approval for a drug, we would need to obtain the necessary approvals by the comparable regulatory authorities of foreign countries before we can commence clinical trials or marketing of the drug in those countries. The approval process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Employees and Human Capital</w:t>
      </w:r>
    </w:p>
    <w:p>
      <w:pPr>
        <w:spacing w:after="0" w:line="2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Patients inspire all we do. Our employees are passionate about creating a solution for patients who suffer from PSVT and other related illnesses as we work together on our mission to develop innovative cardiovascular medicines. We have built a culture of high performance based on our core values:</w:t>
      </w:r>
    </w:p>
    <w:p>
      <w:pPr>
        <w:spacing w:after="0" w:line="175" w:lineRule="exact"/>
        <w:rPr>
          <w:sz w:val="20"/>
          <w:szCs w:val="20"/>
          <w:color w:val="auto"/>
        </w:rPr>
      </w:pPr>
    </w:p>
    <w:p>
      <w:pPr>
        <w:ind w:left="720"/>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Patients First: </w:t>
      </w:r>
      <w:r>
        <w:rPr>
          <w:rFonts w:ascii="Times New Roman" w:cs="Times New Roman" w:eastAsia="Times New Roman" w:hAnsi="Times New Roman"/>
          <w:sz w:val="20"/>
          <w:szCs w:val="20"/>
          <w:color w:val="auto"/>
        </w:rPr>
        <w:t>Everything we do is with the patient in mind. We listen to and partner with patients and place their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well-being at the core of all our initiatives.</w:t>
      </w:r>
    </w:p>
    <w:p>
      <w:pPr>
        <w:ind w:left="720"/>
        <w:spacing w:after="0"/>
        <w:rPr>
          <w:sz w:val="20"/>
          <w:szCs w:val="20"/>
          <w:color w:val="auto"/>
        </w:rPr>
      </w:pPr>
      <w:r>
        <w:rPr>
          <w:rFonts w:ascii="Times New Roman" w:cs="Times New Roman" w:eastAsia="Times New Roman" w:hAnsi="Times New Roman"/>
          <w:sz w:val="20"/>
          <w:szCs w:val="20"/>
          <w:i w:val="1"/>
          <w:iCs w:val="1"/>
          <w:color w:val="auto"/>
        </w:rPr>
        <w:t>Our patients inspire us.</w:t>
      </w:r>
    </w:p>
    <w:p>
      <w:pPr>
        <w:spacing w:after="0" w:line="2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i w:val="1"/>
          <w:iCs w:val="1"/>
          <w:color w:val="auto"/>
        </w:rPr>
        <w:t xml:space="preserve">Teamwork: </w:t>
      </w:r>
      <w:r>
        <w:rPr>
          <w:rFonts w:ascii="Times New Roman" w:cs="Times New Roman" w:eastAsia="Times New Roman" w:hAnsi="Times New Roman"/>
          <w:sz w:val="20"/>
          <w:szCs w:val="20"/>
          <w:color w:val="auto"/>
        </w:rPr>
        <w:t>Our employees support, challenge and care for each other.</w:t>
      </w:r>
    </w:p>
    <w:p>
      <w:pPr>
        <w:ind w:left="1080" w:hanging="360"/>
        <w:spacing w:after="0" w:line="279" w:lineRule="auto"/>
        <w:rPr>
          <w:sz w:val="20"/>
          <w:szCs w:val="20"/>
          <w:color w:val="auto"/>
        </w:rPr>
      </w:pPr>
      <w:r>
        <w:rPr>
          <w:rFonts w:ascii="Times New Roman" w:cs="Times New Roman" w:eastAsia="Times New Roman" w:hAnsi="Times New Roman"/>
          <w:sz w:val="20"/>
          <w:szCs w:val="20"/>
          <w:color w:val="auto"/>
        </w:rPr>
        <w:t>Employees engage with one another through their teams, but also through our weekly gatherings, outings and friendly competitions and challenges.</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880" w:h="15480" w:orient="portrait"/>
          <w:cols w:equalWidth="0" w:num="1">
            <w:col w:w="9720"/>
          </w:cols>
          <w:pgMar w:left="1080" w:top="1064" w:right="1080" w:bottom="544" w:gutter="0" w:footer="0" w:header="0"/>
          <w:type w:val="continuous"/>
        </w:sectPr>
      </w:pPr>
    </w:p>
    <w:bookmarkStart w:id="28" w:name="page29"/>
    <w:bookmarkEnd w:id="28"/>
    <w:p>
      <w:pPr>
        <w:ind w:left="720"/>
        <w:spacing w:after="0"/>
        <w:rPr>
          <w:sz w:val="20"/>
          <w:szCs w:val="20"/>
          <w:color w:val="auto"/>
        </w:rPr>
      </w:pPr>
      <w:r>
        <w:rPr>
          <w:rFonts w:ascii="Times New Roman" w:cs="Times New Roman" w:eastAsia="Times New Roman" w:hAnsi="Times New Roman"/>
          <w:sz w:val="20"/>
          <w:szCs w:val="20"/>
          <w:i w:val="1"/>
          <w:iCs w:val="1"/>
          <w:color w:val="auto"/>
        </w:rPr>
        <w:t>Collaboration is key.</w:t>
      </w:r>
    </w:p>
    <w:p>
      <w:pPr>
        <w:spacing w:after="0" w:line="227" w:lineRule="exact"/>
        <w:rPr>
          <w:sz w:val="20"/>
          <w:szCs w:val="20"/>
          <w:color w:val="auto"/>
        </w:rPr>
      </w:pPr>
    </w:p>
    <w:p>
      <w:pPr>
        <w:ind w:left="720"/>
        <w:spacing w:after="0" w:line="241" w:lineRule="auto"/>
        <w:rPr>
          <w:sz w:val="20"/>
          <w:szCs w:val="20"/>
          <w:color w:val="auto"/>
        </w:rPr>
      </w:pPr>
      <w:r>
        <w:rPr>
          <w:rFonts w:ascii="Times New Roman" w:cs="Times New Roman" w:eastAsia="Times New Roman" w:hAnsi="Times New Roman"/>
          <w:sz w:val="20"/>
          <w:szCs w:val="20"/>
          <w:i w:val="1"/>
          <w:iCs w:val="1"/>
          <w:color w:val="auto"/>
        </w:rPr>
        <w:t xml:space="preserve">Entrepreneurial Mindset: </w:t>
      </w:r>
      <w:r>
        <w:rPr>
          <w:rFonts w:ascii="Times New Roman" w:cs="Times New Roman" w:eastAsia="Times New Roman" w:hAnsi="Times New Roman"/>
          <w:sz w:val="20"/>
          <w:szCs w:val="20"/>
          <w:color w:val="auto"/>
        </w:rPr>
        <w:t>We place a high value on grit, courage and resolve. Our organizational energy has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sense of a startup.</w:t>
      </w:r>
    </w:p>
    <w:p>
      <w:pPr>
        <w:spacing w:after="0" w:line="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i w:val="1"/>
          <w:iCs w:val="1"/>
          <w:color w:val="auto"/>
        </w:rPr>
        <w:t>Employees are encouraged to think like an owner.</w:t>
      </w:r>
    </w:p>
    <w:p>
      <w:pPr>
        <w:spacing w:after="0" w:line="226" w:lineRule="exact"/>
        <w:rPr>
          <w:sz w:val="20"/>
          <w:szCs w:val="20"/>
          <w:color w:val="auto"/>
        </w:rPr>
      </w:pPr>
    </w:p>
    <w:p>
      <w:pPr>
        <w:ind w:left="720" w:right="2180"/>
        <w:spacing w:after="0" w:line="280" w:lineRule="auto"/>
        <w:rPr>
          <w:sz w:val="20"/>
          <w:szCs w:val="20"/>
          <w:color w:val="auto"/>
        </w:rPr>
      </w:pPr>
      <w:r>
        <w:rPr>
          <w:rFonts w:ascii="Times New Roman" w:cs="Times New Roman" w:eastAsia="Times New Roman" w:hAnsi="Times New Roman"/>
          <w:sz w:val="20"/>
          <w:szCs w:val="20"/>
          <w:i w:val="1"/>
          <w:iCs w:val="1"/>
          <w:color w:val="auto"/>
        </w:rPr>
        <w:t xml:space="preserve">Every Idea Matters: </w:t>
      </w:r>
      <w:r>
        <w:rPr>
          <w:rFonts w:ascii="Times New Roman" w:cs="Times New Roman" w:eastAsia="Times New Roman" w:hAnsi="Times New Roman"/>
          <w:sz w:val="20"/>
          <w:szCs w:val="20"/>
          <w:color w:val="auto"/>
        </w:rPr>
        <w:t>Sometimes the best ideas evolve from where it is least expected.</w:t>
      </w:r>
      <w:r>
        <w:rPr>
          <w:rFonts w:ascii="Times New Roman" w:cs="Times New Roman" w:eastAsia="Times New Roman" w:hAnsi="Times New Roman"/>
          <w:sz w:val="20"/>
          <w:szCs w:val="20"/>
          <w:i w:val="1"/>
          <w:iCs w:val="1"/>
          <w:color w:val="auto"/>
        </w:rPr>
        <w:t xml:space="preserve"> All ideas are welcome.</w:t>
      </w:r>
    </w:p>
    <w:p>
      <w:pPr>
        <w:spacing w:after="0" w:line="153" w:lineRule="exact"/>
        <w:rPr>
          <w:sz w:val="20"/>
          <w:szCs w:val="20"/>
          <w:color w:val="auto"/>
        </w:rPr>
      </w:pPr>
    </w:p>
    <w:p>
      <w:pPr>
        <w:ind w:left="720"/>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Humility, Empathy and Integrity: </w:t>
      </w:r>
      <w:r>
        <w:rPr>
          <w:rFonts w:ascii="Times New Roman" w:cs="Times New Roman" w:eastAsia="Times New Roman" w:hAnsi="Times New Roman"/>
          <w:sz w:val="20"/>
          <w:szCs w:val="20"/>
          <w:color w:val="auto"/>
        </w:rPr>
        <w:t>We act individually and as a team with these three attributes in mind in all we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do.</w:t>
      </w:r>
    </w:p>
    <w:p>
      <w:pPr>
        <w:ind w:left="720"/>
        <w:spacing w:after="0"/>
        <w:rPr>
          <w:sz w:val="20"/>
          <w:szCs w:val="20"/>
          <w:color w:val="auto"/>
        </w:rPr>
      </w:pPr>
      <w:r>
        <w:rPr>
          <w:rFonts w:ascii="Times New Roman" w:cs="Times New Roman" w:eastAsia="Times New Roman" w:hAnsi="Times New Roman"/>
          <w:sz w:val="20"/>
          <w:szCs w:val="20"/>
          <w:i w:val="1"/>
          <w:iCs w:val="1"/>
          <w:color w:val="auto"/>
        </w:rPr>
        <w:t>We care to do what is right.</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Our human capital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As of December 31, 2025, we had 38 full-time employees, 13 of whom were primarily engaged in research and development activities. Four of these employees have an M.D. or Ph.D. degree. None of our employees is represented by a labor union and we consider our employee relations to be excellent.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Facilities</w:t>
      </w:r>
    </w:p>
    <w:p>
      <w:pPr>
        <w:spacing w:after="0" w:line="1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Our headquarters is currently located in Montréal (Québec), Canada and consists of 7,700 square feet of leased office space under a lease that expires in November 2027. We also have a U.S. subsidiary in Charlotte, North Carolina that occupies 13,050 square feet of leased office space under a lease that expires in September 2027.</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Legal Proceedings</w:t>
      </w:r>
    </w:p>
    <w:p>
      <w:pPr>
        <w:spacing w:after="0" w:line="24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9"/>
          <w:szCs w:val="19"/>
          <w:color w:val="auto"/>
        </w:rPr>
        <w:t>From time to time, we may become involved in legal proceedings arising in the ordinary course of our business. We are not currently a party to any material legal proceedings, and we are not aware of any pending or threatened legal proceedings against us that we believe could have an adverse effect on our business, operating results or financial condition.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Information</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Milestone Pharmaceuticals Inc. was incorporated under the laws of the province of Québec in July 2003. Our principal executive offices are located at 1111 Dr. Frederik-Philips Blvd., Suite 420, Montréal, Québec, Canada H4M 2X6, and our telephone number is (514) 336-0444. Our US offices are located at 6210 Ardrey Kell Rd, Suite 650, Charlotte, NC 28277 and our telephone number is (704) 848-5316.</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maintain an internet website at www.milestonepharma.com and make available free of charge through our website our Annual Reports on Form 10-K, Quarterly Reports on Form 10-Q, Current Reports on Form 8- K and amendments to those reports filed or furnished pursuant to Sections 13(a) and 15(d) of the Exchange Act of 1934, or the “Exchange Act”. We make these reports available through our website as soon as reasonably practicable after we electronically file such reports with, or furnish such reports to, the Securities and Exchange Commission, or “SEC”. You can review our electronically filed reports and other information that we file with the SEC on the SEC’s website at http://www.sec.gov. 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In addition, we regularly use our website to post information regarding our business, product development programs and governance, and we encourage investors to use our website, particularly the information in the section entitled “Investors,” as a source of information about us.</w:t>
      </w:r>
    </w:p>
    <w:p>
      <w:pPr>
        <w:sectPr>
          <w:pgSz w:w="11880" w:h="15480" w:orient="portrait"/>
          <w:cols w:equalWidth="0" w:num="1">
            <w:col w:w="9720"/>
          </w:cols>
          <w:pgMar w:left="1080" w:top="1068"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880" w:h="15480" w:orient="portrait"/>
          <w:cols w:equalWidth="0" w:num="1">
            <w:col w:w="9720"/>
          </w:cols>
          <w:pgMar w:left="1080" w:top="1068" w:right="1080" w:bottom="544" w:gutter="0" w:footer="0" w:header="0"/>
          <w:type w:val="continuous"/>
        </w:sectPr>
      </w:pPr>
    </w:p>
    <w:bookmarkStart w:id="29" w:name="page30"/>
    <w:bookmarkEnd w:id="29"/>
    <w:p>
      <w:pPr>
        <w:jc w:val="both"/>
        <w:spacing w:after="0" w:line="260" w:lineRule="auto"/>
        <w:rPr>
          <w:sz w:val="20"/>
          <w:szCs w:val="20"/>
          <w:color w:val="auto"/>
        </w:rPr>
      </w:pPr>
      <w:r>
        <w:rPr>
          <w:rFonts w:ascii="Times New Roman" w:cs="Times New Roman" w:eastAsia="Times New Roman" w:hAnsi="Times New Roman"/>
          <w:sz w:val="20"/>
          <w:szCs w:val="20"/>
          <w:color w:val="auto"/>
        </w:rPr>
        <w:t>The information on our website is not incorporated by reference into this Annual Report on Form 10-K and should not be considered to be a part of this Annual Report on Form 10-K. Our website address is included in this Annual Report on Form 10-K as an inactive technical reference only.</w:t>
      </w:r>
    </w:p>
    <w:p>
      <w:pPr>
        <w:spacing w:after="0" w:line="21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Investors and others should note that we announce material information to our investors using one or more of the following: SEC filings, press releases and our corporate website, including without limitation the “Investors” and “Events and Presentations” sections of our website. We use these channels, as well as social media channels such as LinkedIn, in order to achieve broad, non-exclusionary distribution of information to the public and for complying with our disclosure obligations under Regulation FD. It is possible that the information we post on our corporate website or other social media could be deemed to be material information. Therefore, we encourage investors, the media, and others interested in our Company to review the information we post on the “Investors” and “Events and Presentations” sections of our corporate website and on our social media channels. The contents of our corporate website and social media channels are not, however, a part of this Annual Report.</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880" w:h="15480" w:orient="portrait"/>
          <w:cols w:equalWidth="0" w:num="1">
            <w:col w:w="9720"/>
          </w:cols>
          <w:pgMar w:left="1080" w:top="1064" w:right="1080" w:bottom="544" w:gutter="0" w:footer="0" w:header="0"/>
          <w:type w:val="continuous"/>
        </w:sectPr>
      </w:pPr>
    </w:p>
    <w:bookmarkStart w:id="30" w:name="page31"/>
    <w:bookmarkEnd w:id="30"/>
    <w:p>
      <w:pPr>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1A.</w:t>
        <w:tab/>
        <w:t>RISK FACTORS</w:t>
      </w:r>
    </w:p>
    <w:p>
      <w:pPr>
        <w:spacing w:after="0" w:line="24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i w:val="1"/>
          <w:iCs w:val="1"/>
          <w:color w:val="auto"/>
        </w:rPr>
        <w:t>An investment in our common shares involves a high degree of risk. You should carefully consider the following information about these risks, together with the other information appearing elsewhere in this Annual Report on Form 10 - K, consolidated financial statements and related notes thereto and “Management’s Discussion and Analysis of Financial Condition and Results of Operations,” before deciding to invest in our common shares.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in this report and those we may make from time to time. In these circumstances, the market price of our common shares could decline, and you may lose all or part of your investment. We cannot assure you that any of the events discussed below will not occur.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Financial Position and Capital Needs</w:t>
      </w:r>
    </w:p>
    <w:p>
      <w:pPr>
        <w:spacing w:after="0" w:line="2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have incurred significant operating losses since inception and anticipate that we will continue to incur substantial operating losses for the foreseeable future until revenue from CARDAMYST is sufficient to fund our operations, if ever, and may never achieve or maintain profitability.</w:t>
      </w:r>
    </w:p>
    <w:p>
      <w:pPr>
        <w:spacing w:after="0" w:line="18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Since inception in 2003, we have incurred significant operating losses. Our net loss was $63.1 million and $41.5 million for the years ended December 31, 2025 and 2024, respectively. As of December 31, 2025, we had an accumulated deficit of $430.6 million. We expect to continue to incur significant expenses and increase operating losses for the foreseeable future. Since inception, we have devoted substantially all of our efforts to research and preclinical and clinical development of etripamil, as well as to expanding our management team and infrastructure. We expect that our existing cash and cash equivalents and short-term investments will be sufficient to fund our operations for at least the next 12 months from the date of issuance of this 10-K for the year ending December 31, 2025 and that there are no events or conditions that may cast substantial doubt on our ability to continue as a going concern for at least the next 12 months from the date of this filing.</w:t>
      </w:r>
    </w:p>
    <w:p>
      <w:pPr>
        <w:spacing w:after="0" w:line="19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The net losses we incur may fluctuate significantly from quarter to quarter and year to year. We anticipate that our expenses will increase if, and as, we:</w:t>
      </w:r>
    </w:p>
    <w:p>
      <w:pPr>
        <w:spacing w:after="0" w:line="163" w:lineRule="exact"/>
        <w:rPr>
          <w:sz w:val="20"/>
          <w:szCs w:val="20"/>
          <w:color w:val="auto"/>
        </w:rPr>
      </w:pPr>
    </w:p>
    <w:p>
      <w:pPr>
        <w:ind w:left="1080" w:hanging="353"/>
        <w:spacing w:after="0" w:line="280" w:lineRule="auto"/>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 our ongoing and planned development of etripamil, including future Phase 3 clinical trials for the treatment of AFib-RVR and potential Phase 4 clinical trials for treatment of PSVT;</w:t>
      </w:r>
    </w:p>
    <w:p>
      <w:pPr>
        <w:spacing w:after="0" w:line="162" w:lineRule="exact"/>
        <w:rPr>
          <w:rFonts w:ascii="Times New Roman" w:cs="Times New Roman" w:eastAsia="Times New Roman" w:hAnsi="Times New Roman"/>
          <w:sz w:val="20"/>
          <w:szCs w:val="20"/>
          <w:color w:val="auto"/>
        </w:rPr>
      </w:pPr>
    </w:p>
    <w:p>
      <w:pPr>
        <w:ind w:left="1080" w:hanging="353"/>
        <w:spacing w:after="0" w:line="280" w:lineRule="auto"/>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either directly or through collaboration with our partners, marketing approval for etripamil nasal spray for the treatment of PSVT from regulatory agencies responsible for regions outside the United States;</w:t>
      </w:r>
    </w:p>
    <w:p>
      <w:pPr>
        <w:spacing w:after="0" w:line="164"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marketing approvals for etripamil for the treatment of AFib-RVR and other cardiovascular indications;</w:t>
      </w:r>
    </w:p>
    <w:p>
      <w:pPr>
        <w:spacing w:after="0" w:line="239" w:lineRule="exact"/>
        <w:rPr>
          <w:rFonts w:ascii="Times New Roman" w:cs="Times New Roman" w:eastAsia="Times New Roman" w:hAnsi="Times New Roman"/>
          <w:sz w:val="20"/>
          <w:szCs w:val="20"/>
          <w:color w:val="auto"/>
        </w:rPr>
      </w:pPr>
    </w:p>
    <w:p>
      <w:pPr>
        <w:ind w:left="1080" w:hanging="353"/>
        <w:spacing w:after="0" w:line="280" w:lineRule="auto"/>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our sales, marketing, manufacturing and distribution capabilities, either directly or indirectly with third parties;</w:t>
      </w:r>
    </w:p>
    <w:p>
      <w:pPr>
        <w:spacing w:after="0" w:line="162" w:lineRule="exact"/>
        <w:rPr>
          <w:rFonts w:ascii="Times New Roman" w:cs="Times New Roman" w:eastAsia="Times New Roman" w:hAnsi="Times New Roman"/>
          <w:sz w:val="20"/>
          <w:szCs w:val="20"/>
          <w:color w:val="auto"/>
        </w:rPr>
      </w:pPr>
    </w:p>
    <w:p>
      <w:pPr>
        <w:ind w:left="1080" w:hanging="353"/>
        <w:spacing w:after="0" w:line="280" w:lineRule="auto"/>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build a portfolio of product candidates through development, or the acquisition or in - license of drugs, product candidates or technologies;</w:t>
      </w:r>
    </w:p>
    <w:p>
      <w:pPr>
        <w:spacing w:after="0" w:line="164" w:lineRule="exact"/>
        <w:rPr>
          <w:rFonts w:ascii="Times New Roman" w:cs="Times New Roman" w:eastAsia="Times New Roman" w:hAnsi="Times New Roman"/>
          <w:sz w:val="20"/>
          <w:szCs w:val="20"/>
          <w:color w:val="auto"/>
        </w:rPr>
      </w:pPr>
    </w:p>
    <w:p>
      <w:pPr>
        <w:jc w:val="both"/>
        <w:ind w:left="1080" w:hanging="353"/>
        <w:spacing w:after="0" w:line="259" w:lineRule="auto"/>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initiate preclinical studies and clinical trials for etripamil for any additional indications we may pursue, including the clinical trials for the treatment of atrial fibrillation and rapid ventricular rate as well as other areas of unmet medical need, and for any additional product candidates that we may pursue in the future;</w:t>
      </w:r>
    </w:p>
    <w:p>
      <w:pPr>
        <w:spacing w:after="0" w:line="185"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protect and expand our intellectual property portfolio;</w:t>
      </w:r>
    </w:p>
    <w:p>
      <w:pPr>
        <w:spacing w:after="0" w:line="240"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hire additional clinical, regulatory and scientific personnel;</w:t>
      </w:r>
    </w:p>
    <w:p>
      <w:pPr>
        <w:sectPr>
          <w:pgSz w:w="11880" w:h="15480" w:orient="portrait"/>
          <w:cols w:equalWidth="0" w:num="1">
            <w:col w:w="9720"/>
          </w:cols>
          <w:pgMar w:left="1080" w:top="1062"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880" w:h="15480" w:orient="portrait"/>
          <w:cols w:equalWidth="0" w:num="1">
            <w:col w:w="9720"/>
          </w:cols>
          <w:pgMar w:left="1080" w:top="1062" w:right="1080" w:bottom="544" w:gutter="0" w:footer="0" w:header="0"/>
          <w:type w:val="continuous"/>
        </w:sectPr>
      </w:pPr>
    </w:p>
    <w:bookmarkStart w:id="31" w:name="page32"/>
    <w:bookmarkEnd w:id="31"/>
    <w:p>
      <w:pPr>
        <w:ind w:left="1080" w:hanging="353"/>
        <w:spacing w:after="0" w:line="280" w:lineRule="auto"/>
        <w:tabs>
          <w:tab w:leader="none" w:pos="10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 operational, financial and management information systems and personnel, including personnel to support our product development and potential expansion of our future commercialization efforts; and</w:t>
      </w:r>
    </w:p>
    <w:p>
      <w:pPr>
        <w:spacing w:after="0" w:line="164" w:lineRule="exact"/>
        <w:rPr>
          <w:rFonts w:ascii="Times New Roman" w:cs="Times New Roman" w:eastAsia="Times New Roman" w:hAnsi="Times New Roman"/>
          <w:sz w:val="20"/>
          <w:szCs w:val="20"/>
          <w:color w:val="auto"/>
        </w:rPr>
      </w:pPr>
    </w:p>
    <w:p>
      <w:pPr>
        <w:ind w:left="1080" w:hanging="353"/>
        <w:spacing w:after="0" w:line="280" w:lineRule="auto"/>
        <w:tabs>
          <w:tab w:leader="none" w:pos="10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incur additional legal, insurance related, accounting and other expenses associated with operating as a public company.</w:t>
      </w:r>
    </w:p>
    <w:p>
      <w:pPr>
        <w:spacing w:after="0" w:line="16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To become and remain profitable, we must succeed in commercializing CARDAMYST for the treatment of PSVT and developing and eventually commercializing product candidates that generate significant revenue. This will require us to be successful in a range of challenging activities, including commercialization of CARDAMYST for the treatment of PSVT, completing any further clinical trials of etripamil and any future product candidates that way may pursue, obtaining regulatory approval, and manufacturing, marketing and selling etripamil and any future products for which we may obtain regulatory approval, as well as discovering or acquiring and then developing additional product candidates. We are only in the preliminary stages of some of these activities. We may never succeed in these activities and, even if we do, may never generate revenues that are significant enough to achieve profitability. - scale manufacturing, marketing and selling etripamil and any future products for which we may obtain regulatory approval, as well as discovering or acquiring and then developing additional product candidates. We are only in the preliminary stages of some of these activities. We may never succeed in these activities and, even if we do, may never generate revenues that are significant enough to achieve profitability.</w:t>
      </w:r>
    </w:p>
    <w:p>
      <w:pPr>
        <w:spacing w:after="0" w:line="20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Our revenue will be dependent, in part, upon the size of the markets in the territories for which we have gained or may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w:t>
      </w:r>
    </w:p>
    <w:p>
      <w:pPr>
        <w:spacing w:after="0" w:line="19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Because of the numerous risks and uncertainties associated with drug development, we are unable to accurately predict the timing or amount of expenses or when, or if, we will be able to achieve profitability.</w:t>
      </w:r>
    </w:p>
    <w:p>
      <w:pPr>
        <w:spacing w:after="0" w:line="16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Our expenses could increase beyond our expectations if we are required by the FDA, the European Medicines Agency or other regulatory authorities to perform studies in addition to those we currently expect, or if there are any delays in the initiation and completion of our clinical trials or the development of etripamil or any future product candidates.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Even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common shares could also cause you to lose all or part of your investment.</w:t>
      </w:r>
    </w:p>
    <w:p>
      <w:pPr>
        <w:spacing w:after="0" w:line="19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limited operating history and limited history of commercializing products may make it difficult for you to evaluate the success of our business to date and to assess our future viability.</w:t>
      </w:r>
    </w:p>
    <w:p>
      <w:pPr>
        <w:spacing w:after="0" w:line="16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are a commercial pharmaceutical company founded in 2003, and our operations to date have been largely focused on raising capital, organizing, staffing our Company and undertaking preclinical studies and conducting clinical trials for etripamil. As an organization, we have not yet demonstrated the ability to conduct sales and marketing activities necessary for successful commercialization. Consequently, any predictions about our future success or viability may not be as accurate as they could be if we had a longer operating history or a history of scaling product or arranging for a third party to do so on our behalf, or conducting sales and marketing activities necessary for successful commercialization. Consequently, any predictions about our future success or viability may not be as accurate as they could be if we had a longer operating history or a history of successful clinical development and commercialization of products.</w:t>
      </w: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may encounter unforeseen expenses, difficulties, complications, delays and other known or unknown factors in achieving our business objectives. We are currently transitioning from a company with a research and development focus to a company primarily focused on commercial activities. We may not be successful in such a transition.</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880" w:h="15480" w:orient="portrait"/>
          <w:cols w:equalWidth="0" w:num="1">
            <w:col w:w="9720"/>
          </w:cols>
          <w:pgMar w:left="1080" w:top="1064" w:right="1080" w:bottom="544" w:gutter="0" w:footer="0" w:header="0"/>
          <w:type w:val="continuous"/>
        </w:sectPr>
      </w:pPr>
    </w:p>
    <w:bookmarkStart w:id="32" w:name="page33"/>
    <w:bookmarkEnd w:id="32"/>
    <w:p>
      <w:pPr>
        <w:jc w:val="both"/>
        <w:spacing w:after="0" w:line="260" w:lineRule="auto"/>
        <w:rPr>
          <w:sz w:val="20"/>
          <w:szCs w:val="20"/>
          <w:color w:val="auto"/>
        </w:rPr>
      </w:pPr>
      <w:r>
        <w:rPr>
          <w:rFonts w:ascii="Times New Roman" w:cs="Times New Roman" w:eastAsia="Times New Roman" w:hAnsi="Times New Roman"/>
          <w:sz w:val="20"/>
          <w:szCs w:val="20"/>
          <w:color w:val="auto"/>
        </w:rPr>
        <w:t>Additionally, we expect our financial condition and operating results to continue to fluctuate from quarter to quarter and year to year due to a variety of factors, many of which are beyond our control. Accordingly, you should not rely upon the results of any quarterly or annual periods as indications of future operating performance.</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will require substantial additional funding to finance our operations. If we are unable to raise capital when needed, we could be forced to delay, reduce or terminate our development of etripamil or other operations, including the continued commercialization of CARDAMYST.</w:t>
      </w:r>
    </w:p>
    <w:p>
      <w:pPr>
        <w:spacing w:after="0" w:line="18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Based on our commercialization and research and development plans, we expect that our existing cash and cash equivalents and short-term investments will be sufficient to fund our operations for at least the next 12 months from the date of issuance of this 10-K for the year ended December 31, 2025 and that there are no events or conditions that we are aware of that cast substantial doubt on our ability to continue as a going concern for at least the next 12 months from the date of this filing. However, we will need to obtain substantial additional funding in connection with our continuing operations and planned activities, including the continued commercialization of CARDAMYST. Our future capital requirements will depend on many factors, including:</w:t>
      </w:r>
    </w:p>
    <w:p>
      <w:pPr>
        <w:spacing w:after="0" w:line="201" w:lineRule="exact"/>
        <w:rPr>
          <w:sz w:val="20"/>
          <w:szCs w:val="20"/>
          <w:color w:val="auto"/>
        </w:rPr>
      </w:pPr>
    </w:p>
    <w:p>
      <w:pPr>
        <w:ind w:left="1080" w:hanging="352"/>
        <w:spacing w:after="0" w:line="280" w:lineRule="auto"/>
        <w:tabs>
          <w:tab w:leader="none" w:pos="10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progress of and results of our ongoing and planned clinical trials of etripamil in AFib-RVR and in other indications;</w:t>
      </w:r>
    </w:p>
    <w:p>
      <w:pPr>
        <w:spacing w:after="0" w:line="164" w:lineRule="exact"/>
        <w:rPr>
          <w:rFonts w:ascii="Times New Roman" w:cs="Times New Roman" w:eastAsia="Times New Roman" w:hAnsi="Times New Roman"/>
          <w:sz w:val="20"/>
          <w:szCs w:val="20"/>
          <w:color w:val="auto"/>
        </w:rPr>
      </w:pPr>
    </w:p>
    <w:p>
      <w:pPr>
        <w:ind w:left="1080" w:hanging="352"/>
        <w:spacing w:after="0"/>
        <w:tabs>
          <w:tab w:leader="none" w:pos="10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success of our commercialization efforts;</w:t>
      </w:r>
    </w:p>
    <w:p>
      <w:pPr>
        <w:spacing w:after="0" w:line="239" w:lineRule="exact"/>
        <w:rPr>
          <w:rFonts w:ascii="Times New Roman" w:cs="Times New Roman" w:eastAsia="Times New Roman" w:hAnsi="Times New Roman"/>
          <w:sz w:val="20"/>
          <w:szCs w:val="20"/>
          <w:color w:val="auto"/>
        </w:rPr>
      </w:pPr>
    </w:p>
    <w:p>
      <w:pPr>
        <w:ind w:left="1080" w:hanging="352"/>
        <w:spacing w:after="0" w:line="280" w:lineRule="auto"/>
        <w:tabs>
          <w:tab w:leader="none" w:pos="10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scope, progress, results and costs of preclinical development, laboratory testing and clinical trials of etripamil for additional indications or any future product candidates that we may pursue;</w:t>
      </w:r>
    </w:p>
    <w:p>
      <w:pPr>
        <w:spacing w:after="0" w:line="164"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establish collaborations on favorable terms, if at all;</w:t>
      </w:r>
    </w:p>
    <w:p>
      <w:pPr>
        <w:spacing w:after="0" w:line="239"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of vendors who we rely on to accurately forecast expenses and deliver on expectations;</w:t>
      </w:r>
    </w:p>
    <w:p>
      <w:pPr>
        <w:spacing w:after="0" w:line="239" w:lineRule="exact"/>
        <w:rPr>
          <w:rFonts w:ascii="Times New Roman" w:cs="Times New Roman" w:eastAsia="Times New Roman" w:hAnsi="Times New Roman"/>
          <w:sz w:val="20"/>
          <w:szCs w:val="20"/>
          <w:color w:val="auto"/>
        </w:rPr>
      </w:pPr>
    </w:p>
    <w:p>
      <w:pPr>
        <w:ind w:left="1080" w:hanging="353"/>
        <w:spacing w:after="0" w:line="280" w:lineRule="auto"/>
        <w:tabs>
          <w:tab w:leader="none" w:pos="10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timing and outcome of regulatory review of etripamil in subsequent indications and any future product candidates;</w:t>
      </w:r>
    </w:p>
    <w:p>
      <w:pPr>
        <w:spacing w:after="0" w:line="164" w:lineRule="exact"/>
        <w:rPr>
          <w:rFonts w:ascii="Times New Roman" w:cs="Times New Roman" w:eastAsia="Times New Roman" w:hAnsi="Times New Roman"/>
          <w:sz w:val="20"/>
          <w:szCs w:val="20"/>
          <w:color w:val="auto"/>
        </w:rPr>
      </w:pPr>
    </w:p>
    <w:p>
      <w:pPr>
        <w:ind w:left="1080" w:hanging="353"/>
        <w:spacing w:after="0" w:line="280" w:lineRule="auto"/>
        <w:tabs>
          <w:tab w:leader="none" w:pos="10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and timing of commercialization activities, including product manufacturing, marketing, sales and distribution, for etripamil and any future product candidates for which we receive marketing approval;</w:t>
      </w:r>
    </w:p>
    <w:p>
      <w:pPr>
        <w:spacing w:after="0" w:line="162" w:lineRule="exact"/>
        <w:rPr>
          <w:rFonts w:ascii="Times New Roman" w:cs="Times New Roman" w:eastAsia="Times New Roman" w:hAnsi="Times New Roman"/>
          <w:sz w:val="20"/>
          <w:szCs w:val="20"/>
          <w:color w:val="auto"/>
        </w:rPr>
      </w:pPr>
    </w:p>
    <w:p>
      <w:pPr>
        <w:ind w:left="1080" w:hanging="353"/>
        <w:spacing w:after="0" w:line="280" w:lineRule="auto"/>
        <w:tabs>
          <w:tab w:leader="none" w:pos="10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and timing of preparing, filing and prosecuting patent applications, maintaining and enforcing our intellectual property rights and defending any intellectual property-related claims;</w:t>
      </w:r>
    </w:p>
    <w:p>
      <w:pPr>
        <w:spacing w:after="0" w:line="162" w:lineRule="exact"/>
        <w:rPr>
          <w:rFonts w:ascii="Times New Roman" w:cs="Times New Roman" w:eastAsia="Times New Roman" w:hAnsi="Times New Roman"/>
          <w:sz w:val="20"/>
          <w:szCs w:val="20"/>
          <w:color w:val="auto"/>
        </w:rPr>
      </w:pPr>
    </w:p>
    <w:p>
      <w:pPr>
        <w:ind w:left="1080" w:hanging="353"/>
        <w:spacing w:after="0" w:line="280" w:lineRule="auto"/>
        <w:tabs>
          <w:tab w:leader="none" w:pos="10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extent to which we acquire or in-license other product candidates and technologies; and license other product candidates and technologies; and</w:t>
      </w:r>
    </w:p>
    <w:p>
      <w:pPr>
        <w:spacing w:after="0" w:line="164"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operating as a public company.</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880" w:h="15480" w:orient="portrait"/>
          <w:cols w:equalWidth="0" w:num="1">
            <w:col w:w="9720"/>
          </w:cols>
          <w:pgMar w:left="1080" w:top="1064" w:right="1080" w:bottom="544" w:gutter="0" w:footer="0" w:header="0"/>
          <w:type w:val="continuous"/>
        </w:sectPr>
      </w:pPr>
    </w:p>
    <w:bookmarkStart w:id="33" w:name="page34"/>
    <w:bookmarkEnd w:id="33"/>
    <w:p>
      <w:pPr>
        <w:jc w:val="both"/>
        <w:spacing w:after="0" w:line="242" w:lineRule="auto"/>
        <w:rPr>
          <w:sz w:val="20"/>
          <w:szCs w:val="20"/>
          <w:color w:val="auto"/>
        </w:rPr>
      </w:pPr>
      <w:r>
        <w:rPr>
          <w:rFonts w:ascii="Times New Roman" w:cs="Times New Roman" w:eastAsia="Times New Roman" w:hAnsi="Times New Roman"/>
          <w:sz w:val="20"/>
          <w:szCs w:val="20"/>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of additional product candidates and achieve product sales related thereto. For example, our NODE-301 trial of etripamil for PSVT did not meet its primary endpoint. In addition, CARDAMYST, additional indications of etripamil and any future product candidates may not achieve commercial success. In the near term, our commercial revenues will be derived from sales of CARDAMYST, which may not be sufficient to fund our operations. Accordingly, we will need to continue to rely on additional financing to achieve our business objectives. Adequate additional financing may not be available to us on acceptable terms, or at all. We may seek additional capital due to favorable market conditions or strategic considerations even if we believe we have sufficient funds for our current or future operating plans. If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 Weakness and volatility in capital markets and the economy, in general or as a result of bank failures or macroeconomic conditions such as rising inflation, could limit our access to capital markets and increase our costs of borrowing. If we are unable to raise capital when needed or on attractive terms, we could be forced to delay, reduce, or altogether terminate our research and development programs or future commercialization efforts.</w:t>
      </w:r>
    </w:p>
    <w:p>
      <w:pPr>
        <w:spacing w:after="0" w:line="21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Greater than expected returns of CARDAMYST may exceed our reserve for returns, which would adversely affect our revenue and operating results.</w:t>
      </w:r>
    </w:p>
    <w:p>
      <w:pPr>
        <w:spacing w:after="0" w:line="16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The pharmaceutical wholesalers and distributors to which we sell CARDAMYST are permitted to return purchased product under certain circumstances. We estimate expected returns based on our review of similar products in the industry and record discrete reserves if products held by distributors, forecasted sales and expiration of product warrant a reserve. Any significant increase in returns that exceeds our reserve could adversely affect our revenue and operating results.</w:t>
      </w:r>
    </w:p>
    <w:p>
      <w:pPr>
        <w:spacing w:after="0" w:line="17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Unfavorable global economic conditions could adversely affect our business, financial condition or results of operations.</w:t>
      </w:r>
    </w:p>
    <w:p>
      <w:pPr>
        <w:spacing w:after="0" w:line="16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Our results of operations could be adversely affected by general conditions in the global economy. Unfavorable conditions in the economy both in the United States and abroad, including conditions resulting from changes in gross domestic product growth in the United States or abroad, financial and credit market fluctuations, inflation, fluctuating interest rates, international tariff policies, trade wars and other concerns regarding international trade relations, political turmoil, natural catastrophes, outbreaks of contagious diseases, geopolitical tensions, warfare and terrorist attacks, could cause a decrease in business investments, disrupt the timing and cadence of key industry events, and negatively affect the growth of our business and our results of operations. For example, the COVID-19 pandemic adversely affected workforces, economies and financial markets globally, leading to a reduction in the ability of, or the inability of, partners, suppliers, vendors or other parties to meet their contractual obligations, and for a period of time, a reduction in customer spending on technology, and such conditions may reoccur in the future. Geopolitical conflict, including wars, and the related political and economic responses thereto, such as sanctions, may also exacerbate these issues. A severe or prolonged economic downturn could result in a variety of risks to our business, including weakened demand for CARDAMYST, our product candidates and our ability to raise additional capital when needed on acceptable terms, if at all. A weak or declining economy could also strain our suppliers, possibly resulting in supply disruption, or cause delays in payments for our services by third-party payors or our collaborators. Any of the foregoing could harm our business and we cannot anticipate all of the ways in which the current economic climate and financial market conditions could adversely impact our business, financial condition, results of operations and prospects.</w:t>
      </w:r>
    </w:p>
    <w:p>
      <w:pPr>
        <w:spacing w:after="0" w:line="19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Raising additional capital may cause dilution to our shareholders, restrict our operations or require us to relinquish rights to our product candidates.</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Until such time, if ever, as we can generate substantial product revenue, we expect to finance our cash needs through public or private equity or debt financings, third - party funding, marketing and distribution arrangements, as well as other collaborations, strategic alliances, and licensing arrangements, or any combination of these approaches. We do not have any committed external source of funds. To the extent that we raise additional capital through the sale of equity or convertible debt securities, such as the 2029 Convertible Notes (as defined herein), your ownership interest may be diluted,</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880" w:h="15480" w:orient="portrait"/>
          <w:cols w:equalWidth="0" w:num="1">
            <w:col w:w="9720"/>
          </w:cols>
          <w:pgMar w:left="1080" w:top="1064" w:right="1080" w:bottom="544" w:gutter="0" w:footer="0" w:header="0"/>
          <w:type w:val="continuous"/>
        </w:sectPr>
      </w:pPr>
    </w:p>
    <w:bookmarkStart w:id="34" w:name="page35"/>
    <w:bookmarkEnd w:id="34"/>
    <w:p>
      <w:pPr>
        <w:jc w:val="both"/>
        <w:spacing w:after="0" w:line="250" w:lineRule="auto"/>
        <w:rPr>
          <w:sz w:val="20"/>
          <w:szCs w:val="20"/>
          <w:color w:val="auto"/>
        </w:rPr>
      </w:pPr>
      <w:r>
        <w:rPr>
          <w:rFonts w:ascii="Times New Roman" w:cs="Times New Roman" w:eastAsia="Times New Roman" w:hAnsi="Times New Roman"/>
          <w:sz w:val="20"/>
          <w:szCs w:val="20"/>
          <w:color w:val="auto"/>
        </w:rPr>
        <w:t>and the terms of these securities may include liquidation or other preferences that adversely affect your rights as a shareholder. Debt and equity financings, if available, may involve agreements that include covenants limiting or restricting our ability to take specific actions, such as redeeming our shares, making investments, incurring additional debt, making capital expenditures, declaring dividends or placing limitations on our ability to acquire, sell or license intellectual property rights.</w:t>
      </w:r>
    </w:p>
    <w:p>
      <w:pPr>
        <w:spacing w:after="0" w:line="19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If we raise additional capital through future collaborations, strategic alliances or third - party licensing arrangements, we may have to relinquish valuable rights to our intellectual property, future revenue streams, research programs or product candidates, or grant licenses on terms that may not be favorable to us. If we are unable to raise additional capital when needed, we may be required to delay, limit, reduce or terminate our drug development or future commercialization efforts, or grant rights to develop and market product candidates that we would otherwise develop and market ourselves.</w:t>
      </w:r>
    </w:p>
    <w:p>
      <w:pPr>
        <w:spacing w:after="0" w:line="19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ability to use our non-capital loss carry-forwards to offset future taxable income may be subject to certain limitations.</w:t>
      </w:r>
    </w:p>
    <w:p>
      <w:pPr>
        <w:spacing w:after="0" w:line="16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In general, where control of a corporation has been acquired by a person or group of persons, subsection 111(5) of the Income Tax Act (Canada), or the “Canadian Tax Act,” and equivalent provincial income tax legislation restrict the corporation’s ability to carry forward non-capital losses from preceding taxation years. We have not performed a detailed analysis to determine whether an acquisition of control for the purposes of subsection 111(5) of the Canadian Tax Act has occurred after each of our previous issuances of common shares or preferred shares. In addition, if we undergo an acquisition of control, our ability to utilize non-capital losses could be limited by subsection 111(5) of the Canadian Tax Act. As of December 31, 2025, we had Canadian federal and provincial non-capital loss carry forwards of $230.7 million and $226.6 million, respectively, which expire beginning in 2026 through 2045. In addition, we also have scientific research and experimental development expenditures of $32.7 million and $38.8 million, respectively, for Canadian federal and provincial income tax purposes, which have not been deducted. These expenditures are available to reduce future taxable income and have an unlimited carry-forward period. Research and development tax credits and expenditures are subject to verification by the tax authorities, and, accordingly, these amounts may vary. Future changes in our share ownership, some of which are outside of our control, could result in an acquisition of control for the purposes of subsection 111(5) of the Canadian Tax Act. Furthermore, our ability to utilize non-capital losses (or U.S. equivalents) of companies that we may acquire in the future may be subject to limitations. As a result, even if we attain profitability, we may be unable to use a material portion of our non-capital losses and other tax attributes, which could negatively impact our future cash flow.</w:t>
      </w:r>
    </w:p>
    <w:p>
      <w:pPr>
        <w:spacing w:after="0" w:line="21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subsidiary’s ability to use its U.S. net operating loss carryforwards and certain other tax attributes for U.S. income tax purposes may be limited.</w:t>
      </w:r>
    </w:p>
    <w:p>
      <w:pPr>
        <w:spacing w:after="0" w:line="1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As of December 31, 2025, we had U.S. federal net operating loss carry-forwards, or “NOLs,” of $103.2 million as a result of expenses incurred by Milestone Pharmaceuticals USA, Inc., our wholly owned subsidiary. Under current U.S. federal tax law, NOLs incurred in taxable years ending beginning after December 31, 2017 may be carried forward indefinitely. However, the deductibility of such NOLs is limited to 80% of taxable income. It is uncertain if and to what extent various states will conform to the federal law. In addition, under Sections 382 and 383 of the Internal Revenue Code of 1986, as amended, and corresponding provisions of state law, if a corporation undergoes an “ownership change,” which is generally defined as a greater than 50% change (by value) in its equity ownership over a three year period, the corporation’s ability to use its pre change NOL carryforwards and other pre change tax attributes (such as research tax credits) to offset its post change income may be limited. It is possible that we have experienced one or more ownership changes in the past. In addition, we may also experience ownership changes in the future as a result of subsequent shifts in our share ownership, some of which may be outside of our control. As a result, if we earn net taxable income, our ability to use our pre ownership change NOL carryforwards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880" w:h="15480" w:orient="portrait"/>
          <w:cols w:equalWidth="0" w:num="1">
            <w:col w:w="9720"/>
          </w:cols>
          <w:pgMar w:left="1080" w:top="1064" w:right="1080" w:bottom="544"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color w:val="auto"/>
        </w:rPr>
        <w:t>Risks Related to the Development of Our Product Candidates</w:t>
      </w:r>
    </w:p>
    <w:p>
      <w:pPr>
        <w:spacing w:after="0" w:line="24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currently have one approved product, CARDAMYST™ (etripamil) nasal spray, a prescription medication for the conversion of acute symptomatic episodes of PSVT. We are currently pursuing clinical development for subsequent etripamil indications. If we are not able to obtain required regulatory approvals for subsequent etripamil indications or any future product candidates, our ability to generate revenue will be adversely affected.</w:t>
      </w:r>
    </w:p>
    <w:p>
      <w:pPr>
        <w:spacing w:after="0" w:line="1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Etripamil is currently our only product. We have not obtained regulatory approval for additional indications of etripamil or any other product candidate, and it is possible that neither new indications of etripamil nor any product candidates we may seek to develop in the future will ever obtain regulatory approval. Neither we nor any future collaborator is permitted to market any drug product candidates in the United States or other countries until we receive regulatory approval from the FDA or applicable foreign regulatory agency. The time required to obtain approval or other marketing authorizations by the FDA and comparable foreign regulatory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w:t>
      </w:r>
    </w:p>
    <w:p>
      <w:pPr>
        <w:spacing w:after="0" w:line="18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Prior to obtaining approval to commercialize etripamil for additional indications and any other drug product candidate in the United States or elsewhere, we must demonstrate with substantial evidence from well controlled clinical trials, and to the satisfaction of the FDA or comparable foreign regulatory authorities, that such product candidates are safe and effective for their intended uses. Results from nonclinical studies and clinical trials can be interpreted in different ways. Even if we believe the nonclinical or clinical data for our product candidates are promising, such data may not be sufficient to support approval by the FDA and other regulatory authorities. The FDA may also require us to conduct additional nonclinical studies, including human factor studies, or clinical trials for our product candidates either prior to or post - approval, or it may object to elements of our clinical development program. For example, the approval of CARDAMYST is subject to a postmarketing requirement to conduct a safety, pharmacokinetics and pharmacodynamics trial in pediatric patients with PSVT.</w:t>
      </w:r>
    </w:p>
    <w:p>
      <w:pPr>
        <w:spacing w:after="0" w:line="20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Of the large number of products in development, only a small percentage successfully complete the FDA or comparable foreign regulatory authorities’ approval processes and are commercialized. The lengthy approval or marketing authorization process as well as the unpredictability of future clinical trial results may result in our failing to obtain regulatory approval or marketing authorization to market etripamil or any future product candidates, which would significantly harm our business, financial condition, results of operations and prospects.</w:t>
      </w:r>
    </w:p>
    <w:p>
      <w:pPr>
        <w:spacing w:after="0" w:line="19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have invested a significant portion of our time and financial resources in the development of etripamil. Our business would be enhanced if we are able to successfully develop etripamil and obtain regulatory approval for subsequent indications and other potential product candidates.</w:t>
      </w:r>
    </w:p>
    <w:p>
      <w:pPr>
        <w:spacing w:after="0" w:line="18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Even if we eventually complete clinical testing and receive approval of an NDA, or foreign marketing application for additional indications of etripamil and any future product candidates, the FDA or the comparable foreign regulatory authorities may grant approval or other marketing authorization contingent on the performance of costly additional clinical trials, including post-market clinical trials. The FDA or the comparable foreign regulatory authorities also may approve or authorize for marketing a product candidate for a more limited indication or patient population that we originally request, and the FDA or comparable foreign regulatory authorities may not approve or authorize the labeling that we believe is necessary or desirable for the successful commercialization of a product candidate. Any delay in obtaining, or inability to obtain, applicable regulatory approval or other marketing authorization would delay or prevent commercialization of that product candidate and would materially adversely impact our business and prospects.</w:t>
      </w:r>
    </w:p>
    <w:p>
      <w:pPr>
        <w:spacing w:after="0" w:line="19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Although we have received approval of CARDAMYST in the United States, the FDA may change their policies, adopt additional regulations or revise existing regulations or take other actions, which may prevent or delay approval of our future products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sectPr>
          <w:pgSz w:w="11880" w:h="15480" w:orient="portrait"/>
          <w:cols w:equalWidth="0" w:num="1">
            <w:col w:w="9720"/>
          </w:cols>
          <w:pgMar w:left="1080" w:top="1062"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880" w:h="15480" w:orient="portrait"/>
          <w:cols w:equalWidth="0" w:num="1">
            <w:col w:w="9720"/>
          </w:cols>
          <w:pgMar w:left="1080" w:top="1062" w:right="1080" w:bottom="544"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successful in our efforts to expand our pipeline of product candidates beyond etripamil for PSVT.</w:t>
      </w:r>
    </w:p>
    <w:p>
      <w:pPr>
        <w:spacing w:after="0" w:line="238" w:lineRule="exact"/>
        <w:rPr>
          <w:sz w:val="20"/>
          <w:szCs w:val="20"/>
          <w:color w:val="auto"/>
        </w:rPr>
      </w:pPr>
    </w:p>
    <w:p>
      <w:pPr>
        <w:jc w:val="both"/>
        <w:ind w:firstLine="1"/>
        <w:spacing w:after="0" w:line="244" w:lineRule="auto"/>
        <w:rPr>
          <w:sz w:val="20"/>
          <w:szCs w:val="20"/>
          <w:color w:val="auto"/>
        </w:rPr>
      </w:pPr>
      <w:r>
        <w:rPr>
          <w:rFonts w:ascii="Times New Roman" w:cs="Times New Roman" w:eastAsia="Times New Roman" w:hAnsi="Times New Roman"/>
          <w:sz w:val="20"/>
          <w:szCs w:val="20"/>
          <w:color w:val="auto"/>
        </w:rPr>
        <w:t>We intend to build a pipeline of product candidates beyond etripamil for PSVT and progress these product candidates through clinical development. For example, on November 11, 2023, we announced positive Phase 2 clinical trial data on etripamil for the treatment of AFib-RVR and we intend to conduct Phase 3 development. We may not be able to successfully expand the scope of cardiovascular indications for etripamil beyond PSVT, or leverage our expertise and experience with etripamil in PSVT to other product candidates. We may not be able to in - license, acquire or develop future product candidates that are safe and effective. Even if we are successful in continuing to expand etripamil to other indications and further build our pipeline, the potential product candidates that we identify may not be suitable for clinical development, including as a result of safety, tolerability, efficacy or other characteristics that indicate that they are unlikely to be drugs that will receive marketing approval, achieve market acceptance or obtain reimbursements from third - party payors. If we do not successfully execute on our strategy of expanding our product pipeline, it could significantly harm our financial position and adversely affect the trading price of our common shares.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development of additional product candidates is risky and uncertain.</w:t>
      </w:r>
    </w:p>
    <w:p>
      <w:pPr>
        <w:spacing w:after="0" w:line="2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Efforts to identify, acquire or in - license, and then develop product candidates require substantial technical, financial and human resources, whether or not any product candidates are ultimately identified. Our efforts may initially show promise in identifying potential product candidates, yet fail to yield product candidates for clinical development, approved products or commercial revenues for many reasons, including the following:</w:t>
      </w:r>
    </w:p>
    <w:p>
      <w:pPr>
        <w:spacing w:after="0" w:line="191" w:lineRule="exact"/>
        <w:rPr>
          <w:sz w:val="20"/>
          <w:szCs w:val="20"/>
          <w:color w:val="auto"/>
        </w:rPr>
      </w:pPr>
    </w:p>
    <w:p>
      <w:pPr>
        <w:ind w:left="1080" w:hanging="353"/>
        <w:spacing w:after="0"/>
        <w:tabs>
          <w:tab w:leader="none" w:pos="10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methodology used may not be successful in identifying potential product candidates;</w:t>
      </w:r>
    </w:p>
    <w:p>
      <w:pPr>
        <w:spacing w:after="0" w:line="240"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competitors may develop alternatives that render any product candidates we develop obsolete;</w:t>
      </w:r>
    </w:p>
    <w:p>
      <w:pPr>
        <w:spacing w:after="0" w:line="239" w:lineRule="exact"/>
        <w:rPr>
          <w:rFonts w:ascii="Times New Roman" w:cs="Times New Roman" w:eastAsia="Times New Roman" w:hAnsi="Times New Roman"/>
          <w:sz w:val="20"/>
          <w:szCs w:val="20"/>
          <w:color w:val="auto"/>
        </w:rPr>
      </w:pPr>
    </w:p>
    <w:p>
      <w:pPr>
        <w:ind w:left="1080" w:hanging="353"/>
        <w:spacing w:after="0" w:line="280" w:lineRule="auto"/>
        <w:tabs>
          <w:tab w:leader="none" w:pos="10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product candidates we develop may nevertheless be covered by third parties’ patents or other exclusive rights;</w:t>
      </w:r>
    </w:p>
    <w:p>
      <w:pPr>
        <w:spacing w:after="0" w:line="162" w:lineRule="exact"/>
        <w:rPr>
          <w:rFonts w:ascii="Times New Roman" w:cs="Times New Roman" w:eastAsia="Times New Roman" w:hAnsi="Times New Roman"/>
          <w:sz w:val="20"/>
          <w:szCs w:val="20"/>
          <w:color w:val="auto"/>
        </w:rPr>
      </w:pPr>
    </w:p>
    <w:p>
      <w:pPr>
        <w:ind w:left="1080" w:hanging="353"/>
        <w:spacing w:after="0" w:line="280" w:lineRule="auto"/>
        <w:tabs>
          <w:tab w:leader="none" w:pos="10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product candidate may be shown to have harmful side effects or other characteristics that indicate it is unlikely to be effective or otherwise does not meet applicable regulatory criteria;</w:t>
      </w:r>
    </w:p>
    <w:p>
      <w:pPr>
        <w:spacing w:after="0" w:line="162" w:lineRule="exact"/>
        <w:rPr>
          <w:rFonts w:ascii="Times New Roman" w:cs="Times New Roman" w:eastAsia="Times New Roman" w:hAnsi="Times New Roman"/>
          <w:sz w:val="20"/>
          <w:szCs w:val="20"/>
          <w:color w:val="auto"/>
        </w:rPr>
      </w:pPr>
    </w:p>
    <w:p>
      <w:pPr>
        <w:ind w:left="1080" w:hanging="353"/>
        <w:spacing w:after="0" w:line="280" w:lineRule="auto"/>
        <w:tabs>
          <w:tab w:leader="none" w:pos="108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product candidate may not be capable of being produced in commercial quantities at an acceptable cost, or at all; and</w:t>
      </w:r>
    </w:p>
    <w:p>
      <w:pPr>
        <w:spacing w:after="0" w:line="164" w:lineRule="exact"/>
        <w:rPr>
          <w:rFonts w:ascii="Times New Roman" w:cs="Times New Roman" w:eastAsia="Times New Roman" w:hAnsi="Times New Roman"/>
          <w:sz w:val="20"/>
          <w:szCs w:val="20"/>
          <w:color w:val="auto"/>
        </w:rPr>
      </w:pPr>
    </w:p>
    <w:p>
      <w:pPr>
        <w:ind w:left="1080" w:hanging="353"/>
        <w:spacing w:after="0" w:line="280" w:lineRule="auto"/>
        <w:tabs>
          <w:tab w:leader="none" w:pos="1081"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product candidate may not be accepted as safe and effective by physicians, patients, the medical community, or third - party payors.</w:t>
      </w:r>
    </w:p>
    <w:p>
      <w:pPr>
        <w:spacing w:after="0" w:line="16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have limited financial and management resources and, as a result, we may forego or delay pursuit of opportunities with other product candidates or for other indications that later prove to have greater market potential. Our resource allocation decisions may cause us to fail to capitalize on viable commercial drugs or profitable market opportunities. If we do not accurately evaluate the commercial potential or target market for a particular product candidate, we may relinquish valuable rights to that product candidate through collaboration, licensing, or other royalty arrangements in circumstances under which it would have been more advantageous for us to retain sole development and commercialization rights to such product candidate. If we are unsuccessful in identifying and developing additional product candidates or are unable to do so, our business may be harmed.</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Success in preclinical studies or earlier clinical trials may not be indicative of results in future clinical trials, and we cannot assure you that any ongoing, planned, or future clinical trials will lead to results sufficient for the necessary regulatory approvals.</w:t>
      </w:r>
    </w:p>
    <w:p>
      <w:pPr>
        <w:spacing w:after="0" w:line="18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Success in preclinical testing and earlier clinical trials does not ensure that later clinical trials will generate the same results or otherwise provide adequate data to demonstrate the efficacy and safety of a product candidate. Preclinical tests and Phase 1 and Phase 2 clinical trials are primarily designed to test safety, to study pharmacokinetics and pharmacodynamics</w:t>
      </w:r>
    </w:p>
    <w:p>
      <w:pPr>
        <w:sectPr>
          <w:pgSz w:w="11880" w:h="15480" w:orient="portrait"/>
          <w:cols w:equalWidth="0" w:num="1">
            <w:col w:w="9720"/>
          </w:cols>
          <w:pgMar w:left="1080" w:top="1067"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880" w:h="15480" w:orient="portrait"/>
          <w:cols w:equalWidth="0" w:num="1">
            <w:col w:w="9720"/>
          </w:cols>
          <w:pgMar w:left="1080" w:top="1067" w:right="1080" w:bottom="544" w:gutter="0" w:footer="0" w:header="0"/>
          <w:type w:val="continuous"/>
        </w:sectPr>
      </w:pPr>
    </w:p>
    <w:bookmarkStart w:id="37" w:name="page38"/>
    <w:bookmarkEnd w:id="37"/>
    <w:p>
      <w:pPr>
        <w:jc w:val="both"/>
        <w:spacing w:after="0" w:line="243" w:lineRule="auto"/>
        <w:rPr>
          <w:sz w:val="20"/>
          <w:szCs w:val="20"/>
          <w:color w:val="auto"/>
        </w:rPr>
      </w:pPr>
      <w:r>
        <w:rPr>
          <w:rFonts w:ascii="Times New Roman" w:cs="Times New Roman" w:eastAsia="Times New Roman" w:hAnsi="Times New Roman"/>
          <w:sz w:val="20"/>
          <w:szCs w:val="20"/>
          <w:color w:val="auto"/>
        </w:rPr>
        <w:t>and to understand the side effects of product candidates at various doses and schedules. Success in preclinical studies and earlier clinical trials does not ensure that later efficacy trials will be successful, nor does it predict final results. For example, our Phase 2 clinical trial of etripamil for PSVT was conducted in an electrophysiology lab, a controlled setting, in which episodes of SVT were induced and etripamil was administered by healthcare providers. Our Phase 3 clinical trials were conducted in an at-home setting with patients self-administering etripamil and monitoring their cardiac activity as episodes of SVT occur. Additionally, in our Phase 2 clinical trial, four sprays of study drug were dispensed to patients using four separate FDA approved single spray devices. In our Phase 3 clinical trials, patients self-administered two to four sprays of study drug from an FDA approved device that is capable of delivering two separate sprays. While our RAPID Phase 3 trial did meet its primary endpoint, our NODE-301 clinical trial did not meet its primary endpoint. Additional indications of etripamil and any future product candidates may fail to show the desired safety and efficacy in clinical development despite positive results in preclinical studies or having successfully advanced through earlier clinical trials.</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 addition, the design of a clinical trial can determine whether its results will support approval of a product, and flaws in the design of a clinical trial may not become apparent until the clinical trial is well advanced. Clinical trial design flaws are more likely in therapy areas, such as PSVT, where there are limited previous trials from which to learn and model clinical trials. As an organization, we have limited experience designing clinical trials for future indications of etripamil or other product candidates and may be unable to design and execute a clinical trial to support regulatory approval. Many companies in the pharmaceutical and biotechnology industries have suffered significant setbacks in late - stage clinical trials even after achieving promising results in preclinical testing and earlier clinical trials.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encounter substantial delays or difficulties in our clinical trials.</w:t>
      </w:r>
    </w:p>
    <w:p>
      <w:pPr>
        <w:spacing w:after="0" w:line="238" w:lineRule="exact"/>
        <w:rPr>
          <w:sz w:val="20"/>
          <w:szCs w:val="20"/>
          <w:color w:val="auto"/>
        </w:rPr>
      </w:pPr>
    </w:p>
    <w:p>
      <w:pPr>
        <w:jc w:val="both"/>
        <w:ind w:firstLine="1"/>
        <w:spacing w:after="0" w:line="244" w:lineRule="auto"/>
        <w:rPr>
          <w:sz w:val="20"/>
          <w:szCs w:val="20"/>
          <w:color w:val="auto"/>
        </w:rPr>
      </w:pPr>
      <w:r>
        <w:rPr>
          <w:rFonts w:ascii="Times New Roman" w:cs="Times New Roman" w:eastAsia="Times New Roman" w:hAnsi="Times New Roman"/>
          <w:sz w:val="20"/>
          <w:szCs w:val="20"/>
          <w:color w:val="auto"/>
        </w:rPr>
        <w:t>We may not commercialize, market, promote or sell any product candidate without obtaining marketing approval from the FDA or comparable foreign regulatory authorities, and we may never receive such approvals in subsequent etripamil indications or any other potential unapproved product candidates. It is impossible to predict when or if any of our future product candidates will prove effective or safe in humans and will receive regulatory approval. Before obtaining marketing approval from regulatory authorities for the sale of our product candidates, we must complete preclinical development and then conduct extensive clinical trials to demonstrate the safety and efficacy of our product candidates in humans. Clinical testing is expensive, difficult to design and implement, can take many years to complete, and is uncertain as to outcome. A failure of one or more clinical trials can occur at any stage of testing.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98"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9"/>
          <w:szCs w:val="19"/>
          <w:color w:val="auto"/>
        </w:rPr>
        <w:t>We may experience numerous unforeseen events prior to, during, or as a result of, clinical trials that could delay or prevent our ability to receive marketing approval or commercialize etripamil and any future product candidates, including:</w:t>
      </w:r>
    </w:p>
    <w:p>
      <w:pPr>
        <w:spacing w:after="0" w:line="140" w:lineRule="exact"/>
        <w:rPr>
          <w:sz w:val="20"/>
          <w:szCs w:val="20"/>
          <w:color w:val="auto"/>
        </w:rPr>
      </w:pPr>
    </w:p>
    <w:p>
      <w:pPr>
        <w:ind w:left="1080" w:hanging="353"/>
        <w:spacing w:after="0"/>
        <w:tabs>
          <w:tab w:leader="none" w:pos="108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delays in reaching a consensus with regulatory authorities on design or implementation of our clinical trials;</w:t>
      </w:r>
    </w:p>
    <w:p>
      <w:pPr>
        <w:spacing w:after="0" w:line="250" w:lineRule="exact"/>
        <w:rPr>
          <w:rFonts w:ascii="Times New Roman" w:cs="Times New Roman" w:eastAsia="Times New Roman" w:hAnsi="Times New Roman"/>
          <w:sz w:val="19"/>
          <w:szCs w:val="19"/>
          <w:color w:val="auto"/>
        </w:rPr>
      </w:pPr>
    </w:p>
    <w:p>
      <w:pPr>
        <w:ind w:left="1080" w:hanging="353"/>
        <w:spacing w:after="0" w:line="280" w:lineRule="auto"/>
        <w:tabs>
          <w:tab w:leader="none" w:pos="108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regulators or institutional review boards, or “IRBs,” may not authorize us or our investigators to commence a clinical trial or conduct a clinical trial at a prospective trial site;</w:t>
      </w:r>
    </w:p>
    <w:p>
      <w:pPr>
        <w:spacing w:after="0" w:line="164" w:lineRule="exact"/>
        <w:rPr>
          <w:rFonts w:ascii="Times New Roman" w:cs="Times New Roman" w:eastAsia="Times New Roman" w:hAnsi="Times New Roman"/>
          <w:sz w:val="20"/>
          <w:szCs w:val="20"/>
          <w:color w:val="auto"/>
        </w:rPr>
      </w:pPr>
    </w:p>
    <w:p>
      <w:pPr>
        <w:ind w:left="1080" w:hanging="353"/>
        <w:spacing w:after="0" w:line="280" w:lineRule="auto"/>
        <w:tabs>
          <w:tab w:leader="none" w:pos="1081"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reaching agreement on acceptable terms with prospective clinical research organizations, or “CROs,” and clinical trial sites;</w:t>
      </w:r>
    </w:p>
    <w:p>
      <w:pPr>
        <w:spacing w:after="0" w:line="162" w:lineRule="exact"/>
        <w:rPr>
          <w:rFonts w:ascii="Times New Roman" w:cs="Times New Roman" w:eastAsia="Times New Roman" w:hAnsi="Times New Roman"/>
          <w:sz w:val="20"/>
          <w:szCs w:val="20"/>
          <w:color w:val="auto"/>
        </w:rPr>
      </w:pPr>
    </w:p>
    <w:p>
      <w:pPr>
        <w:jc w:val="both"/>
        <w:ind w:left="1080" w:hanging="353"/>
        <w:spacing w:after="0" w:line="306" w:lineRule="auto"/>
        <w:tabs>
          <w:tab w:leader="none" w:pos="108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number of patients required for clinical trials of our product candidates may be larger than we anticipate, enrollment in these clinical trials may be slower than we anticipate, patients may drop out of these clinical</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880" w:h="15480" w:orient="portrait"/>
          <w:cols w:equalWidth="0" w:num="1">
            <w:col w:w="9720"/>
          </w:cols>
          <w:pgMar w:left="1080" w:top="1064" w:right="1080" w:bottom="544" w:gutter="0" w:footer="0" w:header="0"/>
          <w:type w:val="continuous"/>
        </w:sectPr>
      </w:pPr>
    </w:p>
    <w:bookmarkStart w:id="38" w:name="page39"/>
    <w:bookmarkEnd w:id="38"/>
    <w:p>
      <w:pPr>
        <w:ind w:left="1080"/>
        <w:spacing w:after="0" w:line="280" w:lineRule="auto"/>
        <w:rPr>
          <w:sz w:val="20"/>
          <w:szCs w:val="20"/>
          <w:color w:val="auto"/>
        </w:rPr>
      </w:pPr>
      <w:r>
        <w:rPr>
          <w:rFonts w:ascii="Times New Roman" w:cs="Times New Roman" w:eastAsia="Times New Roman" w:hAnsi="Times New Roman"/>
          <w:sz w:val="20"/>
          <w:szCs w:val="20"/>
          <w:color w:val="auto"/>
        </w:rPr>
        <w:t>trials at a higher rate than we anticipate or fail to return for post - treatment follow up or we may fail to recruit suitable patients to participate in a trial;</w:t>
      </w:r>
    </w:p>
    <w:p>
      <w:pPr>
        <w:spacing w:after="0" w:line="164" w:lineRule="exact"/>
        <w:rPr>
          <w:sz w:val="20"/>
          <w:szCs w:val="20"/>
          <w:color w:val="auto"/>
        </w:rPr>
      </w:pPr>
    </w:p>
    <w:p>
      <w:pPr>
        <w:ind w:left="1080" w:hanging="353"/>
        <w:spacing w:after="0"/>
        <w:tabs>
          <w:tab w:leader="none" w:pos="10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clinical trials of our product candidates may produce negative or inconclusive results;</w:t>
      </w:r>
    </w:p>
    <w:p>
      <w:pPr>
        <w:spacing w:after="0" w:line="239" w:lineRule="exact"/>
        <w:rPr>
          <w:rFonts w:ascii="Times New Roman" w:cs="Times New Roman" w:eastAsia="Times New Roman" w:hAnsi="Times New Roman"/>
          <w:sz w:val="20"/>
          <w:szCs w:val="20"/>
          <w:color w:val="auto"/>
        </w:rPr>
      </w:pPr>
    </w:p>
    <w:p>
      <w:pPr>
        <w:jc w:val="both"/>
        <w:ind w:left="1080" w:hanging="353"/>
        <w:spacing w:after="0" w:line="260" w:lineRule="auto"/>
        <w:tabs>
          <w:tab w:leader="none" w:pos="10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imposition of a clinical hold by regulatory authorities as a result of a serious adverse event, concerns with a class of product candidates or after an inspection of our clinical trial operations, trial sites or manufacturing facilities;</w:t>
      </w:r>
    </w:p>
    <w:p>
      <w:pPr>
        <w:spacing w:after="0" w:line="182" w:lineRule="exact"/>
        <w:rPr>
          <w:rFonts w:ascii="Times New Roman" w:cs="Times New Roman" w:eastAsia="Times New Roman" w:hAnsi="Times New Roman"/>
          <w:sz w:val="20"/>
          <w:szCs w:val="20"/>
          <w:color w:val="auto"/>
        </w:rPr>
      </w:pPr>
    </w:p>
    <w:p>
      <w:pPr>
        <w:ind w:left="1080" w:hanging="353"/>
        <w:spacing w:after="0" w:line="280" w:lineRule="auto"/>
        <w:tabs>
          <w:tab w:leader="none" w:pos="1081"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occurrence of serious adverse events associated with the product candidate that are viewed to outweigh its potential benefits;</w:t>
      </w:r>
    </w:p>
    <w:p>
      <w:pPr>
        <w:spacing w:after="0" w:line="164"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regulatory requirements and guidance that require amending or submitting new clinical protocols;</w:t>
      </w:r>
    </w:p>
    <w:p>
      <w:pPr>
        <w:spacing w:after="0" w:line="251" w:lineRule="exact"/>
        <w:rPr>
          <w:rFonts w:ascii="Times New Roman" w:cs="Times New Roman" w:eastAsia="Times New Roman" w:hAnsi="Times New Roman"/>
          <w:sz w:val="19"/>
          <w:szCs w:val="19"/>
          <w:color w:val="auto"/>
        </w:rPr>
      </w:pPr>
    </w:p>
    <w:p>
      <w:pPr>
        <w:ind w:left="1080" w:hanging="353"/>
        <w:spacing w:after="0"/>
        <w:tabs>
          <w:tab w:leader="none" w:pos="10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interruptions resulting from public health emergencies, or other geopolitical tensions;</w:t>
      </w:r>
    </w:p>
    <w:p>
      <w:pPr>
        <w:spacing w:after="0" w:line="239" w:lineRule="exact"/>
        <w:rPr>
          <w:rFonts w:ascii="Times New Roman" w:cs="Times New Roman" w:eastAsia="Times New Roman" w:hAnsi="Times New Roman"/>
          <w:sz w:val="20"/>
          <w:szCs w:val="20"/>
          <w:color w:val="auto"/>
        </w:rPr>
      </w:pPr>
    </w:p>
    <w:p>
      <w:pPr>
        <w:ind w:left="1080" w:hanging="353"/>
        <w:spacing w:after="0" w:line="280" w:lineRule="auto"/>
        <w:tabs>
          <w:tab w:leader="none" w:pos="10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interruptions to government agencies, such as the FDA, including as a result of levels of government funding, the ability to fill key leadership roles; or</w:t>
      </w:r>
    </w:p>
    <w:p>
      <w:pPr>
        <w:spacing w:after="0" w:line="162" w:lineRule="exact"/>
        <w:rPr>
          <w:rFonts w:ascii="Times New Roman" w:cs="Times New Roman" w:eastAsia="Times New Roman" w:hAnsi="Times New Roman"/>
          <w:sz w:val="20"/>
          <w:szCs w:val="20"/>
          <w:color w:val="auto"/>
        </w:rPr>
      </w:pPr>
    </w:p>
    <w:p>
      <w:pPr>
        <w:ind w:left="1080" w:hanging="353"/>
        <w:spacing w:after="0" w:line="280" w:lineRule="auto"/>
        <w:tabs>
          <w:tab w:leader="none" w:pos="10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decide, or regulators may require us, to conduct additional clinical trials or abandon product development programs.</w:t>
      </w:r>
    </w:p>
    <w:p>
      <w:pPr>
        <w:spacing w:after="0" w:line="16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Any inability to successfully complete preclinical and clinical development could result in additional costs to us or impair our ability to generate revenue from future drug sales or other sources. In addition, if we make manufacturing or formulation changes to our product candidates, we may need to conduct additional testing to bridge our modified product candidate to earlier versions. Clinical trial delays could also shorten any periods during which we may have the exclusive right to commercialize our product candidates, if approved, or allow our competitors to bring competing drugs to market before we do, which could impair our ability to successfully commercialize our product candidates and may harm our business, financial condition, results of operations and prospects.</w:t>
      </w:r>
    </w:p>
    <w:p>
      <w:pPr>
        <w:spacing w:after="0" w:line="19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Additionally, if the results of our clinical trials are inconclusive or if there are safety concerns or serious adverse events associated with our product candidates, we may:</w:t>
      </w:r>
    </w:p>
    <w:p>
      <w:pPr>
        <w:spacing w:after="0" w:line="164" w:lineRule="exact"/>
        <w:rPr>
          <w:sz w:val="20"/>
          <w:szCs w:val="20"/>
          <w:color w:val="auto"/>
        </w:rPr>
      </w:pPr>
    </w:p>
    <w:p>
      <w:pPr>
        <w:ind w:left="1080" w:hanging="353"/>
        <w:spacing w:after="0"/>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delayed in obtaining marketing approval, if at all;</w:t>
      </w:r>
    </w:p>
    <w:p>
      <w:pPr>
        <w:spacing w:after="0" w:line="239"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approval for indications or patient populations that are not as broad as intended or desired;</w:t>
      </w:r>
    </w:p>
    <w:p>
      <w:pPr>
        <w:spacing w:after="0" w:line="240"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approval with labeling that includes significant use or distribution restrictions or safety warnings;</w:t>
      </w:r>
    </w:p>
    <w:p>
      <w:pPr>
        <w:spacing w:after="0" w:line="240"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subject to additional post - marketing testing requirements;</w:t>
      </w:r>
    </w:p>
    <w:p>
      <w:pPr>
        <w:spacing w:after="0" w:line="239" w:lineRule="exact"/>
        <w:rPr>
          <w:rFonts w:ascii="Times New Roman" w:cs="Times New Roman" w:eastAsia="Times New Roman" w:hAnsi="Times New Roman"/>
          <w:sz w:val="20"/>
          <w:szCs w:val="20"/>
          <w:color w:val="auto"/>
        </w:rPr>
      </w:pPr>
    </w:p>
    <w:p>
      <w:pPr>
        <w:ind w:left="1080" w:hanging="353"/>
        <w:spacing w:after="0" w:line="280" w:lineRule="auto"/>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required to perform additional clinical trials to support approval or be subject to additional post - marketing testing requirements;</w:t>
      </w:r>
    </w:p>
    <w:p>
      <w:pPr>
        <w:spacing w:after="0" w:line="163" w:lineRule="exact"/>
        <w:rPr>
          <w:rFonts w:ascii="Times New Roman" w:cs="Times New Roman" w:eastAsia="Times New Roman" w:hAnsi="Times New Roman"/>
          <w:sz w:val="20"/>
          <w:szCs w:val="20"/>
          <w:color w:val="auto"/>
        </w:rPr>
      </w:pPr>
    </w:p>
    <w:p>
      <w:pPr>
        <w:ind w:left="1080" w:hanging="353"/>
        <w:spacing w:after="0" w:line="280" w:lineRule="auto"/>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regulatory authorities withdraw or suspend their approval of the drug or impose restrictions on its distribution in the form of a modified risk evaluation and mitigation strategy, or “REMS”;</w:t>
      </w:r>
    </w:p>
    <w:p>
      <w:pPr>
        <w:spacing w:after="0" w:line="164"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subject to the addition of labeling statements, such as warnings or contraindications;</w:t>
      </w:r>
    </w:p>
    <w:p>
      <w:pPr>
        <w:spacing w:after="0" w:line="240"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sued; or</w:t>
      </w:r>
    </w:p>
    <w:p>
      <w:pPr>
        <w:spacing w:after="0" w:line="239"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experience damage to our reputation.</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880" w:h="15480" w:orient="portrait"/>
          <w:cols w:equalWidth="0" w:num="1">
            <w:col w:w="9720"/>
          </w:cols>
          <w:pgMar w:left="1080" w:top="1064" w:right="1080" w:bottom="544" w:gutter="0" w:footer="0" w:header="0"/>
          <w:type w:val="continuous"/>
        </w:sectPr>
      </w:pPr>
    </w:p>
    <w:bookmarkStart w:id="39" w:name="page40"/>
    <w:bookmarkEnd w:id="39"/>
    <w:p>
      <w:pPr>
        <w:jc w:val="both"/>
        <w:spacing w:after="0" w:line="260" w:lineRule="auto"/>
        <w:rPr>
          <w:sz w:val="20"/>
          <w:szCs w:val="20"/>
          <w:color w:val="auto"/>
        </w:rPr>
      </w:pPr>
      <w:r>
        <w:rPr>
          <w:rFonts w:ascii="Times New Roman" w:cs="Times New Roman" w:eastAsia="Times New Roman" w:hAnsi="Times New Roman"/>
          <w:sz w:val="20"/>
          <w:szCs w:val="20"/>
          <w:color w:val="auto"/>
        </w:rPr>
        <w:t>Our product development costs will also increase if we experience delays in testing or obtaining marketing approvals. We do not know whether any of our preclinical studies or clinical trials will begin as planned, need to be restructured or be completed on schedule, if at all.</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Further, we, the FDA or an IRB may suspend our clinical trials at any time if it appears that we or our collaborators are failing to conduct a trial in accordance with regulatory requirements, including the FDA’s current GCP regulations, that we are exposing participants to unacceptable health risks, or if the FDA finds deficiencies in our investigational new drug applications, or “INDs,” or the conduct of these trials. Therefore, we cannot predict with any certainty the schedule for commencement and completion of future clinical trials. If we experience delays in the commencement or completion of our clinical trials, or if we terminate a clinical trial prior to completion, the commercial prospects of our product candidates could be negatively impacted, and our ability to generate revenues from our product candidates may be delayed.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Clinical trials are very expensive, time-consuming, and difficult to design and implement.</w:t>
      </w:r>
    </w:p>
    <w:p>
      <w:pPr>
        <w:spacing w:after="0" w:line="23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Our product candidates will require clinical testing before we are prepared to submit an NDA, or comparable application to foreign regulatory authorities, for regulatory approval. We cannot predict with any certainty if or when we might submit an application for regulatory approval for any of our product candidates or whether any such application will be approved by the FDA or foreign regulatory authority. Human clinical trials are very expensive and difficult to design and implement, in part because they are subject to rigorous regulatory requirements. For instance, the FDA or foreign regulatory authority may not agree with our proposed endpoints for any future clinical trial of our product candidates, which may delay the commencement of our clinical trials. In addition, we may not succeed in developing and validating disease relevant clinical endpoints based on insights regarding biological pathways for the diseases we are studying. The clinical trial process is also time-consuming. We estimate that the successful completion of clinical trials for etripamil and any future product candidates will take several years to complete. Furthermore, failure can occur at any stage, and we could encounter problems that cause us to abandon or repeat clinical trials.</w:t>
      </w:r>
    </w:p>
    <w:p>
      <w:pPr>
        <w:spacing w:after="0" w:line="19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Enrollment and retention of patients in clinical trials is an expensive and time - consuming process and could be delayed, made more difficult or rendered impossible by multiple factors outside our control.</w:t>
      </w:r>
    </w:p>
    <w:p>
      <w:pPr>
        <w:spacing w:after="0" w:line="16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Identifying and qualifying patients to participate in our clinical trials is critical to our success. If the actual number of patients with PSVT, AFib-RVR, or any other indications that we may pursue for etripamil or future product candidates, is smaller than we anticipate, we may encounter difficulties in enrolling patients in our clinical trials, thereby delaying or preventing development and approval of etripamil and any future product candidates. Even once enrolled, we may be unable to retain a sufficient number of patients to complete any of our trials. Patient enrollment and retention in clinical trials depends on many factors, including the size of the patient population, the nature of the trial protocol, the existing body of safety and efficacy data, the number and nature of competing treatments and ongoing clinical trials of competing therapies for the same indication, the proximity of patients to clinical sites, the experience and capabilities of the clinical sites to recruit the correct patients, and the eligibility criteria for the trial. Patient enrollment may also be affected by public health crises, such as patients experiencing difficulty accessing clinical trial sites and complying with clinical trial protocols.</w:t>
      </w:r>
    </w:p>
    <w:p>
      <w:pPr>
        <w:spacing w:after="0" w:line="19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Furthermore, our efforts to build relationships with patient communities may not succeed, which could result in delays in patient enrollment in our clinical trials. In addition, any negative results we may report in clinical trials of etripamil, and any future product candidate may make it difficult or impossible to recruit and retain patients in other clinical trials of that same product candidate. For example, we reported a failed primary endpoint from our NODE-301 trial in March 2020. Delays or failures in planned patient enrollment or retention may result in increased costs, program delays, or both, which could have a harmful effect on our ability to develop etripamil or any future product candidates or could render further development impossible. In addition, we expect to rely on CROs and clinical trial sites to ensure proper and timely conduct of our future clinical trials and, while we intend to enter into agreements governing their services, we will be limited in our ability to compel their actual performance. Similarly, our formulation of etripamil is designed to be self - administered as a nasal spray. While we expect enrolled patients to adhere to the protocol, our ability to ensure patient compliance is limited.</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880" w:h="15480" w:orient="portrait"/>
          <w:cols w:equalWidth="0" w:num="1">
            <w:col w:w="9720"/>
          </w:cols>
          <w:pgMar w:left="1080" w:top="1064" w:right="1080" w:bottom="544" w:gutter="0" w:footer="0" w:header="0"/>
          <w:type w:val="continuous"/>
        </w:sectPr>
      </w:pPr>
    </w:p>
    <w:bookmarkStart w:id="40" w:name="page41"/>
    <w:bookmarkEnd w:id="40"/>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product candidates may cause undesirable side effects or have other properties that could delay or prevent their regulatory approval, limit the commercial potential, or result in significant negative consequences following any potential marketing approval.</w:t>
      </w:r>
    </w:p>
    <w:p>
      <w:pPr>
        <w:spacing w:after="0" w:line="18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During the conduct of clinical trials, patients report changes in their health, including illnesses, injuries and discomforts, to their doctor. Often, it is not possible to determine whether or not the product candidate being studied caused these conditions. Regulatory authorities may draw different conclusions or require additional testing to confirm these determinations, if they occur. For example, in our Phase 2 clinical trial for PSVT, three serious adverse events, or “SAEs,” were considered possibly related to etripamil, including an episode of second-degree AV block that subsequently and spontaneously resolved. Calcium channel blockers have known side effects, such as slowing AV conduction, slowing the heart rate below normal levels and hypotension, or low blood pressure. While we designed etripamil to have a short pharmacodynamic effect to lower these risks, if etripamil is not quickly metabolized as designed, these known side effects may become more pronounced in patients who use etripamil.</w:t>
      </w:r>
    </w:p>
    <w:p>
      <w:pPr>
        <w:spacing w:after="0" w:line="19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In addition, it is possible that as we test etripamil or any future product candidates in larger, longer, and more extensive clinical trials, or as use of etripamil or any future product candidates becomes more widespread if they receive regulatory approval, illnesses, injuries, discomforts, and other adverse events that were observed in earlier trials, as well as conditions that did not occur or went undetected in previous trials, will be reported by subjects or patients. Many times, side effects are only detectable after investigational drugs are tested in large - scale pivotal trials or, in some cases, after they are made available to patients on a commercial scale after approval. If additional clinical experience indicates that etripamil or any future product candidates have side effects or causes serious or life - threatening side effects, the development of the product candidate may fail or be delayed, or, if the product candidate has received regulatory approval, such approval may be revoked, which would harm our business, prospects, operating results and financial condition.</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Interim, “top - 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8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From time to time, we may publish interim, “topline” or preliminary data from our clinical trials. Interim data from clinical trials that we may complete are subject to the risk that one or more of the clinical outcomes may materially change as patient enrollment continues and more patient data becomes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or interim data and final data could significantly harm our business prospects and may cause the trading price of our common shares to fluctuate significantly.</w:t>
      </w:r>
    </w:p>
    <w:p>
      <w:pPr>
        <w:spacing w:after="0" w:line="20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explore additional strategic collaborations that may never materialize, or we may be required to relinquish important rights to and control over the development of our product candidates to any future collaborators.</w:t>
      </w:r>
    </w:p>
    <w:p>
      <w:pPr>
        <w:spacing w:after="0" w:line="16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intend to continue to periodically explore a variety of possible strategic collaborations in an effort to gain access to additional product candidates or resources. We are likely to face significant competition in seeking appropriate strategic collaborators, and strategic collaborations can be complicated and time consuming to negotiate and document. We may not be able to negotiate strategic collaborations on acceptable terms, or at all. We are unable to predict when, if ever, we will enter into any strategic collaborations because of the numerous risks and uncertainties associated with establishing them.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Future collaborations could subject us to a number of risks, including:</w:t>
      </w:r>
    </w:p>
    <w:p>
      <w:pPr>
        <w:spacing w:after="0" w:line="240" w:lineRule="exact"/>
        <w:rPr>
          <w:sz w:val="20"/>
          <w:szCs w:val="20"/>
          <w:color w:val="auto"/>
        </w:rPr>
      </w:pPr>
    </w:p>
    <w:p>
      <w:pPr>
        <w:ind w:left="1080" w:hanging="353"/>
        <w:spacing w:after="0" w:line="280" w:lineRule="auto"/>
        <w:tabs>
          <w:tab w:leader="none" w:pos="10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required to undertake the expenditure of substantial operational, financial, and management resources;</w:t>
      </w:r>
    </w:p>
    <w:p>
      <w:pPr>
        <w:spacing w:after="0" w:line="162" w:lineRule="exact"/>
        <w:rPr>
          <w:rFonts w:ascii="Times New Roman" w:cs="Times New Roman" w:eastAsia="Times New Roman" w:hAnsi="Times New Roman"/>
          <w:sz w:val="20"/>
          <w:szCs w:val="20"/>
          <w:color w:val="auto"/>
        </w:rPr>
      </w:pPr>
    </w:p>
    <w:p>
      <w:pPr>
        <w:ind w:left="1080" w:hanging="353"/>
        <w:spacing w:after="0" w:line="280" w:lineRule="auto"/>
        <w:tabs>
          <w:tab w:leader="none" w:pos="10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required to issue equity securities that would dilute our shareholders’ percentage ownership of our Company;</w:t>
      </w:r>
    </w:p>
    <w:p>
      <w:pPr>
        <w:sectPr>
          <w:pgSz w:w="11880" w:h="15480" w:orient="portrait"/>
          <w:cols w:equalWidth="0" w:num="1">
            <w:col w:w="9720"/>
          </w:cols>
          <w:pgMar w:left="1080" w:top="1066"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880" w:h="15480" w:orient="portrait"/>
          <w:cols w:equalWidth="0" w:num="1">
            <w:col w:w="9720"/>
          </w:cols>
          <w:pgMar w:left="1080" w:top="1066" w:right="1080" w:bottom="544" w:gutter="0" w:footer="0" w:header="0"/>
          <w:type w:val="continuous"/>
        </w:sectPr>
      </w:pPr>
    </w:p>
    <w:bookmarkStart w:id="41" w:name="page42"/>
    <w:bookmarkEnd w:id="41"/>
    <w:p>
      <w:pPr>
        <w:ind w:left="1080" w:hanging="353"/>
        <w:spacing w:after="0"/>
        <w:tabs>
          <w:tab w:leader="none" w:pos="10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required to assume substantial actual or contingent liabilities;</w:t>
      </w:r>
    </w:p>
    <w:p>
      <w:pPr>
        <w:spacing w:after="0" w:line="239" w:lineRule="exact"/>
        <w:rPr>
          <w:rFonts w:ascii="Times New Roman" w:cs="Times New Roman" w:eastAsia="Times New Roman" w:hAnsi="Times New Roman"/>
          <w:sz w:val="20"/>
          <w:szCs w:val="20"/>
          <w:color w:val="auto"/>
        </w:rPr>
      </w:pPr>
    </w:p>
    <w:p>
      <w:pPr>
        <w:ind w:left="1080" w:hanging="353"/>
        <w:spacing w:after="0" w:line="280" w:lineRule="auto"/>
        <w:tabs>
          <w:tab w:leader="none" w:pos="10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able to control the amount and timing of resources that our strategic collaborators devote to the development or commercialization of our product candidates;</w:t>
      </w:r>
    </w:p>
    <w:p>
      <w:pPr>
        <w:spacing w:after="0" w:line="162" w:lineRule="exact"/>
        <w:rPr>
          <w:rFonts w:ascii="Times New Roman" w:cs="Times New Roman" w:eastAsia="Times New Roman" w:hAnsi="Times New Roman"/>
          <w:sz w:val="20"/>
          <w:szCs w:val="20"/>
          <w:color w:val="auto"/>
        </w:rPr>
      </w:pPr>
    </w:p>
    <w:p>
      <w:pPr>
        <w:ind w:left="1080" w:hanging="353"/>
        <w:spacing w:after="0" w:line="280" w:lineRule="auto"/>
        <w:tabs>
          <w:tab w:leader="none" w:pos="10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strategic collaborators may select indications or design clinical trials in a way that may be less successful than if we were doing so;</w:t>
      </w:r>
    </w:p>
    <w:p>
      <w:pPr>
        <w:spacing w:after="0" w:line="164" w:lineRule="exact"/>
        <w:rPr>
          <w:rFonts w:ascii="Times New Roman" w:cs="Times New Roman" w:eastAsia="Times New Roman" w:hAnsi="Times New Roman"/>
          <w:sz w:val="20"/>
          <w:szCs w:val="20"/>
          <w:color w:val="auto"/>
        </w:rPr>
      </w:pPr>
    </w:p>
    <w:p>
      <w:pPr>
        <w:jc w:val="both"/>
        <w:ind w:left="1080" w:hanging="353"/>
        <w:spacing w:after="0" w:line="259" w:lineRule="auto"/>
        <w:tabs>
          <w:tab w:leader="none" w:pos="10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185" w:lineRule="exact"/>
        <w:rPr>
          <w:rFonts w:ascii="Times New Roman" w:cs="Times New Roman" w:eastAsia="Times New Roman" w:hAnsi="Times New Roman"/>
          <w:sz w:val="20"/>
          <w:szCs w:val="20"/>
          <w:color w:val="auto"/>
        </w:rPr>
      </w:pPr>
    </w:p>
    <w:p>
      <w:pPr>
        <w:ind w:left="1080" w:hanging="353"/>
        <w:spacing w:after="0" w:line="280" w:lineRule="auto"/>
        <w:tabs>
          <w:tab w:leader="none" w:pos="10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strategic collaborators may not pursue further development of products resulting from the strategic collaboration arrangement or may elect to discontinue research and development programs;</w:t>
      </w:r>
    </w:p>
    <w:p>
      <w:pPr>
        <w:spacing w:after="0" w:line="162" w:lineRule="exact"/>
        <w:rPr>
          <w:rFonts w:ascii="Times New Roman" w:cs="Times New Roman" w:eastAsia="Times New Roman" w:hAnsi="Times New Roman"/>
          <w:sz w:val="20"/>
          <w:szCs w:val="20"/>
          <w:color w:val="auto"/>
        </w:rPr>
      </w:pPr>
    </w:p>
    <w:p>
      <w:pPr>
        <w:ind w:left="1080" w:hanging="353"/>
        <w:spacing w:after="0" w:line="280" w:lineRule="auto"/>
        <w:tabs>
          <w:tab w:leader="none" w:pos="10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strategic collaborators may not commit adequate resources to the marketing and distribution of our product candidates, limiting our potential revenues from these products;</w:t>
      </w:r>
    </w:p>
    <w:p>
      <w:pPr>
        <w:spacing w:after="0" w:line="162" w:lineRule="exact"/>
        <w:rPr>
          <w:rFonts w:ascii="Times New Roman" w:cs="Times New Roman" w:eastAsia="Times New Roman" w:hAnsi="Times New Roman"/>
          <w:sz w:val="20"/>
          <w:szCs w:val="20"/>
          <w:color w:val="auto"/>
        </w:rPr>
      </w:pPr>
    </w:p>
    <w:p>
      <w:pPr>
        <w:jc w:val="both"/>
        <w:ind w:left="1080" w:hanging="353"/>
        <w:spacing w:after="0" w:line="260" w:lineRule="auto"/>
        <w:tabs>
          <w:tab w:leader="none" w:pos="1081"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disputes may arise between us and our strategic collaborators that result in the delay or termination of the research or development of our product candidates or that result in costly litigation or arbitration that diverts management’s attention and consumes resources;</w:t>
      </w:r>
    </w:p>
    <w:p>
      <w:pPr>
        <w:spacing w:after="0" w:line="183"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strategic collaborators may experience financial difficulties;</w:t>
      </w:r>
    </w:p>
    <w:p>
      <w:pPr>
        <w:spacing w:after="0" w:line="239" w:lineRule="exact"/>
        <w:rPr>
          <w:rFonts w:ascii="Times New Roman" w:cs="Times New Roman" w:eastAsia="Times New Roman" w:hAnsi="Times New Roman"/>
          <w:sz w:val="20"/>
          <w:szCs w:val="20"/>
          <w:color w:val="auto"/>
        </w:rPr>
      </w:pPr>
    </w:p>
    <w:p>
      <w:pPr>
        <w:jc w:val="both"/>
        <w:ind w:left="1080" w:hanging="353"/>
        <w:spacing w:after="0" w:line="260" w:lineRule="auto"/>
        <w:tabs>
          <w:tab w:leader="none" w:pos="10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strategic collaborators may not properly maintain or defend our intellectual property rights or may use our proprietary information in a manner that could jeopardize or invalidate our proprietary information or expose us to potential litigation;</w:t>
      </w:r>
    </w:p>
    <w:p>
      <w:pPr>
        <w:spacing w:after="0" w:line="182" w:lineRule="exact"/>
        <w:rPr>
          <w:rFonts w:ascii="Times New Roman" w:cs="Times New Roman" w:eastAsia="Times New Roman" w:hAnsi="Times New Roman"/>
          <w:sz w:val="20"/>
          <w:szCs w:val="20"/>
          <w:color w:val="auto"/>
        </w:rPr>
      </w:pPr>
    </w:p>
    <w:p>
      <w:pPr>
        <w:ind w:left="1080" w:hanging="353"/>
        <w:spacing w:after="0" w:line="280" w:lineRule="auto"/>
        <w:tabs>
          <w:tab w:leader="none" w:pos="10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combinations or significant changes in a strategic collaborator’s business strategy may adversely affect a strategic collaborator’s willingness or ability to complete its obligations under any arrangement;</w:t>
      </w:r>
    </w:p>
    <w:p>
      <w:pPr>
        <w:spacing w:after="0" w:line="162" w:lineRule="exact"/>
        <w:rPr>
          <w:rFonts w:ascii="Times New Roman" w:cs="Times New Roman" w:eastAsia="Times New Roman" w:hAnsi="Times New Roman"/>
          <w:sz w:val="20"/>
          <w:szCs w:val="20"/>
          <w:color w:val="auto"/>
        </w:rPr>
      </w:pPr>
    </w:p>
    <w:p>
      <w:pPr>
        <w:ind w:left="1080" w:hanging="353"/>
        <w:spacing w:after="0" w:line="280" w:lineRule="auto"/>
        <w:tabs>
          <w:tab w:leader="none" w:pos="10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strategic collaborators could decide to move forward with a competing product candidate developed either independently or in collaboration with others, including our competitors; and</w:t>
      </w:r>
    </w:p>
    <w:p>
      <w:pPr>
        <w:spacing w:after="0" w:line="162" w:lineRule="exact"/>
        <w:rPr>
          <w:rFonts w:ascii="Times New Roman" w:cs="Times New Roman" w:eastAsia="Times New Roman" w:hAnsi="Times New Roman"/>
          <w:sz w:val="20"/>
          <w:szCs w:val="20"/>
          <w:color w:val="auto"/>
        </w:rPr>
      </w:pPr>
    </w:p>
    <w:p>
      <w:pPr>
        <w:ind w:left="1080" w:hanging="353"/>
        <w:spacing w:after="0" w:line="280" w:lineRule="auto"/>
        <w:tabs>
          <w:tab w:leader="none" w:pos="10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strategic collaborators could terminate the arrangement or allow it to expire, which would delay the development and may increase the cost of developing our product candidates.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the Commercialization of Our Product and Product Candidates</w:t>
      </w:r>
    </w:p>
    <w:p>
      <w:pPr>
        <w:spacing w:after="0" w:line="2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successfully implement and maintain sales, marketing and distribution capabilities for CARDAMYST for the treatment of PSVT or any product candidate that may receive regulatory approval, we may not be successful in commercializing CARDAMYST for the treatment of PSVT or our product candidates if and when they are approved .</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We are in the early stages of commercializing CARDAMYST for the treatment of PSVT. To achieve commercial success for CARDAMYST for the treatment of PSVT, any additional indications for etripamil and any other product candidate for which we may obtain marketing approval, we will need to continue to implement and maintain an effective sales and marketing organization. We have built a focused sales and marketing organization to launch CARDAMYST for the treatment of PSVT in the United States. However, we may choose to expand upon our sales force in the future for PSVT, additional etripamil indications, or other product candidates. There are inherent risks to implementing and maintaining a standalone commercial organization, which is also time-consuming and requires significant financial resources.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Factors that create risk and may inhibit our efforts to commercialize our products on our own include:</w:t>
      </w:r>
    </w:p>
    <w:p>
      <w:pPr>
        <w:sectPr>
          <w:pgSz w:w="11880" w:h="15480" w:orient="portrait"/>
          <w:cols w:equalWidth="0" w:num="1">
            <w:col w:w="9720"/>
          </w:cols>
          <w:pgMar w:left="1080" w:top="1065"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880" w:h="15480" w:orient="portrait"/>
          <w:cols w:equalWidth="0" w:num="1">
            <w:col w:w="9720"/>
          </w:cols>
          <w:pgMar w:left="1080" w:top="1065" w:right="1080" w:bottom="544" w:gutter="0" w:footer="0" w:header="0"/>
          <w:type w:val="continuous"/>
        </w:sectPr>
      </w:pPr>
    </w:p>
    <w:bookmarkStart w:id="42" w:name="page43"/>
    <w:bookmarkEnd w:id="42"/>
    <w:p>
      <w:pPr>
        <w:ind w:left="1080" w:hanging="353"/>
        <w:spacing w:after="0"/>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recruit, train and retain adequate numbers of effective sales and marketing personnel;</w:t>
      </w:r>
    </w:p>
    <w:p>
      <w:pPr>
        <w:spacing w:after="0" w:line="239" w:lineRule="exact"/>
        <w:rPr>
          <w:rFonts w:ascii="Times New Roman" w:cs="Times New Roman" w:eastAsia="Times New Roman" w:hAnsi="Times New Roman"/>
          <w:sz w:val="20"/>
          <w:szCs w:val="20"/>
          <w:color w:val="auto"/>
        </w:rPr>
      </w:pPr>
    </w:p>
    <w:p>
      <w:pPr>
        <w:ind w:left="1080" w:hanging="353"/>
        <w:spacing w:after="0" w:line="280" w:lineRule="auto"/>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inability of sales personnel to obtain access to physicians or educate adequate numbers of physicians on the benefits of prescribing any future products;</w:t>
      </w:r>
    </w:p>
    <w:p>
      <w:pPr>
        <w:spacing w:after="0" w:line="164"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obtain favorable insurance coverage of any approved product;</w:t>
      </w:r>
    </w:p>
    <w:p>
      <w:pPr>
        <w:spacing w:after="0" w:line="239" w:lineRule="exact"/>
        <w:rPr>
          <w:rFonts w:ascii="Times New Roman" w:cs="Times New Roman" w:eastAsia="Times New Roman" w:hAnsi="Times New Roman"/>
          <w:sz w:val="20"/>
          <w:szCs w:val="20"/>
          <w:color w:val="auto"/>
        </w:rPr>
      </w:pPr>
    </w:p>
    <w:p>
      <w:pPr>
        <w:ind w:left="1080" w:hanging="353"/>
        <w:spacing w:after="0" w:line="280" w:lineRule="auto"/>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lack of complementary products to be offered by sales personnel, which may put us at a competitive disadvantage relative to companies with more extensive product lines; and</w:t>
      </w:r>
    </w:p>
    <w:p>
      <w:pPr>
        <w:spacing w:after="0" w:line="164"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unforeseen costs and expenses associated with creating an independent sales and marketing organization.</w:t>
      </w:r>
    </w:p>
    <w:p>
      <w:pPr>
        <w:spacing w:after="0" w:line="2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If we are unable to successfully implement and maintain our own sales, marketing and distribution capabilities and are forced to enter into arrangements with, and rely on, third parties to perform these services, our revenue and our profitability, if any, are likely to be lower than if we had developed such capabilities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maintain sales, marketing and distribution capabilities successfully, either on our own or in collaboration with third parties, we will not be successful in commercializing our product candidates</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CARDAMYST, along with any subsequent etripamil indications or any other product candidates, if approved, may fail to achieve market acceptance by physicians, patients, third-party payors or others in the medical community necessary for commercial success</w:t>
      </w:r>
    </w:p>
    <w:p>
      <w:pPr>
        <w:spacing w:after="0" w:line="18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CARDAMYST, any subsequent etripamil indications and any other product candidates that receive marketing approval may fail to gain market acceptance by physicians, patients, third- party payors and others in the medical community. If such CARDAMYST, any subsequent etripamil indications or any future product candidates do not achieve an adequate level of acceptance, we may not generate significant drug revenue and may not become profitable. The degree of market acceptance of CARDAMYST, any subsequent etripamil indications or any future product candidates, if approved for commercial sale, will depend on a number of factors, including but not limited to third - party payors and others in the medical community. If such CARDAMYST, any subsequent etripamil indications or any future product candidates do not achieve an adequate level of acceptance, we may not generate significant drug revenue and may not become profitable. The degree of market acceptance of CARDAMYST, any subsequent etripamil indications or any future product candidates, if approved for commercial sale, will depend on a number of factors, including but not limited to:</w:t>
      </w:r>
    </w:p>
    <w:p>
      <w:pPr>
        <w:spacing w:after="0" w:line="202" w:lineRule="exact"/>
        <w:rPr>
          <w:sz w:val="20"/>
          <w:szCs w:val="20"/>
          <w:color w:val="auto"/>
        </w:rPr>
      </w:pPr>
    </w:p>
    <w:p>
      <w:pPr>
        <w:ind w:left="1080" w:hanging="353"/>
        <w:spacing w:after="0"/>
        <w:tabs>
          <w:tab w:leader="none" w:pos="1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convenience and ease of administration compared to alternative treatments and therapies;</w:t>
      </w:r>
    </w:p>
    <w:p>
      <w:pPr>
        <w:spacing w:after="0" w:line="239" w:lineRule="exact"/>
        <w:rPr>
          <w:rFonts w:ascii="Times New Roman" w:cs="Times New Roman" w:eastAsia="Times New Roman" w:hAnsi="Times New Roman"/>
          <w:sz w:val="20"/>
          <w:szCs w:val="20"/>
          <w:color w:val="auto"/>
        </w:rPr>
      </w:pPr>
    </w:p>
    <w:p>
      <w:pPr>
        <w:ind w:left="1080" w:hanging="353"/>
        <w:spacing w:after="0" w:line="280" w:lineRule="auto"/>
        <w:tabs>
          <w:tab w:leader="none" w:pos="1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willingness of the target patient population to try new therapies and of physicians to prescribe these therapies;</w:t>
      </w:r>
    </w:p>
    <w:p>
      <w:pPr>
        <w:spacing w:after="0" w:line="164"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efficacy and potential advantages compared to alternative treatments and therapies;</w:t>
      </w:r>
    </w:p>
    <w:p>
      <w:pPr>
        <w:spacing w:after="0" w:line="240"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effectiveness of sales and marketing efforts;</w:t>
      </w:r>
    </w:p>
    <w:p>
      <w:pPr>
        <w:spacing w:after="0" w:line="239"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prevalence and severity of any side effects;</w:t>
      </w:r>
    </w:p>
    <w:p>
      <w:pPr>
        <w:spacing w:after="0" w:line="240"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strength of our relationships with patient communities;</w:t>
      </w:r>
    </w:p>
    <w:p>
      <w:pPr>
        <w:spacing w:after="0" w:line="239" w:lineRule="exact"/>
        <w:rPr>
          <w:rFonts w:ascii="Times New Roman" w:cs="Times New Roman" w:eastAsia="Times New Roman" w:hAnsi="Times New Roman"/>
          <w:sz w:val="20"/>
          <w:szCs w:val="20"/>
          <w:color w:val="auto"/>
        </w:rPr>
      </w:pPr>
    </w:p>
    <w:p>
      <w:pPr>
        <w:ind w:left="1080" w:hanging="353"/>
        <w:spacing w:after="0" w:line="280" w:lineRule="auto"/>
        <w:tabs>
          <w:tab w:leader="none" w:pos="1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treatment in relation to alternative treatments and therapies, including any similar generic treatments;</w:t>
      </w:r>
    </w:p>
    <w:p>
      <w:pPr>
        <w:spacing w:after="0" w:line="164"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offer such drug for sale at competitive prices;</w:t>
      </w:r>
    </w:p>
    <w:p>
      <w:pPr>
        <w:sectPr>
          <w:pgSz w:w="11880" w:h="15480" w:orient="portrait"/>
          <w:cols w:equalWidth="0" w:num="1">
            <w:col w:w="9720"/>
          </w:cols>
          <w:pgMar w:left="1080" w:top="1065"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880" w:h="15480" w:orient="portrait"/>
          <w:cols w:equalWidth="0" w:num="1">
            <w:col w:w="9720"/>
          </w:cols>
          <w:pgMar w:left="1080" w:top="1065" w:right="1080" w:bottom="544" w:gutter="0" w:footer="0" w:header="0"/>
          <w:type w:val="continuous"/>
        </w:sectPr>
      </w:pPr>
    </w:p>
    <w:bookmarkStart w:id="43" w:name="page44"/>
    <w:bookmarkEnd w:id="43"/>
    <w:p>
      <w:pPr>
        <w:ind w:left="1080" w:hanging="353"/>
        <w:spacing w:after="0"/>
        <w:tabs>
          <w:tab w:leader="none" w:pos="10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strength of marketing and distribution support; and</w:t>
      </w:r>
    </w:p>
    <w:p>
      <w:pPr>
        <w:spacing w:after="0" w:line="239" w:lineRule="exact"/>
        <w:rPr>
          <w:rFonts w:ascii="Times New Roman" w:cs="Times New Roman" w:eastAsia="Times New Roman" w:hAnsi="Times New Roman"/>
          <w:sz w:val="20"/>
          <w:szCs w:val="20"/>
          <w:color w:val="auto"/>
        </w:rPr>
      </w:pPr>
    </w:p>
    <w:p>
      <w:pPr>
        <w:ind w:left="1080" w:hanging="353"/>
        <w:spacing w:after="0" w:line="280" w:lineRule="auto"/>
        <w:tabs>
          <w:tab w:leader="none" w:pos="10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availability of third-party coverage and adequate reimbursement; any restrictions on the use of the drug together with other medications; and the awareness and support from key opinion leaders in cardiology.</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Our efforts to educate physicians, patients, third-party payors and others in the medical community on the benefits of CARDAMYST, any subsequent etripamil indications or any future product candidates may require significant resources and may never be successful. Because we expect sales of CARDAMYST, any subsequent etripamil indications or any future product candidates, if approved, to generate substantially all of our revenues for the foreseeable future, the failure of these product candidates to find market acceptance would harm our business.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success of etripamil for the treatment of PSVT will be dependent on its proper use.</w:t>
      </w:r>
    </w:p>
    <w:p>
      <w:pPr>
        <w:spacing w:after="0" w:line="23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While we have designed etripamil to be self-administered, we cannot control the successful use of the product. While we have conducted, and intend in the future to conduct, human factors studies to determine how to optimize the instructions for use, the results in our clinical trials may not be replicated by users in the future. If we are not successful in promoting the proper use of etripamil, we may not be able to achieve market acceptance or effectively commercialize the drug. In addition, even in the event of proper use of etripamil, individual devices may fail.</w:t>
      </w:r>
    </w:p>
    <w:p>
      <w:pPr>
        <w:spacing w:after="0" w:line="19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the market opportunities for CARDAMYST, any subsequent indications for etripamil and any future product candidates are smaller than we estimate, our business may suffer.</w:t>
      </w:r>
    </w:p>
    <w:p>
      <w:pPr>
        <w:spacing w:after="0" w:line="16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Our eligible patient population may differ significantly from the actual market addressable by our products and product candidates. Our projections of both the number of people who have these conditions, as well as the subset of people with these diseases who have the potential to benefit from treatment with our product candidates, are based on our beliefs and estimates. These estimates have been derived from a variety of sources, including scientific literature, insurance claims databases, or market research, and may prove to be incorrect. Further, new studies may change the estimated incidence or prevalence of these diseases. The number of patients may turn out to be lower than expected. Likewise, the potentially addressable patient population for each of our product candidates may be limited or may not be amenable to treatment with our product candidates, and new patients may become increasingly difficult to identify or access. If the market opportunities for our product candidates are smaller than we estimate, our business and results of operations could be adversely affected.</w:t>
      </w:r>
    </w:p>
    <w:p>
      <w:pPr>
        <w:spacing w:after="0" w:line="20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face substantial competition, which may result in others developing or commercializing drugs before or more successfully than us.</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development and commercialization of new drugs is highly competitive. We may face competition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9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More established companies may have a competitive advantage over us due to their greater size, resources, and institutional experience. In particular, these companies have greater experience and expertise in securing reimbursement, negotiating government contracts, establishing relationships with key opinion leaders, conducting testing and clinical trials, obtaining and maintaining regulatory approvals, and distribution relationships. These companies also have significantly greater research and marketing capabilities than we do. If we are not able to compete effectively against existing and potential competitors, our business and financial condition may be harmed.</w:t>
      </w:r>
    </w:p>
    <w:p>
      <w:pPr>
        <w:spacing w:after="0" w:line="19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9"/>
          <w:szCs w:val="19"/>
          <w:color w:val="auto"/>
        </w:rPr>
        <w:t>As a result of these factors, our competitors may obtain regulatory approval of their drugs before we are able to, which may limit our ability to develop or commercialize future product candidates. Our competitors may also develop therapies that are safer, more effective, more widely accepted or less expensive than ours, and may also be more successful than we</w:t>
      </w:r>
    </w:p>
    <w:p>
      <w:pPr>
        <w:sectPr>
          <w:pgSz w:w="11880" w:h="15480" w:orient="portrait"/>
          <w:cols w:equalWidth="0" w:num="1">
            <w:col w:w="9720"/>
          </w:cols>
          <w:pgMar w:left="1080" w:top="1065"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880" w:h="15480" w:orient="portrait"/>
          <w:cols w:equalWidth="0" w:num="1">
            <w:col w:w="9720"/>
          </w:cols>
          <w:pgMar w:left="1080" w:top="1065" w:right="1080" w:bottom="544" w:gutter="0" w:footer="0" w:header="0"/>
          <w:type w:val="continuous"/>
        </w:sectPr>
      </w:pPr>
    </w:p>
    <w:bookmarkStart w:id="44" w:name="page45"/>
    <w:bookmarkEnd w:id="44"/>
    <w:p>
      <w:pPr>
        <w:jc w:val="both"/>
        <w:spacing w:after="0" w:line="280" w:lineRule="auto"/>
        <w:rPr>
          <w:sz w:val="20"/>
          <w:szCs w:val="20"/>
          <w:color w:val="auto"/>
        </w:rPr>
      </w:pPr>
      <w:r>
        <w:rPr>
          <w:rFonts w:ascii="Times New Roman" w:cs="Times New Roman" w:eastAsia="Times New Roman" w:hAnsi="Times New Roman"/>
          <w:sz w:val="20"/>
          <w:szCs w:val="20"/>
          <w:color w:val="auto"/>
        </w:rPr>
        <w:t>in manufacturing and marketing their drugs. These advantages could render our product candidates obsolete or noncompetitive before we can recover the costs of such product candidates’ development and commercialization.</w:t>
      </w:r>
    </w:p>
    <w:p>
      <w:pPr>
        <w:spacing w:after="0" w:line="16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Mergers and acquisitions in the pharmaceutical and biotechnology industries may result in even more resources being concentrated among a smaller number of our competitors. Smaller and early-stage companies may also prove to be significant competitors, particularly through collaborative arrangements with large and established companies. These third parties compete with us in recruiting and retaining qualified scientific, management, and commercial personnel, establishing clinical trial sites, and subject registration for clinical trials, as well as in acquiring technologies complementary to, or necessary for, our programs.</w:t>
      </w:r>
    </w:p>
    <w:p>
      <w:pPr>
        <w:spacing w:after="0" w:line="1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commercialize etripamil or any future product candidates outside of the United States, a variety of risks associated with international operations could harm our business.</w:t>
      </w:r>
    </w:p>
    <w:p>
      <w:pPr>
        <w:spacing w:after="0" w:line="1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intend to seek approval to market etripamil outside of the United States and may do so for future product candidates. If we market approved products outside of the United States, we expect that we will be subject to additional risks in commercialization including:</w:t>
      </w:r>
    </w:p>
    <w:p>
      <w:pPr>
        <w:spacing w:after="0" w:line="183" w:lineRule="exact"/>
        <w:rPr>
          <w:sz w:val="20"/>
          <w:szCs w:val="20"/>
          <w:color w:val="auto"/>
        </w:rPr>
      </w:pPr>
    </w:p>
    <w:p>
      <w:pPr>
        <w:ind w:left="1080" w:hanging="353"/>
        <w:spacing w:after="0"/>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different regulatory requirements for approval of therapies in foreign countries;</w:t>
      </w:r>
    </w:p>
    <w:p>
      <w:pPr>
        <w:spacing w:after="0" w:line="240"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reduced protection for intellectual property rights;</w:t>
      </w:r>
    </w:p>
    <w:p>
      <w:pPr>
        <w:spacing w:after="0" w:line="240"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unexpected changes in tariffs, trade barriers and regulatory requirements;</w:t>
      </w:r>
    </w:p>
    <w:p>
      <w:pPr>
        <w:spacing w:after="0" w:line="239"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weakness, including inflation, or political instability in particular foreign economies and markets;</w:t>
      </w:r>
    </w:p>
    <w:p>
      <w:pPr>
        <w:spacing w:after="0" w:line="240"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with tax, employment, immigration, and labor laws for employees living or traveling abroad;</w:t>
      </w:r>
    </w:p>
    <w:p>
      <w:pPr>
        <w:spacing w:after="0" w:line="239" w:lineRule="exact"/>
        <w:rPr>
          <w:rFonts w:ascii="Times New Roman" w:cs="Times New Roman" w:eastAsia="Times New Roman" w:hAnsi="Times New Roman"/>
          <w:sz w:val="20"/>
          <w:szCs w:val="20"/>
          <w:color w:val="auto"/>
        </w:rPr>
      </w:pPr>
    </w:p>
    <w:p>
      <w:pPr>
        <w:ind w:left="1080" w:hanging="353"/>
        <w:spacing w:after="0" w:line="280" w:lineRule="auto"/>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foreign currency fluctuations, which could result in increased operating expenses and reduced revenues, and other obligations incident to doing business in another country;</w:t>
      </w:r>
    </w:p>
    <w:p>
      <w:pPr>
        <w:spacing w:after="0" w:line="164"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foreign reimbursement, pricing, and insurance regimes;</w:t>
      </w:r>
    </w:p>
    <w:p>
      <w:pPr>
        <w:spacing w:after="0" w:line="239"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workforce uncertainty in countries where labor unrest is more common than in the United States;</w:t>
      </w:r>
    </w:p>
    <w:p>
      <w:pPr>
        <w:spacing w:after="0" w:line="240" w:lineRule="exact"/>
        <w:rPr>
          <w:rFonts w:ascii="Times New Roman" w:cs="Times New Roman" w:eastAsia="Times New Roman" w:hAnsi="Times New Roman"/>
          <w:sz w:val="20"/>
          <w:szCs w:val="20"/>
          <w:color w:val="auto"/>
        </w:rPr>
      </w:pPr>
    </w:p>
    <w:p>
      <w:pPr>
        <w:ind w:left="1080" w:hanging="353"/>
        <w:spacing w:after="0" w:line="280" w:lineRule="auto"/>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production shortages resulting from any events affecting raw material supply or manufacturing capabilities abroad; and</w:t>
      </w:r>
    </w:p>
    <w:p>
      <w:pPr>
        <w:spacing w:after="0" w:line="162" w:lineRule="exact"/>
        <w:rPr>
          <w:rFonts w:ascii="Times New Roman" w:cs="Times New Roman" w:eastAsia="Times New Roman" w:hAnsi="Times New Roman"/>
          <w:sz w:val="20"/>
          <w:szCs w:val="20"/>
          <w:color w:val="auto"/>
        </w:rPr>
      </w:pPr>
    </w:p>
    <w:p>
      <w:pPr>
        <w:jc w:val="both"/>
        <w:ind w:left="1080" w:hanging="353"/>
        <w:spacing w:after="0" w:line="260" w:lineRule="auto"/>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interruptions resulting from pandemics and public health crisis (such as the COVID-19 pandemic), geopolitical actions, including war , and terrorism or natural disasters including earthquakes, typhoons, floods and fires.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have no prior experience in these areas. In addition, there are complex regulatory, tax, labor, and other legal requirements imposed by many of the individual countries in and outside of Europe with which we will need to comply. Many biopharmaceutical companies have found the process of marketing their own products in foreign countries to be very challenging.</w:t>
      </w:r>
    </w:p>
    <w:p>
      <w:pPr>
        <w:spacing w:after="0" w:line="19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pharmaceutical industry in China is highly regulated, and such regulations are subject to change, which may negatively affect the commercialization of the Company’s medicines and drug candidates in that country.</w:t>
      </w:r>
    </w:p>
    <w:p>
      <w:pPr>
        <w:spacing w:after="0" w:line="1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 May 15, 2021, the Company entered into a license and collaboration agreement, or the License Agreement, with Corxel, which is an entity affiliated with RTW Investments, LP, or “RTW,” an existing shareholder of the Company. Under the License Agreement, the Company granted Corxel exclusive development and commercialization rights to any pharmaceutical product that uses a device to deliver etripamil by nasal spray for all prophylactic and therapeutic uses in</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880" w:h="15480" w:orient="portrait"/>
          <w:cols w:equalWidth="0" w:num="1">
            <w:col w:w="9720"/>
          </w:cols>
          <w:pgMar w:left="1080" w:top="1064" w:right="1080" w:bottom="544" w:gutter="0" w:footer="0" w:header="0"/>
          <w:type w:val="continuous"/>
        </w:sectPr>
      </w:pPr>
    </w:p>
    <w:bookmarkStart w:id="45" w:name="page46"/>
    <w:bookmarkEnd w:id="45"/>
    <w:p>
      <w:pPr>
        <w:jc w:val="both"/>
        <w:spacing w:after="0" w:line="244" w:lineRule="auto"/>
        <w:rPr>
          <w:sz w:val="20"/>
          <w:szCs w:val="20"/>
          <w:color w:val="auto"/>
        </w:rPr>
      </w:pPr>
      <w:r>
        <w:rPr>
          <w:rFonts w:ascii="Times New Roman" w:cs="Times New Roman" w:eastAsia="Times New Roman" w:hAnsi="Times New Roman"/>
          <w:sz w:val="20"/>
          <w:szCs w:val="20"/>
          <w:color w:val="auto"/>
        </w:rPr>
        <w:t>humans in the following territories: People’s Republic of China, including mainland China, Hong Kong, Macau, and Taiwan. The pharmaceutical industry in China is subject to comprehensive government regulation and supervision, encompassing the approval, registration, manufacturing, packaging, licensing, and marketing of new medicines. In recent years, the regulatory framework in China for pharmaceutical companies has undergone significant changes, and the Company expects that such changes will continue in the foreseeable future. Any such change may cause delays in or prevent the successful research, development, manufacturing, or commercialization of etripamil in the greater China region and may reduce the current benefits the Company believes are available to it from licensing such products to be developed, manufactured, and sold in the greater China region. In addition, any failure by the Company or its partners to maintain compliance with applicable laws and regulations or obtain and maintain required licenses and permits may result in the suspension or termination of its business activities in China or create other legal risks and the continuing compliance of such changing regulation may require the Company to incur substantial legal and regulatory expenses.</w:t>
      </w:r>
    </w:p>
    <w:p>
      <w:pPr>
        <w:spacing w:after="0" w:line="201"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Coverage and adequate reimbursement may not be available for CARDAMSYT or any future product candidates, which could make it difficult for us to gain market acceptance.</w:t>
      </w:r>
    </w:p>
    <w:p>
      <w:pPr>
        <w:spacing w:after="0" w:line="165" w:lineRule="exact"/>
        <w:rPr>
          <w:sz w:val="20"/>
          <w:szCs w:val="20"/>
          <w:color w:val="auto"/>
        </w:rPr>
      </w:pPr>
    </w:p>
    <w:p>
      <w:pPr>
        <w:jc w:val="both"/>
        <w:ind w:firstLine="1"/>
        <w:spacing w:after="0" w:line="253" w:lineRule="auto"/>
        <w:rPr>
          <w:sz w:val="20"/>
          <w:szCs w:val="20"/>
          <w:color w:val="auto"/>
        </w:rPr>
      </w:pPr>
      <w:r>
        <w:rPr>
          <w:rFonts w:ascii="Times New Roman" w:cs="Times New Roman" w:eastAsia="Times New Roman" w:hAnsi="Times New Roman"/>
          <w:sz w:val="19"/>
          <w:szCs w:val="19"/>
          <w:color w:val="auto"/>
        </w:rPr>
        <w:t>Market acceptance and sales of any product candidates that we commercialize, will depend in part on the extent to which reimbursement for these drugs and related treatments will be available from third-party payors, including government health administration authorities, managed care organizations and other private health insurers. Third-party payors decide which therapies are reimbursed and establish reimbursement levels. While no uniform policy for coverage and reimbursement exists in the United States, third-party payors often rely upon Medicare coverage policy and payment limitations in setting their own coverage and reimbursement policies. However, decisions regarding the extent of coverage and amount of reimbursement to be provided for any product candidates that we develop will be made on a payor-by-payor basis. Therefore, one payor’s determination to provide coverage for a drug does not assure that other payors will also provide coverage, and adequate reimbursement, for the drug. Additionally, a third-party payor’s decision to provide coverage for a therapy does not imply that an adequate reimbursement rate will be approved. Each payor determines whether or not it will provide coverage for a therapy, what amount it will pay the manufacturer for the therapy, and on what tier of its formulary it will be placed. The position on a payor’s list of covered drugs, or formulary, generally determines the copayment that a patient will need to make to obtain the therapy and can strongly 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our products unless coverage is provided and reimbursement is adequate to cover a significant portion of the cost of our products. Further, the increased emphasis on cost containment in the United States and abroad will put additional pressure on product pricing, reimbursement and usage. For example, HHS imposes rebates on many Medicare Part B and Medicare Part D products to penalize price increases that outpace inflation on an annual basis. HHS has also been empowered to negotiate the price of certain single-source drugs that have been on the market for at least seven (7) years covered under Medicare as part of the Medicare Drug Price Negotiation Program. Each year up to twenty</w:t>
      </w:r>
    </w:p>
    <w:p>
      <w:pPr>
        <w:spacing w:after="0" w:line="225" w:lineRule="exact"/>
        <w:rPr>
          <w:sz w:val="20"/>
          <w:szCs w:val="20"/>
          <w:color w:val="auto"/>
        </w:rPr>
      </w:pPr>
    </w:p>
    <w:p>
      <w:pPr>
        <w:jc w:val="both"/>
        <w:ind w:firstLine="7"/>
        <w:spacing w:after="0" w:line="259" w:lineRule="auto"/>
        <w:tabs>
          <w:tab w:leader="none" w:pos="377"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products will be selected by HHS for the Medicare Drug Price Negotiation Program. Products subject to the Medicare Drug Price Negotiation Program are expected to experience a significant reduction in reimbursement from the Medicare program on a per unit basis.</w:t>
      </w:r>
    </w:p>
    <w:p>
      <w:pPr>
        <w:spacing w:after="0" w:line="18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Third - party payors have attempted to control costs by limiting coverage and the amount of reimbursement for particular medications. We cannot be sure that coverage and reimbursement will be available for any drug that we commercialize and, if reimbursement is available, what the level of reimbursement will be. Inadequate coverage and reimbursement may impact the demand for, or the price of, any drug for which we obtain marketing approval. If coverage and adequate reimbursement are not available, or are available only to limited levels, we may not be able to successfully commercialize etripamil or any future product candidates that we develop.</w:t>
      </w:r>
    </w:p>
    <w:p>
      <w:pPr>
        <w:spacing w:after="0" w:line="193"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9"/>
          <w:szCs w:val="19"/>
          <w:color w:val="auto"/>
        </w:rPr>
        <w:t>In addition, we expect that the increased emphasis on managed care and cost containment measures in the United States by third - party payors and government authorities will continue and will place pressure on pharmaceutical pricing and coverage. Coverage policies and third - party reimbursement rates may change at any time. Therefore, even if favorable coverage and reimbursement status is attained for one or more drug products for which we receive regulatory approval, less favorable coverage policies and reimbursement rates may be implemented in the future. If we are unable to obtain and maintain sufficient third - party coverage and adequate reimbursement for our drug products, the commercial success</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880" w:h="15480" w:orient="portrait"/>
          <w:cols w:equalWidth="0" w:num="1">
            <w:col w:w="9720"/>
          </w:cols>
          <w:pgMar w:left="1080" w:top="1064" w:right="1080" w:bottom="544" w:gutter="0" w:footer="0" w:header="0"/>
          <w:type w:val="continuous"/>
        </w:sectPr>
      </w:pPr>
    </w:p>
    <w:bookmarkStart w:id="46" w:name="page47"/>
    <w:bookmarkEnd w:id="46"/>
    <w:p>
      <w:pPr>
        <w:ind w:right="320"/>
        <w:spacing w:after="0" w:line="280" w:lineRule="auto"/>
        <w:rPr>
          <w:sz w:val="20"/>
          <w:szCs w:val="20"/>
          <w:color w:val="auto"/>
        </w:rPr>
      </w:pPr>
      <w:r>
        <w:rPr>
          <w:rFonts w:ascii="Times New Roman" w:cs="Times New Roman" w:eastAsia="Times New Roman" w:hAnsi="Times New Roman"/>
          <w:sz w:val="20"/>
          <w:szCs w:val="20"/>
          <w:color w:val="auto"/>
        </w:rPr>
        <w:t>of our drug products may be greatly hindered, and our financial condition and results of operations may be materially and adversely affected.</w:t>
      </w:r>
    </w:p>
    <w:p>
      <w:pPr>
        <w:spacing w:after="0" w:line="15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Product liability lawsuits against us could cause us to incur substantial liabilities and could limit commercialization of any product candidates that we may develop.</w:t>
      </w:r>
    </w:p>
    <w:p>
      <w:pPr>
        <w:spacing w:after="0" w:line="1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face an inherent risk of product liability exposure related to commercializing etripamil or testing and commercializing any future product candidates in clinical trials. If we cannot successfully defend ourselves against claims that any such product candidates caused injuries, we could incur substantial liabilities. Regardless of merit or eventual outcome, liability claims may result in:</w:t>
      </w:r>
    </w:p>
    <w:p>
      <w:pPr>
        <w:spacing w:after="0" w:line="191" w:lineRule="exact"/>
        <w:rPr>
          <w:sz w:val="20"/>
          <w:szCs w:val="20"/>
          <w:color w:val="auto"/>
        </w:rPr>
      </w:pPr>
    </w:p>
    <w:p>
      <w:pPr>
        <w:ind w:left="1080" w:hanging="353"/>
        <w:spacing w:after="0"/>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decreased demand for any product candidate that we may develop;</w:t>
      </w:r>
    </w:p>
    <w:p>
      <w:pPr>
        <w:spacing w:after="0" w:line="239"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of revenue;</w:t>
      </w:r>
    </w:p>
    <w:p>
      <w:pPr>
        <w:spacing w:after="0" w:line="240"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substantial monetary awards to trial participants or patients;</w:t>
      </w:r>
    </w:p>
    <w:p>
      <w:pPr>
        <w:spacing w:after="0" w:line="240"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time and costs to defend the related litigation;</w:t>
      </w:r>
    </w:p>
    <w:p>
      <w:pPr>
        <w:spacing w:after="0" w:line="239"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withdrawal of clinical trial participants;</w:t>
      </w:r>
    </w:p>
    <w:p>
      <w:pPr>
        <w:spacing w:after="0" w:line="240"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insurance costs;</w:t>
      </w:r>
    </w:p>
    <w:p>
      <w:pPr>
        <w:spacing w:after="0" w:line="240"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inability to commercialize any product candidate that we may develop; and</w:t>
      </w:r>
    </w:p>
    <w:p>
      <w:pPr>
        <w:spacing w:after="0" w:line="239"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injury to our reputation and significant negative media attention.</w:t>
      </w:r>
    </w:p>
    <w:p>
      <w:pPr>
        <w:spacing w:after="0" w:line="24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Although we maintain clinical trial liability insurance coverage with maximum coverage of $10 million per incident and an aggregate loss limit of $ 10 million such insurance may not be adequate to cover all liabilities that we may incur with a medical product during the clinical trials. We anticipate that we will need to increase our insurance coverage each time we commence a clinical trial and maintain a product liability insurance if we successfully commercialize any product candidate. Insurance coverage is increasingly expensive. We may not be able to maintain insurance coverage at a reasonable cost or in an amount adequate to satisfy any liability that may arise.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Regulatory Compliance</w:t>
      </w:r>
    </w:p>
    <w:p>
      <w:pPr>
        <w:spacing w:after="0" w:line="24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Even if we maintain approval for CARDAMYST, or we obtain and maintain approval for subsequent etripamil indications or any future product candidates from the FDA, we may never obtain approval of etripamil or any future product candidates outside of the United States, which would limit our market opportunities and could harm our business.</w:t>
      </w:r>
    </w:p>
    <w:p>
      <w:pPr>
        <w:spacing w:after="0" w:line="19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Approval of a product candidate in the United States by the FDA does not ensure approval of such product candidate by regulatory authorities in other countries or jurisdictions, and approval by one foreign regulatory authority does not ensure approval by regulatory authorities in other foreign countries or by the FDA. Sales of etripamil or any future product candidates outside of the United States will be subject to foreign regulatory requirements governing clinical trials and marketing approval. Even if the FDA grants marketing approval for a product candidate, comparable foreign regulatory authorities also must approve the manufacturing and marketing of the product candidate in those countries. Approval procedures vary among jurisdictions and can involve requirements and administrative review periods different from, and more onerous than, those in the United States, including additional preclinical studies or clinical trials. In many countries outside the United States, a product candidate must be approved for reimbursement before it can be approved for sale in that country. In some cases, the price that we intend to charge for any product candidates, if approved, is also subject to approval. Obtaining approval for etripamil or any future product candidates in the European Union from the European Commission following the opinion of the European Medicines Agency, if we choose to submit a marketing authorization</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880" w:h="15480" w:orient="portrait"/>
          <w:cols w:equalWidth="0" w:num="1">
            <w:col w:w="9720"/>
          </w:cols>
          <w:pgMar w:left="1080" w:top="1064" w:right="1080" w:bottom="544" w:gutter="0" w:footer="0" w:header="0"/>
          <w:type w:val="continuous"/>
        </w:sectPr>
      </w:pPr>
    </w:p>
    <w:bookmarkStart w:id="47" w:name="page48"/>
    <w:bookmarkEnd w:id="47"/>
    <w:p>
      <w:pPr>
        <w:jc w:val="both"/>
        <w:spacing w:after="0" w:line="248" w:lineRule="auto"/>
        <w:rPr>
          <w:sz w:val="20"/>
          <w:szCs w:val="20"/>
          <w:color w:val="auto"/>
        </w:rPr>
      </w:pPr>
      <w:r>
        <w:rPr>
          <w:rFonts w:ascii="Times New Roman" w:cs="Times New Roman" w:eastAsia="Times New Roman" w:hAnsi="Times New Roman"/>
          <w:sz w:val="20"/>
          <w:szCs w:val="20"/>
          <w:color w:val="auto"/>
        </w:rPr>
        <w:t>application there, would be a lengthy and expensive process. Even if a product candidate is approved, the FDA or the European Commission, as the case may be, may limit the indications for which the drug may be marketed, require extensive warnings on the drug labeling or require expensive and time - consuming additional clinical trials or reporting as conditions of approval. Obtaining foreign regulatory approvals and compliance with foreign regulatory requirements could result in significant delays, difficulties and costs for us and could delay or prevent the introduction of etripamil or any future product candidates in certain countries.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Further, clinical trials conducted in one country may not be accepted by regulatory authorities in other countries. Also, regulatory approval for our product candidates may be withdrawn. If we fail to comply with the regulatory requirements, our target market will be reduced and our ability to realize the full market potential of etripamil or any future product candidates will be harmed and our business, financial condition, results of operations and prospects could be harmed.</w:t>
      </w:r>
    </w:p>
    <w:p>
      <w:pPr>
        <w:spacing w:after="0" w:line="19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CARDAMYST, and any subsequent etripamil indications or any future product candidates, if approved, will remain subject to ongoing regulatory oversight.</w:t>
      </w:r>
    </w:p>
    <w:p>
      <w:pPr>
        <w:spacing w:after="0" w:line="16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CARDAMYST, and any subsequent etripamil indications or any future product candidates, if approved, will be subject to ongoing regulatory requirements for manufacturing, labeling, packaging, storage, advertising, promotion, sampling, record - keeping, and submission of safety and other post - market information. Any regulatory approvals that we receive for etripamil or any future product candidates may also be subject to a REMS, limitations on the approved indicated uses for which the drug may be marketed or to the conditions of approval, or contain requirements for potentially costly post - marketing testing, including Phase 4 trials, and surveillance to monitor the quality, safety, and efficacy of the drug. Such regulatory requirements may differ from country to country depending on where we have received regulatory approval.</w:t>
      </w:r>
    </w:p>
    <w:p>
      <w:pPr>
        <w:spacing w:after="0" w:line="200" w:lineRule="exact"/>
        <w:rPr>
          <w:sz w:val="20"/>
          <w:szCs w:val="20"/>
          <w:color w:val="auto"/>
        </w:rPr>
      </w:pPr>
    </w:p>
    <w:p>
      <w:pPr>
        <w:spacing w:after="0" w:line="23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addition, drug manufacturers and their facilities are subject to payment of user fees and continual review and periodic inspections by the FDA and other regulatory authorities for compliance with cGMP requirements and adherence to commitments made in the NDA or foreign marketing application. If we, or a regulatory authority, discover previously unknown problems with a drug, such as adverse events of unanticipated severity or frequency, or problems with the facility where the drug is manufactured or if a regulatory authority disagrees with the promotion, marketing, or labeling of that drug, a regulatory authority may impose restrictions relative to that drug, the manufacturing facility or us, including requesting a recall or requiring withdrawal of the drug from the market or suspension of manufacturing.</w:t>
      </w:r>
    </w:p>
    <w:p>
      <w:pPr>
        <w:spacing w:after="0" w:line="201"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20"/>
          <w:szCs w:val="20"/>
          <w:color w:val="auto"/>
        </w:rPr>
        <w:t>If we fail to comply with applicable regulatory requirements for CARDAMYST or any subsequent etripamil indications, a regulatory authority may:</w:t>
      </w:r>
    </w:p>
    <w:p>
      <w:pPr>
        <w:spacing w:after="0" w:line="164" w:lineRule="exact"/>
        <w:rPr>
          <w:sz w:val="20"/>
          <w:szCs w:val="20"/>
          <w:color w:val="auto"/>
        </w:rPr>
      </w:pPr>
    </w:p>
    <w:p>
      <w:pPr>
        <w:ind w:left="1080" w:hanging="353"/>
        <w:spacing w:after="0"/>
        <w:tabs>
          <w:tab w:leader="none" w:pos="10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 an untitled letter or warning letter asserting that we are in violation of the law;</w:t>
      </w:r>
    </w:p>
    <w:p>
      <w:pPr>
        <w:spacing w:after="0" w:line="239"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an injunction or impose administrative, civil or criminal penalties or monetary fines;</w:t>
      </w:r>
    </w:p>
    <w:p>
      <w:pPr>
        <w:spacing w:after="0" w:line="240"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suspend or withdraw regulatory approval;</w:t>
      </w:r>
    </w:p>
    <w:p>
      <w:pPr>
        <w:spacing w:after="0" w:line="240"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suspend any ongoing clinical trials;</w:t>
      </w:r>
    </w:p>
    <w:p>
      <w:pPr>
        <w:spacing w:after="0" w:line="239" w:lineRule="exact"/>
        <w:rPr>
          <w:rFonts w:ascii="Times New Roman" w:cs="Times New Roman" w:eastAsia="Times New Roman" w:hAnsi="Times New Roman"/>
          <w:sz w:val="20"/>
          <w:szCs w:val="20"/>
          <w:color w:val="auto"/>
        </w:rPr>
      </w:pPr>
    </w:p>
    <w:p>
      <w:pPr>
        <w:ind w:left="1080" w:hanging="353"/>
        <w:spacing w:after="0" w:line="280" w:lineRule="auto"/>
        <w:tabs>
          <w:tab w:leader="none" w:pos="10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refuse to approve a pending NDA or comparable foreign marketing application or any supplements thereto submitted by us or our partners;</w:t>
      </w:r>
    </w:p>
    <w:p>
      <w:pPr>
        <w:spacing w:after="0" w:line="164"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 the marketing or manufacturing of the drug;</w:t>
      </w:r>
    </w:p>
    <w:p>
      <w:pPr>
        <w:spacing w:after="0" w:line="239"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seize or detain the drug or otherwise require the withdrawal of the drug from the market;</w:t>
      </w:r>
    </w:p>
    <w:p>
      <w:pPr>
        <w:spacing w:after="0" w:line="240"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refuse to permit the import or export of product candidates; or</w:t>
      </w:r>
    </w:p>
    <w:p>
      <w:pPr>
        <w:spacing w:after="0" w:line="240"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refuse to allow us to enter into supply contracts, including government contracts.</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880" w:h="15480" w:orient="portrait"/>
          <w:cols w:equalWidth="0" w:num="1">
            <w:col w:w="9720"/>
          </w:cols>
          <w:pgMar w:left="1080" w:top="1064" w:right="1080" w:bottom="544" w:gutter="0" w:footer="0" w:header="0"/>
          <w:type w:val="continuous"/>
        </w:sectPr>
      </w:pPr>
    </w:p>
    <w:bookmarkStart w:id="48" w:name="page49"/>
    <w:bookmarkEnd w:id="48"/>
    <w:p>
      <w:pPr>
        <w:jc w:val="both"/>
        <w:spacing w:after="0" w:line="245" w:lineRule="auto"/>
        <w:rPr>
          <w:sz w:val="20"/>
          <w:szCs w:val="20"/>
          <w:color w:val="auto"/>
        </w:rPr>
      </w:pPr>
      <w:r>
        <w:rPr>
          <w:rFonts w:ascii="Times New Roman" w:cs="Times New Roman" w:eastAsia="Times New Roman" w:hAnsi="Times New Roman"/>
          <w:sz w:val="20"/>
          <w:szCs w:val="20"/>
          <w:color w:val="auto"/>
        </w:rPr>
        <w:t>Moreover, the FDA strictly regulates the promotional claims that may be made about drug products. In particular, a product may not be promoted for uses that are not approved by the FDA as reflected in the product’s approved labeling. Physicians, on the other hand, may prescribe products for off-label uses. Although the FDA and other regulatory agencies do not regulate a physician’s choice of drug treatment made in the physician’s independent medical judgment, they do regulate promotional communications from companies or their sales force with respect to off-label uses of products for which marketing clearance has not been issued. However, biopharmaceutical companies may share truthful and not misleading information that is otherwise consistent with the labeling. The FDA and other agencies actively enforce the laws and regulations prohibiting the promotion of off - label uses, and a company that is found to have improperly promoted off - label uses may be subject to significant civil, criminal, and administrative penalties.</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etripamil or any future product candidates and harm our business, financial condition, results of operations and prospects.</w:t>
      </w:r>
    </w:p>
    <w:p>
      <w:pPr>
        <w:spacing w:after="0" w:line="19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19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In addition, we cannot predict the likelihood, nature or extent of government regulation that may arise from future legislation or administrative or executive action, either in the United States or abroad.</w:t>
      </w:r>
    </w:p>
    <w:p>
      <w:pPr>
        <w:spacing w:after="0" w:line="1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Our relationships with customers, physicians, and third-party payors are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18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Healthcare providers, including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data privacy and security laws, transparency laws, and other healthcare laws that may constrain the business or financial arrangements and relationships through which we research, sell, market, and distribute our products, if we obtain marketing approval.</w:t>
      </w:r>
    </w:p>
    <w:p>
      <w:pPr>
        <w:spacing w:after="0" w:line="19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federal Anti - Kickback Statute prohibits the offer, receipt, or payment of remuneration in exchange for or to induce the referral of patients or the use of products or services that would be paid for in whole or part by Medicare, Medicaid, or other federal healthcare programs. Remuneration has been broadly defined to include anything of value, including cash, improper discounts, and free or reduced-price items and services. Additionally, the intent standard under the federal Anti - Kickback Statute was amended by PPACA, to a stricter standard such that a person or entity does not need to have actual knowledge of the statute or specific intent to violate it in order to have committed a violation. Further, PPACA codified case law that a claim including items or services resulting from a violation of the federal Anti - Kickback Statute constitutes a false or fraudulent claim for purposes of the False Claims Act.</w:t>
      </w:r>
    </w:p>
    <w:p>
      <w:pPr>
        <w:spacing w:after="0" w:line="2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federal false claims, including the False Claims Act, and civil monetary penalties laws, which prohibit individuals or entities from, among other things, knowingly presenting, or causing to be presented, false or fraudulent claims for payment of federal funds, and knowingly making, or causing to be made, a false record or statement material to a false or fraudulent claim to avoid, decrease or conceal an obligation to pay money to the federal government.</w:t>
      </w:r>
    </w:p>
    <w:p>
      <w:pPr>
        <w:spacing w:after="0" w:line="19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9"/>
          <w:szCs w:val="19"/>
          <w:color w:val="auto"/>
        </w:rPr>
        <w:t>The federal Health Information Insurance Portability and Accountability Act of 1996, or “HIPAA,” prohibits, among other things, knowingly and willfully executing, or attempting to execute, a scheme to defraud any healthcare benefit program, or knowingly and willfully falsifying, concealing, or covering up a material fact or making any materially false statement,</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880" w:h="15480" w:orient="portrait"/>
          <w:cols w:equalWidth="0" w:num="1">
            <w:col w:w="9720"/>
          </w:cols>
          <w:pgMar w:left="1080" w:top="1064" w:right="1080" w:bottom="544" w:gutter="0" w:footer="0" w:header="0"/>
          <w:type w:val="continuous"/>
        </w:sectPr>
      </w:pPr>
    </w:p>
    <w:bookmarkStart w:id="49" w:name="page50"/>
    <w:bookmarkEnd w:id="49"/>
    <w:p>
      <w:pPr>
        <w:jc w:val="both"/>
        <w:spacing w:after="0" w:line="260" w:lineRule="auto"/>
        <w:rPr>
          <w:sz w:val="20"/>
          <w:szCs w:val="20"/>
          <w:color w:val="auto"/>
        </w:rPr>
      </w:pPr>
      <w:r>
        <w:rPr>
          <w:rFonts w:ascii="Times New Roman" w:cs="Times New Roman" w:eastAsia="Times New Roman" w:hAnsi="Times New Roman"/>
          <w:sz w:val="20"/>
          <w:szCs w:val="20"/>
          <w:color w:val="auto"/>
        </w:rPr>
        <w:t>in connection with the delivery of, or payment for, healthcare benefits, items, or services. Similar to the U.S. federal Anti - Kickback Statute, a person or entity does not need to have actual knowledge of the statute or specific intent to violate it in order to have committed a violation.</w:t>
      </w:r>
    </w:p>
    <w:p>
      <w:pPr>
        <w:spacing w:after="0" w:line="18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HIPAA, as amended by the Health Information Technology for Economic and Clinical Health Act, or “HITECH,” also imposes, among other things, certain standards and obligations on covered entities including certain healthcare providers, health plans, and healthcare clearinghouses, and their respective business associates that create, receive, maintain, or transmit individually identifiable health information for or on behalf of a covered entity as well as their covered subcontractors relating to the privacy, security, transmission, and breach reporting of individually identifiable health information.</w:t>
      </w:r>
    </w:p>
    <w:p>
      <w:pPr>
        <w:spacing w:after="0" w:line="19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The federal Physician Payments Sunshine Act, and its implementing regulations, require certain manufacturers of drugs, devices, biologics, and medical supplies that are reimbursable under Medicare, Medicaid, or the Children’s Health Insurance Program to report annually to Centers for Medicare &amp; Medicaid Services information related to certain payments and other transfers of value to physicians (defined to include doctors, dentists, optometrists, podiatrists, and chiropractors), other healthcare professionals (such as physician assistants and nurse practitioners), and teaching hospitals, as well as ownership and investment interests held by the physicians described above and their immediate family members.</w:t>
      </w:r>
    </w:p>
    <w:p>
      <w:pPr>
        <w:spacing w:after="0" w:line="18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will also be subject to healthcare regulation and enforcement by the U.S. federal government and the states and any other countries in which we conduct our business, including our research, and the sales, marketing, and distribution of our product candidates and products once they have obtained marketing authorization.</w:t>
      </w:r>
    </w:p>
    <w:p>
      <w:pPr>
        <w:spacing w:after="0" w:line="1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Additionally, some state and local laws require certain regulatory licenses to manufacture or distribute our products commercially and/or the registration of pharmaceutical sales representatives in the jurisdiction. Further,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20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Ensuring that our business arrangements with third parties comply with applicable healthcare laws and regulations will likely be costly.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participating in government-funded healthcare programs, such as Medicare and Medicaid, additional reporting requirements and oversight if we become subject to a corporate integrity agreement or similar agreement to resolve allegations of non - compliance with these laws, contractual damages, reputational harm, and the curtailment or restructuring of our operations.</w:t>
      </w:r>
    </w:p>
    <w:p>
      <w:pPr>
        <w:spacing w:after="0" w:line="20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If the physicians or other providers or entities with whom we expect to do business are found not to be in compliance with applicable laws, they may be subject to significant criminal, civil, or administrative sanctions, including exclusions from government-funded healthcare programs. 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shares. Such litigation or proceedings could substantially increase our operating losses and reduce the resources available for development, manufacturing, sales, marketing, or distribution activities. Uncertainties resulting from the initiation and continuation of litigation or other proceedings relating to applicable healthcare laws and regulations could have a material adverse effect on our ability to compete in the marketplace.</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880" w:h="15480" w:orient="portrait"/>
          <w:cols w:equalWidth="0" w:num="1">
            <w:col w:w="9720"/>
          </w:cols>
          <w:pgMar w:left="1080" w:top="1064" w:right="1080" w:bottom="544"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20"/>
          <w:szCs w:val="20"/>
          <w:b w:val="1"/>
          <w:bCs w:val="1"/>
          <w:i w:val="1"/>
          <w:iCs w:val="1"/>
          <w:color w:val="auto"/>
        </w:rPr>
        <w:t>Healthcare legislative reform measures may have a negative impact on our business and results of operations.</w:t>
      </w:r>
    </w:p>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 approval activities,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 For example, in March 2010 the PPACA, was passed, which substantially changed the way healthcare is financed by both governmental and private payors in the United States. There have been amendments, as well as executive, judicial and Congressional challenges, to certain aspects of the PPACA. For example, on July 4, 2025, the One Big Beautiful Bill Act, or the OBBBA, was signed into law, which narrowed access to PPACA marketplace exchange enrollment and declined to extend the PPACA enhanced advanced premium tax credits that expired at the end of 2025, which, among other provisions in the law, are anticipated to reduce the number of Americans with health insurance. The OBBBA is also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PPACA subsidies. In addition, other legislative changes have been proposed and adopted since the PPACA was enacted. These changes include aggregate reductions to Medicare payments to providers of 2% per fiscal year, which began in 2013 and will remain in effect until 2032 unless additional Congressional action is taken.</w:t>
      </w:r>
    </w:p>
    <w:p>
      <w:pPr>
        <w:spacing w:after="0" w:line="200" w:lineRule="exact"/>
        <w:rPr>
          <w:sz w:val="20"/>
          <w:szCs w:val="20"/>
          <w:color w:val="auto"/>
        </w:rPr>
      </w:pP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current administration is pursuing policies to reduce regulations and expenditures across government agencies including at HHS, the FDA, the Centers for Medicare &amp; Medicaid Services, or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 to consumer platform, or “TrumpRx”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(3) imposing tariffs on imported pharmaceutical products; and (4) as part of the Make America Healthy Again, or “MAHA,”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or “PBM,”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w:t>
      </w:r>
    </w:p>
    <w:p>
      <w:pPr>
        <w:spacing w:after="0" w:line="19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business involves the use of hazardous materials and we and our third - party manufacturers and suppliers must comply with environmental laws and regulations, which can be expensive and restrict how we do business.</w:t>
      </w:r>
    </w:p>
    <w:p>
      <w:pPr>
        <w:spacing w:after="0" w:line="1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Our research and development activities and our third - party manufacturers’ and suppliers’ activities involve the controlled storage, use and disposal of hazardous materials owned by us, including the components of etripamil and any future product candidates and other hazardous compounds. We and our manufacturers and suppliers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research and development efforts and business operations, environmental damage resulting in costly clean - up and liabilities under applicable laws and regulations governing the use, storage, handling and disposal of these materials and specified waste products. Although we believe that the safety procedures utilized by our third - party</w:t>
      </w:r>
    </w:p>
    <w:p>
      <w:pPr>
        <w:sectPr>
          <w:pgSz w:w="11880" w:h="15480" w:orient="portrait"/>
          <w:cols w:equalWidth="0" w:num="1">
            <w:col w:w="9720"/>
          </w:cols>
          <w:pgMar w:left="1080" w:top="1067" w:right="1080" w:bottom="544"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880" w:h="15480" w:orient="portrait"/>
          <w:cols w:equalWidth="0" w:num="1">
            <w:col w:w="9720"/>
          </w:cols>
          <w:pgMar w:left="1080" w:top="1067" w:right="1080" w:bottom="544" w:gutter="0" w:footer="0" w:header="0"/>
          <w:type w:val="continuous"/>
        </w:sectPr>
      </w:pPr>
    </w:p>
    <w:bookmarkStart w:id="51" w:name="page52"/>
    <w:bookmarkEnd w:id="51"/>
    <w:p>
      <w:pPr>
        <w:jc w:val="both"/>
        <w:spacing w:after="0" w:line="246" w:lineRule="auto"/>
        <w:rPr>
          <w:sz w:val="20"/>
          <w:szCs w:val="20"/>
          <w:color w:val="auto"/>
        </w:rPr>
      </w:pPr>
      <w:r>
        <w:rPr>
          <w:rFonts w:ascii="Times New Roman" w:cs="Times New Roman" w:eastAsia="Times New Roman" w:hAnsi="Times New Roman"/>
          <w:sz w:val="20"/>
          <w:szCs w:val="20"/>
          <w:color w:val="auto"/>
        </w:rPr>
        <w:t>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hazardous waste insurance coverage.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Dependence on Third Parties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We will rely on third parties to produce clinical and commercial supplies of etripamil and any future product candidates.</w:t>
      </w:r>
    </w:p>
    <w:p>
      <w:pPr>
        <w:spacing w:after="0" w:line="24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We do not own or operate facilities for drug manufacturing, storage and distribution, or testing. We are dependent on third parties to manufacture the clinical supplies of etripamil and any future product candidates. The facilities used by our contract manufacturers to manufacture etripamil and any future product candidates must be approved by the FDA pursuant to inspections. We do not control the manufacturing process of, and are completely dependent on, our contract manufacturing partners for compliance with regulatory requirements including current Good Manufacturing Practices or, “cGMPs,” for manufacture of active drug substances, nasal spray devices, and finished product candidates. If our contract manufacturers cannot successfully manufacture material that conforms to our specifications and the strict regulatory requirements of the FDA or others, we will not be able to secure and/or maintain regulatory approval for our product candidates. In addition, we have no control over the ability of our contract manufacturers to maintain adequate quality control, quality assurance and qualified personnel. We intend to use multiple contract manufacturers for clinical and commercial supply of our drug product and drug substance. As such, we will need to demonstrate to the FDA that the drug product and drug substance from these contract manufacturers are comparable, which may include conducting additional equivalence studies.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approved products and product candidates, if and when approved. Any significant delay in the supply of a product candidate, or the raw material components thereof, for an ongoing clinical trial due to the need to replace a third-party manufacturer could considerably delay completion of our clinical trials, product testing, and potential regulatory approval of our product candidates</w:t>
      </w:r>
    </w:p>
    <w:p>
      <w:pPr>
        <w:spacing w:after="0" w:line="20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Further, we also will rely on third-party manufacturers to supply us with sufficient quantities of etripamil and any future product candidates, if approved, for commercialization. We do not yet have a commercial supply agreement for the nasal spray device. If we are not able to meet market demand for any approved product, it would negatively affect our ability to generate revenue, harm our reputation, and could have a material and adverse effect on our business and financial condition. Increasing the scale of production inherently creates increased risk of manufacturing errors, and we may not be able to adequately inspect every device that is produced, and it is possible that individual devices may fail to perform as designed. Manufacturing errors could negatively impact market acceptance of any of our product candidates that receive approval, result in negative press coverage, or increase our liability.</w:t>
      </w:r>
    </w:p>
    <w:p>
      <w:pPr>
        <w:spacing w:after="0" w:line="20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Further, our reliance on third - party manufacturers entails risks to which we may not be subject if we manufactured product candidates ourselves, including:</w:t>
      </w:r>
    </w:p>
    <w:p>
      <w:pPr>
        <w:spacing w:after="0" w:line="164" w:lineRule="exact"/>
        <w:rPr>
          <w:sz w:val="20"/>
          <w:szCs w:val="20"/>
          <w:color w:val="auto"/>
        </w:rPr>
      </w:pPr>
    </w:p>
    <w:p>
      <w:pPr>
        <w:ind w:left="1080" w:hanging="353"/>
        <w:spacing w:after="0"/>
        <w:tabs>
          <w:tab w:leader="none" w:pos="10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meet our product specifications and quality requirements consistently;</w:t>
      </w:r>
    </w:p>
    <w:p>
      <w:pPr>
        <w:spacing w:after="0" w:line="239"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 or inability to procure or expand sufficient manufacturing capacity;</w:t>
      </w:r>
    </w:p>
    <w:p>
      <w:pPr>
        <w:spacing w:after="0" w:line="240"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issues related to scale - up of manufacturing;</w:t>
      </w:r>
    </w:p>
    <w:p>
      <w:pPr>
        <w:spacing w:after="0" w:line="240"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and validation of new equipment and facilities required for scale - up;</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880" w:h="15480" w:orient="portrait"/>
          <w:cols w:equalWidth="0" w:num="1">
            <w:col w:w="9720"/>
          </w:cols>
          <w:pgMar w:left="1080" w:top="1064" w:right="1080" w:bottom="544" w:gutter="0" w:footer="0" w:header="0"/>
          <w:type w:val="continuous"/>
        </w:sectPr>
      </w:pPr>
    </w:p>
    <w:bookmarkStart w:id="52" w:name="page53"/>
    <w:bookmarkEnd w:id="52"/>
    <w:p>
      <w:pPr>
        <w:ind w:left="1080" w:hanging="353"/>
        <w:spacing w:after="0" w:line="280" w:lineRule="auto"/>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third - party manufacturers may not be able to execute our manufacturing procedures and other logistical support requirements appropriately;</w:t>
      </w:r>
    </w:p>
    <w:p>
      <w:pPr>
        <w:spacing w:after="0" w:line="164" w:lineRule="exact"/>
        <w:rPr>
          <w:rFonts w:ascii="Times New Roman" w:cs="Times New Roman" w:eastAsia="Times New Roman" w:hAnsi="Times New Roman"/>
          <w:sz w:val="20"/>
          <w:szCs w:val="20"/>
          <w:color w:val="auto"/>
        </w:rPr>
      </w:pPr>
    </w:p>
    <w:p>
      <w:pPr>
        <w:ind w:left="1080" w:hanging="353"/>
        <w:spacing w:after="0" w:line="280" w:lineRule="auto"/>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third - party manufacturers may fail to comply with cGMP-compliance and other inspections by the FDA or other comparable regulatory authorities;</w:t>
      </w:r>
    </w:p>
    <w:p>
      <w:pPr>
        <w:spacing w:after="0" w:line="162" w:lineRule="exact"/>
        <w:rPr>
          <w:rFonts w:ascii="Times New Roman" w:cs="Times New Roman" w:eastAsia="Times New Roman" w:hAnsi="Times New Roman"/>
          <w:sz w:val="20"/>
          <w:szCs w:val="20"/>
          <w:color w:val="auto"/>
        </w:rPr>
      </w:pPr>
    </w:p>
    <w:p>
      <w:pPr>
        <w:ind w:left="1080" w:hanging="353"/>
        <w:spacing w:after="0" w:line="280" w:lineRule="auto"/>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negotiate manufacturing agreements with third parties under commercially reasonable terms, if at all;</w:t>
      </w:r>
    </w:p>
    <w:p>
      <w:pPr>
        <w:spacing w:after="0" w:line="162" w:lineRule="exact"/>
        <w:rPr>
          <w:rFonts w:ascii="Times New Roman" w:cs="Times New Roman" w:eastAsia="Times New Roman" w:hAnsi="Times New Roman"/>
          <w:sz w:val="20"/>
          <w:szCs w:val="20"/>
          <w:color w:val="auto"/>
        </w:rPr>
      </w:pPr>
    </w:p>
    <w:p>
      <w:pPr>
        <w:ind w:left="1080" w:hanging="353"/>
        <w:spacing w:after="0" w:line="280" w:lineRule="auto"/>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breach, termination, or nonrenewal of manufacturing agreements with third parties in a manner or at a time that is costly or damaging to us;</w:t>
      </w:r>
    </w:p>
    <w:p>
      <w:pPr>
        <w:spacing w:after="0" w:line="164"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reliance on a single source for the nasal spray device;</w:t>
      </w:r>
    </w:p>
    <w:p>
      <w:pPr>
        <w:spacing w:after="0" w:line="240"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third - party manufacturers may not devote sufficient resources to our product candidates;</w:t>
      </w:r>
    </w:p>
    <w:p>
      <w:pPr>
        <w:spacing w:after="0" w:line="239" w:lineRule="exact"/>
        <w:rPr>
          <w:rFonts w:ascii="Times New Roman" w:cs="Times New Roman" w:eastAsia="Times New Roman" w:hAnsi="Times New Roman"/>
          <w:sz w:val="20"/>
          <w:szCs w:val="20"/>
          <w:color w:val="auto"/>
        </w:rPr>
      </w:pPr>
    </w:p>
    <w:p>
      <w:pPr>
        <w:ind w:left="1080" w:hanging="353"/>
        <w:spacing w:after="0" w:line="280" w:lineRule="auto"/>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own, or may have to share, the intellectual property rights to any improvements made by our third - party manufacturers in the manufacturing process for our product candidates;</w:t>
      </w:r>
    </w:p>
    <w:p>
      <w:pPr>
        <w:spacing w:after="0" w:line="162" w:lineRule="exact"/>
        <w:rPr>
          <w:rFonts w:ascii="Times New Roman" w:cs="Times New Roman" w:eastAsia="Times New Roman" w:hAnsi="Times New Roman"/>
          <w:sz w:val="20"/>
          <w:szCs w:val="20"/>
          <w:color w:val="auto"/>
        </w:rPr>
      </w:pPr>
    </w:p>
    <w:p>
      <w:pPr>
        <w:jc w:val="both"/>
        <w:ind w:left="1080" w:hanging="353"/>
        <w:spacing w:after="0" w:line="253" w:lineRule="auto"/>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operations of our third-party manufacturers or suppliers could be disrupted by conditions unrelated to our business or operations, including public health emergencies, natural disasters, such as earthquakes, fires or floods, the bankruptcy of the manufacturer or supplier, carrier disruptions or increased costs that are beyond our control, and global macro uncertainty related to geopolitical conflicts; and</w:t>
      </w:r>
    </w:p>
    <w:p>
      <w:pPr>
        <w:spacing w:after="0" w:line="190" w:lineRule="exact"/>
        <w:rPr>
          <w:rFonts w:ascii="Times New Roman" w:cs="Times New Roman" w:eastAsia="Times New Roman" w:hAnsi="Times New Roman"/>
          <w:sz w:val="20"/>
          <w:szCs w:val="20"/>
          <w:color w:val="auto"/>
        </w:rPr>
      </w:pPr>
    </w:p>
    <w:p>
      <w:pPr>
        <w:jc w:val="both"/>
        <w:ind w:left="1080" w:hanging="353"/>
        <w:spacing w:after="0" w:line="260" w:lineRule="auto"/>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possibility that, to the extent we need to complete technology transfers to a backup CMO or alternative CMO, we may be subject to additional costs associated with the technology transfer or dependent on the cooperation of our current CMOs.</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Any of these events could lead to clinical trial delays, failure to obtain regulatory approval, or affect our ability to successfully commercialize etripamil or any future product candidates once approved. Some of these events could be the basis for FDA action, including injunction, request for recall, seizure, or total or partial suspension of production.</w:t>
      </w:r>
    </w:p>
    <w:p>
      <w:pPr>
        <w:spacing w:after="0" w:line="18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rely on third parties to conduct, supervise and monitor our preclinical studies and clinical trials, and if those third parties perform in an unsatisfactory manner, it may harm our business.</w:t>
      </w:r>
    </w:p>
    <w:p>
      <w:pPr>
        <w:spacing w:after="0" w:line="1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We have engaged CROs to conduct our Phase 2 clinical trial of etripamil for the treatment of AFib-RVR, and we expect to engage a CRO for future clinical trials of etripamil and any future product candidates. We do not currently have the ability to independently conduct any clinical trials. We rely on CROs and clinical trial sites to ensure the proper and timely conduct of our preclinical studies and clinical trials, and we expect to have limited influence over their actual performance. We rely upon CROs to monitor and manage data for our clinical programs, as well as the execution of future nonclinical studies. We expect to control only certain aspects of our CROs’ activities. Nevertheless, we will be responsible for ensuring that each of our preclinical studies and clinical trials is conducted in accordance with the applicable protocol, legal, regulatory and scientific standards, and our reliance on the CROs does not relieve us of our regulatory responsibilities.</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We and our CROs are required to comply with good laboratory practices, or “GLPs,” and GCPs, which are regulations and guidelines enforced by the FDA and comparable foreign regulatory authorities in the form of International Conference on Harmonization guidelines for any of our product candidates that are in preclinical and clinical development. Regulatory authorities enforce GCPs through periodic inspections of trial sponsors, principal investigators, and clinical trial sites. Although we rely on CROs to conduct GCP - compliant clinical trials, we remain responsible for ensuring that each of our GLP preclinical studies and clinical trials is conducted in accordance with its investigational plan, protocol, and applicable laws and regulations. Our reliance on the CROs does not relieve us of our regulatory responsibilities. If we or our CROs fail to comply with GCPs, the clinical data generated in our clinical trials may be deemed unreliable, and the FDA or comparable foreign regulatory authorities may require us to perform additional clinical trials before approving our</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880" w:h="15480" w:orient="portrait"/>
          <w:cols w:equalWidth="0" w:num="1">
            <w:col w:w="9720"/>
          </w:cols>
          <w:pgMar w:left="1080" w:top="1064" w:right="1080" w:bottom="544" w:gutter="0" w:footer="0" w:header="0"/>
          <w:type w:val="continuous"/>
        </w:sectPr>
      </w:pPr>
    </w:p>
    <w:bookmarkStart w:id="53" w:name="page54"/>
    <w:bookmarkEnd w:id="53"/>
    <w:p>
      <w:pPr>
        <w:jc w:val="both"/>
        <w:spacing w:after="0" w:line="280" w:lineRule="auto"/>
        <w:rPr>
          <w:sz w:val="20"/>
          <w:szCs w:val="20"/>
          <w:color w:val="auto"/>
        </w:rPr>
      </w:pPr>
      <w:r>
        <w:rPr>
          <w:rFonts w:ascii="Times New Roman" w:cs="Times New Roman" w:eastAsia="Times New Roman" w:hAnsi="Times New Roman"/>
          <w:sz w:val="20"/>
          <w:szCs w:val="20"/>
          <w:color w:val="auto"/>
        </w:rPr>
        <w:t>marketing applications. Accordingly, if our CROs fail to comply with these regulations or fail to recruit a sufficient number of subjects, we may be required to repeat clinical trials, which would delay the regulatory approval process.</w:t>
      </w:r>
    </w:p>
    <w:p>
      <w:pPr>
        <w:spacing w:after="0" w:line="16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Our reliance on third parties to conduct clinical trials will result in less direct control over the management of data developed through clinical trials than would be the case if we were relying entirely upon our own staff. Any failure by third parties to prevent unauthorized access, use, or disclosure of data, including personal data regarding our patients or employees, could harm our reputation, cause us not to comply with federal and/or state breach notification laws and foreign law equivalents, and otherwise subject us to liability under laws and regulations that protect the privacy and security of personal data.</w:t>
      </w:r>
    </w:p>
    <w:p>
      <w:pPr>
        <w:spacing w:after="0" w:line="19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Communicating with CROs and other third parties can be challenging, potentially leading to mistakes as well as difficulties in coordinating activities. Such parties may:</w:t>
      </w:r>
    </w:p>
    <w:p>
      <w:pPr>
        <w:spacing w:after="0" w:line="163" w:lineRule="exact"/>
        <w:rPr>
          <w:sz w:val="20"/>
          <w:szCs w:val="20"/>
          <w:color w:val="auto"/>
        </w:rPr>
      </w:pPr>
    </w:p>
    <w:p>
      <w:pPr>
        <w:ind w:left="1080" w:hanging="353"/>
        <w:spacing w:after="0"/>
        <w:tabs>
          <w:tab w:leader="none" w:pos="10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staffing difficulties;</w:t>
      </w:r>
    </w:p>
    <w:p>
      <w:pPr>
        <w:spacing w:after="0" w:line="240"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 to comply with contractual obligations;</w:t>
      </w:r>
    </w:p>
    <w:p>
      <w:pPr>
        <w:spacing w:after="0" w:line="240"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experience regulatory compliance issues;</w:t>
      </w:r>
    </w:p>
    <w:p>
      <w:pPr>
        <w:spacing w:after="0" w:line="239"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experience business disruptions from public health emergencies; or</w:t>
      </w:r>
    </w:p>
    <w:p>
      <w:pPr>
        <w:spacing w:after="0" w:line="240"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undergo changes in priorities or become financially distressed.</w:t>
      </w:r>
    </w:p>
    <w:p>
      <w:pPr>
        <w:spacing w:after="0" w:line="23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These factors may materially adversely affect the willingness or ability of third parties to conduct our clinical trials and may subject us to unexpected cost increases that are beyond our control. If our CROs do not successfully carry out their contractual duties or obligations, fail to meet expected deadlines, fail to comply with regulatory requirements,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any product candidate that we develop. As a result, our financial results and the commercial prospects for any product candidate that we develop would be harmed, our costs could increase, and our ability to generate revenue could be delayed. While we will have agreements governing their activities, our CROs will not be our employees, and we will not control whether or not they devote sufficient time and resources to our future clinical and nonclinical programs. These CROs may also have relationships with other commercial entities, including our competitors, for whom they may also be conducting clinical trials, or other drug development activities that could harm our business. We face the risk of potential unauthorized disclosure or misappropriation of our intellectual property by CROs, which may reduce our trade secret protection and allow our potential competitors to access and exploit our proprietary technology.</w:t>
      </w:r>
    </w:p>
    <w:p>
      <w:pPr>
        <w:spacing w:after="0" w:line="20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If our relationship with any of these CROs terminates, we may not be able to enter into arrangements with alternative CROs or do so on commercially reasonable terms. Switching or adding additional CROs involves substantial cost and requires management time and focus. In addition, there is a natural transition period when a new CRO commences work. As a result, delays occur, which can negatively affect our ability to meet our desired clinical development timelines. Though we intend to manage carefully our relationships with our CROs, there can be no assurance that we will not encounter challenges or delays in the future or that these delays or challenges will not have a negative impact on our business, financial condition, and prospects.</w:t>
      </w:r>
    </w:p>
    <w:p>
      <w:pPr>
        <w:spacing w:after="0" w:line="20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etripamil and any future product candidates.</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880" w:h="15480" w:orient="portrait"/>
          <w:cols w:equalWidth="0" w:num="1">
            <w:col w:w="9720"/>
          </w:cols>
          <w:pgMar w:left="1080" w:top="1064" w:right="1080" w:bottom="544"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9"/>
          <w:szCs w:val="19"/>
          <w:b w:val="1"/>
          <w:bCs w:val="1"/>
          <w:i w:val="1"/>
          <w:iCs w:val="1"/>
          <w:color w:val="auto"/>
        </w:rPr>
        <w:t>Etripamil is intended to be used with a nasal - spray device, which may result in additional regulatory and supply risks.</w:t>
      </w:r>
    </w:p>
    <w:p>
      <w:pPr>
        <w:spacing w:after="0" w:line="24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Etripamil is administered through a nasal - spray device that we obtain from a single-source supplier, and that supplier is relying on multiple component suppliers, some of whom are single-source suppliers. There are a limited number of device suppliers that address our particular design requirements. In addition, increasing the scale of production inherently creates increased risk of manufacturing errors, and we may not be able to adequately inspect every device that is produced, and it is possible that individual devices may fail to perform as designed. While we intend to explore alternative nasal spray devices for the delivery of etripamil that are produced by other suppliers to have backup sources for future commercial needs, we may not identify other nasal device suppliers that meet our requirements, and such alternative devices may not be as effective at the delivery of etripamil as our current supplier’s device. We do not currently have a formal supply agreement with our current sole nasal spray device supplier, and we are obtaining such devices as needed. Even if we reach an agreement for commercial supply, if we do not have additional nasal spray device suppliers, our sole supplier may be unable to meet our demands. Unpredictability of supply could have a material adverse effect on our commercialization plans for etripamil and could have a material adverse effect on our business and financial condition.</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Delays in or failure of the studies conducted by us, or failure of our Company, our collaborators, if any, or the third- party providers or suppliers to obtain or maintain regulatory approval could result in increased development costs, delays in or failure to obtain regulatory approval, and associated delays in etripamil reaching the market. Further, failure to successfully develop or supply the device, or to gain or maintain its approval, could adversely affect sales of etripamil.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w:t>
      </w:r>
    </w:p>
    <w:p>
      <w:pPr>
        <w:spacing w:after="0" w:line="24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9"/>
          <w:szCs w:val="19"/>
          <w:b w:val="1"/>
          <w:bCs w:val="1"/>
          <w:i w:val="1"/>
          <w:iCs w:val="1"/>
          <w:color w:val="auto"/>
        </w:rPr>
        <w:t>If we are unable to obtain and maintain patent protection for etripamil or any future product candidates, or if the scope of the patent protection obtained is not sufficiently broad, our competitors could develop and commercialize drugs similar or identical to ours, and our ability to commercialize successfully our product candidates may be impaired.</w:t>
      </w:r>
    </w:p>
    <w:p>
      <w:pPr>
        <w:spacing w:after="0" w:line="16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Our success depends in large part on our ability to obtain and maintain patent protection in the United States and other countries with respect to etripamil and any future product candidates. We seek to protect our proprietary position by filing patent applications in the United States and abroad related to our product candidates. The patent application and prosecution process is expensive and time - consuming. We may not be able to file and prosecute all necessary or desirable patent applications at a reasonable cost or in a timely manner. We may also fail to identify patentable aspects of our research and development before it is too late to obtain patent protection. Therefore, these and any of our patents and applications may not be prosecuted and enforced in a manner consistent with the best interests of our business. It is possible that defects of form in the preparation or filing of our patents or patent applications may exist, or may arise in the future, such as with respect to proper priority claims, inventorship, claim scope, or patent term adjustments. If any future licensors or licensees are not fully cooperative or disagree with us as to the prosecution, maintenance or enforcement of any patent rights, such patent rights could be compromised and we might not be able to prevent third parties from making, using and selling competing products. If there are material defects in the form or preparation of our patents or patent applications, such patents or applications may be invalid and unenforceable. Moreover, our competitors may independently develop equivalent knowledge, methods, and know - how. Any of these outcomes could impair our ability to prevent competition from third parties.</w:t>
      </w:r>
    </w:p>
    <w:p>
      <w:pPr>
        <w:spacing w:after="0" w:line="21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patent position of biotechnology and pharmaceutical companies generally is highly uncertain.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as the laws of the United States.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has in recent years been the subject of much litigation. As a result, the issuance, scope, validity, enforceability, and commercial value of our patent rights are highly uncertain. Furthermore, recent changes in patent laws in the United States, including the America Invents Act of 2011, may affect the scope, strength, and enforceability of our patent rights or the nature of proceedings that may be brought by us related to our patent rights.</w:t>
      </w:r>
    </w:p>
    <w:p>
      <w:pPr>
        <w:sectPr>
          <w:pgSz w:w="11880" w:h="15480" w:orient="portrait"/>
          <w:cols w:equalWidth="0" w:num="1">
            <w:col w:w="9720"/>
          </w:cols>
          <w:pgMar w:left="1080" w:top="1067"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880" w:h="15480" w:orient="portrait"/>
          <w:cols w:equalWidth="0" w:num="1">
            <w:col w:w="9720"/>
          </w:cols>
          <w:pgMar w:left="1080" w:top="1067" w:right="1080" w:bottom="544" w:gutter="0" w:footer="0" w:header="0"/>
          <w:type w:val="continuous"/>
        </w:sectPr>
      </w:pPr>
    </w:p>
    <w:bookmarkStart w:id="55" w:name="page56"/>
    <w:bookmarkEnd w:id="55"/>
    <w:p>
      <w:pPr>
        <w:jc w:val="both"/>
        <w:spacing w:after="0" w:line="242" w:lineRule="auto"/>
        <w:rPr>
          <w:sz w:val="20"/>
          <w:szCs w:val="20"/>
          <w:color w:val="auto"/>
        </w:rPr>
      </w:pPr>
      <w:r>
        <w:rPr>
          <w:rFonts w:ascii="Times New Roman" w:cs="Times New Roman" w:eastAsia="Times New Roman" w:hAnsi="Times New Roman"/>
          <w:sz w:val="20"/>
          <w:szCs w:val="20"/>
          <w:color w:val="auto"/>
        </w:rPr>
        <w:t>We may not be aware of all third-party intellectual property rights potentially relating to etripamil or any future product candidates. Publications of discoveries in the scientific literature often lag behind the actual discoveries, and patent applications in the United States and other jurisdictions are typically not published until 18 months after filing, or in some cases not at all. For example, U.S. applications filed before November 28, 2000, and certain U.S. applications filed after that date that will not be filed outside the United States remain confidential until a patent issues. Therefore, we cannot be certain that we were the first to make the inventions claimed in our patents or pending patent applications, or that we were the first to file for patent protection of such inventions. Similarly, should we own any patents or patent applications in the future, we may not be certain that we were the first to file for patent protection for the inventions claimed in such patents or patent applications. As a result, the issuance, scope, validity, and commercial value of our patent rights cannot be predicted with any certainty. Moreover, we may be subject to a third- party preissuance submission of prior art to the U.S. Patent and Trademark Office, or “USPTO,” or become involved in opposition, derivation, reexamination, inter parties review, post grant review, or interference proceedings, in the United States or elsewhere,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products without infringing third-party patent rights.</w:t>
      </w:r>
    </w:p>
    <w:p>
      <w:pPr>
        <w:spacing w:after="0" w:line="21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Our pending and future patent applications may not result in patents being issued that protect our technology or product candidates, in whole or in part, or which effectively prevent others from commercializing competitive technologies and products. Even if our patent applications are issued as patents, they may not be issued in a form that will provide us with any meaningful protection against competing products or processes sufficient to achieve our business objectives, prevent competitors from competing with us or otherwise provide us with any competitive advantage. Our competitors may be able to circumvent our owned or licensed patents by developing similar or alternative technologies or products in a non - infringing manner. Our competitors may seek to market generic versions of any approved products by submitting abbreviated new drug applications to the FDA in which they claim that patents owned or licensed by us are invalid, unenforceable and/or not infringed. Alternatively, our competitors may seek approval to market their own products similar to or otherwise competitive with our products. In these circumstances, we may need to defend and/or assert our patents, including by filing lawsuits alleging patent infringement. In any of these types of proceedings, a court or other agency with jurisdiction may find our patents invalid and/or unenforceable.</w:t>
      </w:r>
    </w:p>
    <w:p>
      <w:pPr>
        <w:spacing w:after="0" w:line="2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issuance of a patent is not conclusive as to its inventorship, scope, validity, or enforceability, and our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w:t>
      </w:r>
    </w:p>
    <w:p>
      <w:pPr>
        <w:spacing w:after="0" w:line="2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 - compliance with these requirements.</w:t>
      </w:r>
    </w:p>
    <w:p>
      <w:pPr>
        <w:spacing w:after="0" w:line="18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patents and/or applications will have to be paid to the USPTO and various government patent agencies outside of the United States over the lifetime of our owned patents and/or applications and any patent rights we may own or license in the future. We rely on our outside counsel to pay these fees due to non - U.S. patent agencies. The USPTO and various non - U.S. government patent agencies require compliance with several procedural, documentary, fee payment, and other similar provisions during the patent application process. We employ reputable law firms and other professionals to help us comply.</w:t>
      </w:r>
    </w:p>
    <w:p>
      <w:pPr>
        <w:spacing w:after="0" w:line="20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Non - compliance events that could result in abandonment or lapse of a patent or patent application include, but are not limited to, failure to respond to official actions within prescribed time limits, non - payment of fees, and failure to properly legalize and submit formal documents. If we fail to maintain the patents and patent applications covering our products or</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880" w:h="15480" w:orient="portrait"/>
          <w:cols w:equalWidth="0" w:num="1">
            <w:col w:w="9720"/>
          </w:cols>
          <w:pgMar w:left="1080" w:top="1064" w:right="1080" w:bottom="544" w:gutter="0" w:footer="0" w:header="0"/>
          <w:type w:val="continuous"/>
        </w:sectPr>
      </w:pPr>
    </w:p>
    <w:bookmarkStart w:id="56" w:name="page57"/>
    <w:bookmarkEnd w:id="56"/>
    <w:p>
      <w:pPr>
        <w:jc w:val="both"/>
        <w:spacing w:after="0" w:line="248" w:lineRule="auto"/>
        <w:rPr>
          <w:sz w:val="20"/>
          <w:szCs w:val="20"/>
          <w:color w:val="auto"/>
        </w:rPr>
      </w:pPr>
      <w:r>
        <w:rPr>
          <w:rFonts w:ascii="Times New Roman" w:cs="Times New Roman" w:eastAsia="Times New Roman" w:hAnsi="Times New Roman"/>
          <w:sz w:val="20"/>
          <w:szCs w:val="20"/>
          <w:color w:val="auto"/>
        </w:rPr>
        <w:t>technologies, we may not be able to stop a competitor from marketing products that are the same as or similar to etripamil or any future product candidates, which would have a material adverse effect on our business. In many cases, an inadvertent lapse can be cured by payment of a late fee or by other means in accordance with the applicable rules. There are situations, however, in which non - compliance can result in abandonment or lapse of the patent or patent application, resulting in partial or complete loss of patent rights in the relevant jurisdiction. In such an event, potential competitors might be able to enter the market, and this circumstance could harm our business.</w:t>
      </w:r>
    </w:p>
    <w:p>
      <w:pPr>
        <w:spacing w:after="0" w:line="196"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Patent terms may be inadequate to protect our competitive position on our product candidates for an adequate amount of time.</w:t>
      </w:r>
    </w:p>
    <w:p>
      <w:pPr>
        <w:spacing w:after="0" w:line="16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Given the amount of time required for the development, testing, and regulatory review of new product candidates, such as etripamil, patents protecting such candidates might expire before or shortly after such candidates are commercialized. We expect to seek extensions of patent terms in the United States and, if available, in other countries where we are prosecuting patents. In the United States, the Drug Price Competition and Patent Term Restoration Act of 1984 permits a patent term extension of up to five years beyond the normal expiration of the patent, which is limited to the approved indication (or any additional indications approved during the period of extension).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launch their drug earlier than might otherwise be the case.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Intellectual property rights do not necessarily address all potential threats to our business.</w:t>
      </w:r>
    </w:p>
    <w:p>
      <w:pPr>
        <w:spacing w:after="0" w:line="23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The degree of future protection afforded by our intellectual property rights is uncertain because intellectual property rights have limitations and may not adequately protect our business. The following examples are illustrative:</w:t>
      </w:r>
    </w:p>
    <w:p>
      <w:pPr>
        <w:spacing w:after="0" w:line="164" w:lineRule="exact"/>
        <w:rPr>
          <w:sz w:val="20"/>
          <w:szCs w:val="20"/>
          <w:color w:val="auto"/>
        </w:rPr>
      </w:pPr>
    </w:p>
    <w:p>
      <w:pPr>
        <w:jc w:val="both"/>
        <w:ind w:left="1080" w:hanging="353"/>
        <w:spacing w:after="0" w:line="259" w:lineRule="auto"/>
        <w:tabs>
          <w:tab w:leader="none" w:pos="10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others may be able to make compounds or formulations that are similar to etripamil or formulations of etripamil or our future product candidates but that are not covered by the claims of any patents, should they issue, that we own or control;</w:t>
      </w:r>
    </w:p>
    <w:p>
      <w:pPr>
        <w:spacing w:after="0" w:line="185" w:lineRule="exact"/>
        <w:rPr>
          <w:rFonts w:ascii="Times New Roman" w:cs="Times New Roman" w:eastAsia="Times New Roman" w:hAnsi="Times New Roman"/>
          <w:sz w:val="20"/>
          <w:szCs w:val="20"/>
          <w:color w:val="auto"/>
        </w:rPr>
      </w:pPr>
    </w:p>
    <w:p>
      <w:pPr>
        <w:ind w:left="1080" w:hanging="353"/>
        <w:spacing w:after="0" w:line="280" w:lineRule="auto"/>
        <w:tabs>
          <w:tab w:leader="none" w:pos="10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or any strategic partners might not have been the first to make the inventions covered by the issued patents or pending patent applications that we own or control;</w:t>
      </w:r>
    </w:p>
    <w:p>
      <w:pPr>
        <w:spacing w:after="0" w:line="162"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might not have been the first to file patent applications covering certain of our inventions;</w:t>
      </w:r>
    </w:p>
    <w:p>
      <w:pPr>
        <w:spacing w:after="0" w:line="240" w:lineRule="exact"/>
        <w:rPr>
          <w:rFonts w:ascii="Times New Roman" w:cs="Times New Roman" w:eastAsia="Times New Roman" w:hAnsi="Times New Roman"/>
          <w:sz w:val="20"/>
          <w:szCs w:val="20"/>
          <w:color w:val="auto"/>
        </w:rPr>
      </w:pPr>
    </w:p>
    <w:p>
      <w:pPr>
        <w:ind w:left="1080" w:hanging="353"/>
        <w:spacing w:after="0" w:line="280" w:lineRule="auto"/>
        <w:tabs>
          <w:tab w:leader="none" w:pos="10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others may independently develop similar or alternative technologies or duplicate any of our technologies without infringing our intellectual property rights;</w:t>
      </w:r>
    </w:p>
    <w:p>
      <w:pPr>
        <w:spacing w:after="0" w:line="162"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possible that our pending patent applications will not lead to issued patents;</w:t>
      </w:r>
    </w:p>
    <w:p>
      <w:pPr>
        <w:spacing w:after="0" w:line="240" w:lineRule="exact"/>
        <w:rPr>
          <w:rFonts w:ascii="Times New Roman" w:cs="Times New Roman" w:eastAsia="Times New Roman" w:hAnsi="Times New Roman"/>
          <w:sz w:val="20"/>
          <w:szCs w:val="20"/>
          <w:color w:val="auto"/>
        </w:rPr>
      </w:pPr>
    </w:p>
    <w:p>
      <w:pPr>
        <w:ind w:left="1080" w:hanging="353"/>
        <w:spacing w:after="0" w:line="280" w:lineRule="auto"/>
        <w:tabs>
          <w:tab w:leader="none" w:pos="10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issued patents that we own or control may not provide us with any competitive advantages, or may be held invalid or unenforceable as a result of legal challenges;</w:t>
      </w:r>
    </w:p>
    <w:p>
      <w:pPr>
        <w:spacing w:after="0" w:line="162" w:lineRule="exact"/>
        <w:rPr>
          <w:rFonts w:ascii="Times New Roman" w:cs="Times New Roman" w:eastAsia="Times New Roman" w:hAnsi="Times New Roman"/>
          <w:sz w:val="20"/>
          <w:szCs w:val="20"/>
          <w:color w:val="auto"/>
        </w:rPr>
      </w:pPr>
    </w:p>
    <w:p>
      <w:pPr>
        <w:jc w:val="both"/>
        <w:ind w:left="1080" w:hanging="353"/>
        <w:spacing w:after="0" w:line="253" w:lineRule="auto"/>
        <w:tabs>
          <w:tab w:leader="none" w:pos="10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drugs for sale in our major commercial markets;</w:t>
      </w:r>
    </w:p>
    <w:p>
      <w:pPr>
        <w:spacing w:after="0" w:line="190"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develop additional proprietary technologies that are patentable; and</w:t>
      </w:r>
    </w:p>
    <w:p>
      <w:pPr>
        <w:spacing w:after="0" w:line="240"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patents of others may have an adverse effect on our business.</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880" w:h="15480" w:orient="portrait"/>
          <w:cols w:equalWidth="0" w:num="1">
            <w:col w:w="9720"/>
          </w:cols>
          <w:pgMar w:left="1080" w:top="1064" w:right="1080" w:bottom="544" w:gutter="0" w:footer="0" w:header="0"/>
          <w:type w:val="continuous"/>
        </w:sectPr>
      </w:pPr>
    </w:p>
    <w:bookmarkStart w:id="57" w:name="page58"/>
    <w:bookmarkEnd w:id="57"/>
    <w:p>
      <w:pPr>
        <w:jc w:val="both"/>
        <w:spacing w:after="0" w:line="280" w:lineRule="auto"/>
        <w:rPr>
          <w:sz w:val="20"/>
          <w:szCs w:val="20"/>
          <w:color w:val="auto"/>
        </w:rPr>
      </w:pPr>
      <w:r>
        <w:rPr>
          <w:rFonts w:ascii="Times New Roman" w:cs="Times New Roman" w:eastAsia="Times New Roman" w:hAnsi="Times New Roman"/>
          <w:sz w:val="20"/>
          <w:szCs w:val="20"/>
          <w:color w:val="auto"/>
        </w:rPr>
        <w:t>Should any of these events occur, they could have a material adverse effect on our business, financial condition, results of operations, and prospects.</w:t>
      </w:r>
    </w:p>
    <w:p>
      <w:pPr>
        <w:spacing w:after="0" w:line="16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become involved in lawsuits to protect or enforce our patents or other intellectual property rights, which could be expensive, time consuming and unsuccessful.</w:t>
      </w:r>
    </w:p>
    <w:p>
      <w:pPr>
        <w:spacing w:after="0" w:line="16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Competitors may infringe our issued patents, future trademarks, copyrights or other intellectual property. To counter infringement or unauthorized use, we may be required to file infringement claims, which can be expensive and time - consuming and divert the time and attention of our management and scientific personnel. Any claims we assert against perceived infringers could provoke these parties to assert counterclaims against us alleging that we infringe their patents, trademarks, copyrights, or other intellectual property. In addition, in a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patents do not cover the invention.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20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 any infringement litigation, any award of monetary damages we receive may not be commercially valuable. Furthermore, because of the substantial amount of discovery required in connection with intellectual property litigation, there is a risk that some of our confidential information could be compromised by disclosure during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shares. Moreover, there can be no assurance that we will have sufficient financial or other resources to file and pursue such infringement claims, which typically last for years before they are concluded. Some of our competitors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could outweigh any benefit we receive as a result of the proceedings.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negative impact on our ability to compete in the marketplace.</w:t>
      </w:r>
    </w:p>
    <w:p>
      <w:pPr>
        <w:spacing w:after="0" w:line="20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Third parties may initiate legal proceedings alleging that we are infringing their intellectual property rights, the outcome of which would be uncertain and could have a negative impact on the success of our business.</w:t>
      </w:r>
    </w:p>
    <w:p>
      <w:pPr>
        <w:spacing w:after="0" w:line="1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Our commercial success depends, in part, upon our ability and the ability of future collaborators, if any, to develop, manufacture, market, and sell etripamil and any future product candidates and use our proprietary technologies without infringing the proprietary rights and intellectual property of third parties. 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etripamil and any future product candidates and technology, including interference proceedings, post grant review, and inter parties review before the USPTO.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have a negative impact on our ability to commercialize our current and any future product candidates.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a third party’s valid and enforceable intellectual</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880" w:h="15480" w:orient="portrait"/>
          <w:cols w:equalWidth="0" w:num="1">
            <w:col w:w="9720"/>
          </w:cols>
          <w:pgMar w:left="1080" w:top="1064" w:right="1080" w:bottom="544" w:gutter="0" w:footer="0" w:header="0"/>
          <w:type w:val="continuous"/>
        </w:sectPr>
      </w:pPr>
    </w:p>
    <w:bookmarkStart w:id="58" w:name="page59"/>
    <w:bookmarkEnd w:id="58"/>
    <w:p>
      <w:pPr>
        <w:jc w:val="both"/>
        <w:spacing w:after="0" w:line="243" w:lineRule="auto"/>
        <w:rPr>
          <w:sz w:val="20"/>
          <w:szCs w:val="20"/>
          <w:color w:val="auto"/>
        </w:rPr>
      </w:pPr>
      <w:r>
        <w:rPr>
          <w:rFonts w:ascii="Times New Roman" w:cs="Times New Roman" w:eastAsia="Times New Roman" w:hAnsi="Times New Roman"/>
          <w:sz w:val="20"/>
          <w:szCs w:val="20"/>
          <w:color w:val="auto"/>
        </w:rPr>
        <w:t>property rights, we could be required to obtain a license from such third party to continue developing, manufacturing and marketing our product candidate(s) and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technology or product candidate. In addition, we could be found liable for monetary damages, including treble damages and attorneys’ fees, if we are found to have willfully infringed a patent or other intellectual property right. A finding of infringement could prevent us from manufacturing and commercializing etripamil or any future product candidates or force us to cease some or all of our business operations, which could materially harm our business. Claims that we have misappropriated the confidential information or trade secrets of third parties could have a similar negative impact on our business, financial condition, results of operations and prospects. See the section herein titled “Legal Proceedings” for additional information.</w:t>
      </w:r>
    </w:p>
    <w:p>
      <w:pPr>
        <w:spacing w:after="0" w:line="20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need to license intellectual property from third parties, and such licenses may not be available or may not be available on commercially reasonable terms.</w:t>
      </w:r>
    </w:p>
    <w:p>
      <w:pPr>
        <w:spacing w:after="0" w:line="16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A third party may hold intellectual property rights, including patent rights, which are important or necessary to the development of etripamil or any future product candidates. It may be necessary for us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w:t>
      </w:r>
    </w:p>
    <w:p>
      <w:pPr>
        <w:spacing w:after="0" w:line="19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18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Many of our employees, consultants, and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 - 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20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 addition, we may in the future be subject to claims by our former employees or consultants asserting an ownership right in our patents or patent applications, as a result of the work they performed on our behalf. Although it is our policy to require our employees and contractors who may be involved in the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 - executing, or the assignment agreements may be breached, and we may be forced to bring claims against third parties, or defend claims that they may bring against us, to determine the ownership of what we regard as our intellectual property.</w:t>
      </w:r>
    </w:p>
    <w:p>
      <w:pPr>
        <w:spacing w:after="0" w:line="207"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Changes in U.S. patent law or the patent law of other countries or jurisdictions could diminish the value of patents in general, thereby impairing our ability to protect etripamil and any future product candidates.</w:t>
      </w:r>
    </w:p>
    <w:p>
      <w:pPr>
        <w:spacing w:after="0" w:line="16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The United States has recently enacted and implemented wide 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880" w:h="15480" w:orient="portrait"/>
          <w:cols w:equalWidth="0" w:num="1">
            <w:col w:w="9720"/>
          </w:cols>
          <w:pgMar w:left="1080" w:top="1064" w:right="1080" w:bottom="544" w:gutter="0" w:footer="0" w:header="0"/>
          <w:type w:val="continuous"/>
        </w:sectPr>
      </w:pPr>
    </w:p>
    <w:bookmarkStart w:id="59" w:name="page60"/>
    <w:bookmarkEnd w:id="59"/>
    <w:p>
      <w:pPr>
        <w:jc w:val="both"/>
        <w:spacing w:after="0" w:line="243" w:lineRule="auto"/>
        <w:rPr>
          <w:sz w:val="20"/>
          <w:szCs w:val="20"/>
          <w:color w:val="auto"/>
        </w:rPr>
      </w:pPr>
      <w:r>
        <w:rPr>
          <w:rFonts w:ascii="Times New Roman" w:cs="Times New Roman" w:eastAsia="Times New Roman" w:hAnsi="Times New Roman"/>
          <w:sz w:val="20"/>
          <w:szCs w:val="20"/>
          <w:color w:val="auto"/>
        </w:rPr>
        <w:t>value of patents, once obtained. Depending on actions by the U.S. Congress, the federal courts, and the USPTO, the laws and regulations governing patents could change in unpredictable ways that could weaken our ability to obtain new patents or to enforce patents that we have licensed or that we might obtain in the future. Similarly, changes in patent law and regulations in other countries or jurisdictions, changes in the governmental bodies that enforce them or changes in how the relevant governmental authority enforces patent laws or regulations may weaken our ability to obtain new patents or to enforce patents that we have licensed or that we may obtain in the future. For example, the complexity and uncertainty of European patent laws have also increased in recent years. In Europe, a unitary patent system was launched on June 1, 2023. Under the unitary patent system, European applications have the option, upon grant of a patent, of becoming a Unitary Patent which is subject to the jurisdiction of the Unitary Patent Court, or “UPC.” As the UPC is a relatively new court system, there is little precedent for the court, increasing the uncertainty of any litigation. Patents granted before the implementation of the UPC had the option of opting out of the jurisdiction of the UPC and remaining as national patents in the UPC countries. Patents that remain under the jurisdiction of the UPC are potentially vulnerable to a single UPC-based revocation challenge that, if successful, could invalidate the patent in all countries who are signatories to the UPC. We cannot predict with certainty the long-term effects of any potential changes.</w:t>
      </w:r>
    </w:p>
    <w:p>
      <w:pPr>
        <w:spacing w:after="0" w:line="20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protect our intellectual property rights throughout the world, which could negatively impact our business.</w:t>
      </w:r>
    </w:p>
    <w:p>
      <w:pPr>
        <w:spacing w:after="0" w:line="16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In some cases, we may not be able to obtain patent protection for certain technology outside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inventions in all countries outside the United States, even in jurisdictions where we do pursue patent protection or from selling or importing products made using our inventions in and into the United States or other jurisdictions.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which could make it difficult for us to stop the infringement of our patents, if pursued and obtained,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ongoing conflict in Ukraine and related sanctions could significantly devalue our Russian and Ukrainian patents. Recent Russian decrees may significantly limit our ability to enforce Russian patents. We cannot predict when or how this situation will change.</w:t>
      </w:r>
    </w:p>
    <w:p>
      <w:pPr>
        <w:spacing w:after="0" w:line="18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Reliance on third parties requires us to share our proprietary information, which increases the possibility that such information will be misappropriated or disclosed.</w:t>
      </w:r>
    </w:p>
    <w:p>
      <w:pPr>
        <w:spacing w:after="0" w:line="1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Because we rely on third parties to develop and manufacture etripamil and any future product candidates, or if we collaborate with additional third parties for the development or commercialization of etripamil or any future product candidates, we must, at times, share proprietary information with them.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confidential information increases the risk that such information becomes known by our competitors, is inadvertently</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880" w:h="15480" w:orient="portrait"/>
          <w:cols w:equalWidth="0" w:num="1">
            <w:col w:w="9720"/>
          </w:cols>
          <w:pgMar w:left="1080" w:top="1064" w:right="1080" w:bottom="544" w:gutter="0" w:footer="0" w:header="0"/>
          <w:type w:val="continuous"/>
        </w:sectPr>
      </w:pPr>
    </w:p>
    <w:bookmarkStart w:id="60" w:name="page61"/>
    <w:bookmarkEnd w:id="60"/>
    <w:p>
      <w:pPr>
        <w:jc w:val="both"/>
        <w:spacing w:after="0" w:line="260" w:lineRule="auto"/>
        <w:rPr>
          <w:sz w:val="20"/>
          <w:szCs w:val="20"/>
          <w:color w:val="auto"/>
        </w:rPr>
      </w:pPr>
      <w:r>
        <w:rPr>
          <w:rFonts w:ascii="Times New Roman" w:cs="Times New Roman" w:eastAsia="Times New Roman" w:hAnsi="Times New Roman"/>
          <w:sz w:val="20"/>
          <w:szCs w:val="20"/>
          <w:color w:val="auto"/>
        </w:rPr>
        <w:t>incorporated into the technology of others, or is disclosed or used in violation of these agreements. Given that our proprietary position is based, in part, on our know-how, a competitor’s discovery of our know-how or other unauthorized use or disclosure could have an adverse effect on our business and results of operations.</w:t>
      </w:r>
    </w:p>
    <w:p>
      <w:pPr>
        <w:spacing w:after="0" w:line="18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 addition, these agreements typically restrict the ability of our advisors, employees, third-party contractors and consultants to publish data potentially relating to our know -how. Despite our efforts to protect our know-how, we may not be able to prevent the unauthorized disclosure or use of our technical know-how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third-party illegally obtained and is using our proprietary information, like patent litigation, is expensive and time consuming, and the outcome is unpredictable. In addition, courts outside the United States are sometimes less willing to protect proprietary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Any trademarks we may obtain may be infringed or successfully challenged, resulting in harm to our business.</w:t>
      </w:r>
    </w:p>
    <w:p>
      <w:pPr>
        <w:spacing w:after="0" w:line="23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expect to rely on trademarks as one means to distinguish any of our product candidates that are approved for marketing from the products of our competitors.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spacing w:after="0" w:line="19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In addition, any proprietary name we propose to use with any future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spacing w:after="0" w:line="1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protect the confidentiality of our proprietary information, our business and competitive position would be harmed.</w:t>
      </w:r>
    </w:p>
    <w:p>
      <w:pPr>
        <w:spacing w:after="0" w:line="16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 addition to seeking and/or maintaining patent and trademark protection for etripamil and any future product candidate, we also rely on unpatented know - how, technology and other proprietary information, to maintain our competitive position. We seek to protect our proprietary information,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proprietary information is difficult, expensive, and time consuming, and the outcome is unpredictable. In addition, some courts inside and outside the United States are less willing or unwilling to protect trade secrets.</w:t>
      </w:r>
    </w:p>
    <w:p>
      <w:pPr>
        <w:spacing w:after="0" w:line="20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Moreover, our competitors may independently develop knowledge, methods, and know - how equivalent to our proprietary information. Competitors could purchase our products and replicate some or all of the competitive advantages we derive from our development efforts for technologies on which we do not have patent protection. If any of our proprietary information were to be lawfully obtained or independently developed by a competitor, we would have no right to prevent</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880" w:h="15480" w:orient="portrait"/>
          <w:cols w:equalWidth="0" w:num="1">
            <w:col w:w="9720"/>
          </w:cols>
          <w:pgMar w:left="1080" w:top="1064" w:right="1080" w:bottom="544" w:gutter="0" w:footer="0" w:header="0"/>
          <w:type w:val="continuous"/>
        </w:sectPr>
      </w:pPr>
    </w:p>
    <w:bookmarkStart w:id="61" w:name="page62"/>
    <w:bookmarkEnd w:id="61"/>
    <w:p>
      <w:pPr>
        <w:jc w:val="both"/>
        <w:spacing w:after="0" w:line="260" w:lineRule="auto"/>
        <w:rPr>
          <w:sz w:val="20"/>
          <w:szCs w:val="20"/>
          <w:color w:val="auto"/>
        </w:rPr>
      </w:pPr>
      <w:r>
        <w:rPr>
          <w:rFonts w:ascii="Times New Roman" w:cs="Times New Roman" w:eastAsia="Times New Roman" w:hAnsi="Times New Roman"/>
          <w:sz w:val="20"/>
          <w:szCs w:val="20"/>
          <w:color w:val="auto"/>
        </w:rPr>
        <w:t>them, or those to whom they communicate, from using that technology or information to compete with us. If any of our proprietary information were to be disclosed to or independently developed by a competitor, our competitive position would be harmed.</w:t>
      </w:r>
    </w:p>
    <w:p>
      <w:pPr>
        <w:spacing w:after="0" w:line="18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 - consuming, and the outcome is unpredictable. Further, we may not be able to obtain adequate remedies for any breach. In addition, our confidential information may otherwise become known or be independently discovered by competitors, in which case we would have no right to prevent them, or those to whom they communicate, from using that technology or information to compete with us.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Operations, Employee Matters and Managing Growth</w:t>
      </w:r>
    </w:p>
    <w:p>
      <w:pPr>
        <w:spacing w:after="0" w:line="24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future success depends on our ability to retain key executives and to attract, retain and motivate qualified personnel.</w:t>
      </w:r>
    </w:p>
    <w:p>
      <w:pPr>
        <w:spacing w:after="0" w:line="16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are highly dependent on our President and Chief Executive Officer, Joseph Oliveto, our Chief Medical Officer, David Bharucha, our Chief Commercial Officer, Lorenz Muller and our Chief Financial Officer, Amit Hasija. Each of these officers may currently terminate their employment with us at any time. The loss of the services of any of these persons could impede the achievement of our research, development, and commercialization objectives. We do not currently maintain “key person” life insurance on the lives of our executives or any of our employees other than on our President and Chief Executive Officer, Joseph Oliveto.</w:t>
      </w:r>
    </w:p>
    <w:p>
      <w:pPr>
        <w:spacing w:after="0" w:line="19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Recruiting and retaining qualified scientific and clinical personnel and, if we progress the development of any of our product candidates, commercialization,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 - quality personnel, our ability to pursue our growth strategy will be limited.</w:t>
      </w:r>
    </w:p>
    <w:p>
      <w:pPr>
        <w:spacing w:after="0" w:line="20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expand our organization in the future, and we may experience difficulties in managing this growth, which could disrupt our operations.</w:t>
      </w:r>
    </w:p>
    <w:p>
      <w:pPr>
        <w:spacing w:after="0" w:line="16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As we continue our efforts to commercialize CARDAMYST for the treatment of PSVT, pursue the development of subsequent etripamil indications and as we look to expand our pipeline, we may, in the future, experience significant growth in the number of our employees and the scope of our operations, particularly in the areas of research, drug development, regulatory affairs, sales, marketing and distribution. To manage any future growth, we will be required to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growth, we may not be able to effectively manage any expansion of our operations or recruit and train additional qualified personnel. Any expansion of our operations may lead to significant</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880" w:h="15480" w:orient="portrait"/>
          <w:cols w:equalWidth="0" w:num="1">
            <w:col w:w="9720"/>
          </w:cols>
          <w:pgMar w:left="1080" w:top="1064" w:right="1080" w:bottom="544" w:gutter="0" w:footer="0" w:header="0"/>
          <w:type w:val="continuous"/>
        </w:sectPr>
      </w:pPr>
    </w:p>
    <w:bookmarkStart w:id="62" w:name="page63"/>
    <w:bookmarkEnd w:id="62"/>
    <w:p>
      <w:pPr>
        <w:jc w:val="both"/>
        <w:spacing w:after="0" w:line="280" w:lineRule="auto"/>
        <w:rPr>
          <w:sz w:val="20"/>
          <w:szCs w:val="20"/>
          <w:color w:val="auto"/>
        </w:rPr>
      </w:pPr>
      <w:r>
        <w:rPr>
          <w:rFonts w:ascii="Times New Roman" w:cs="Times New Roman" w:eastAsia="Times New Roman" w:hAnsi="Times New Roman"/>
          <w:sz w:val="20"/>
          <w:szCs w:val="20"/>
          <w:color w:val="auto"/>
        </w:rPr>
        <w:t>costs and may divert our management and business development resources. Any inability to manage growth could delay the execution of our business plans or disrupt our operations.</w:t>
      </w:r>
    </w:p>
    <w:p>
      <w:pPr>
        <w:spacing w:after="0" w:line="1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Our internal computer systems, or those of our collaborators, contractors, consultants, or other third parties with whom we work, may fail or suffer security breaches, which could result in a material disruption of our product development programs and can lead to adverse consequences, including but not limited to regulatory investigations or actions; litigation; fines and penalties; reputational harm; loss of revenue or profits; loss of customers or sales; disruption of our business operations.</w:t>
      </w:r>
    </w:p>
    <w:p>
      <w:pPr>
        <w:spacing w:after="0" w:line="195" w:lineRule="exact"/>
        <w:rPr>
          <w:sz w:val="20"/>
          <w:szCs w:val="20"/>
          <w:color w:val="auto"/>
        </w:rPr>
      </w:pPr>
    </w:p>
    <w:p>
      <w:pPr>
        <w:jc w:val="both"/>
        <w:ind w:firstLine="1"/>
        <w:spacing w:after="0" w:line="255" w:lineRule="auto"/>
        <w:rPr>
          <w:sz w:val="20"/>
          <w:szCs w:val="20"/>
          <w:color w:val="auto"/>
        </w:rPr>
      </w:pPr>
      <w:r>
        <w:rPr>
          <w:rFonts w:ascii="Times New Roman" w:cs="Times New Roman" w:eastAsia="Times New Roman" w:hAnsi="Times New Roman"/>
          <w:sz w:val="19"/>
          <w:szCs w:val="19"/>
          <w:color w:val="auto"/>
        </w:rPr>
        <w:t>In the ordinary course of our business, we and the third parties with whom we work, process proprietary, confidential, and sensitive data, including personal data (such as health-related data), intellectual property and trade secrets, or collectively, “sensitive information”. Our internal computer systems and those of our current and any future collaborators, contractors, consultants, or other third parties with whom we work, are vulnerable to a variety of evolving threats, including but not limited to damage from malicious code (such as computer viruses and worms), unauthorized access, natural disasters, terrorism, war, social-engineering attacks (including through deep fakes, which may be increasingly more difficult to identify as fake, and phishing attacks),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attacks enhanced or facilitated by artificial intelligence, telecommunication and electrical failures, and other similar threats. In particular, severe ransomware attacks are becoming increasingly prevalent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Cyber-attacks are increasing in their frequency, sophistication, and intensity, and have become increasingly difficult to detect. Cyber-attacks, malicious internet-based activity, online and offline fraud, and other similar activities can affect service reliability and threaten the confidentiality, integrity, and availability our sensitive information and information technology systems, and those of the third parties with whom we work. Cyber-attacks also could include phishing attempts or e - mail fraud to cause payments or information to be transmitted to an unintended recipient.</w:t>
      </w:r>
    </w:p>
    <w:p>
      <w:pPr>
        <w:spacing w:after="0" w:line="19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with whom we work, may be vulnerable to a heightened risk of these attacks, including retaliatory cyber-attacks, which could materially disrupt our systems and operations, supply chain, and ability to produce, sell, and distribute our goods and services. A significant system failure, accident, or security could cause interruptions in our operations, and could result in a disruption of our development programs and our business operations, whether due to a loss of our trade secrets or other proprietary information or other similar disruptions. For example, the loss of clinical trial data from completed or future clinical trials by us or our CROs could result in delays in our regulatory approval efforts and significantly increase our costs to recover or reproduce the data. Additionally, any such event that leads to unauthorized access, use or disclosure of personal data, including personal data regarding our patients or employees, could harm our reputation, cause us not to comply with federal and/or state breach notification laws and foreign law equivalents and otherwise subject us to liability under laws and regulations that protect the privacy and security of personal data. Security breaches and other inappropriate access can be difficult to detect, and any delay in identifying them may lead to increased harm of the type described above. 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failure to comply with such requirements could lead to adverse consequences.</w:t>
      </w:r>
    </w:p>
    <w:p>
      <w:pPr>
        <w:spacing w:after="0" w:line="2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While we have implemented security measures designed to protect against security incidents, there can be no assurance that these measures will be effective. We take steps to detect, mitigate, and remediate vulnerabilities in our information systems (such as our hardware and/or software, including that of third parties with whom we work), but we may not, in the future, be able to detect and remediate all such vulnerabilities including on a timely basis. Further, we have experienced and may in the future experience delays in developing and deploying remedial measures and patches designed to address identified vulnerabilities. Vulnerabilities could be exploited and result in a security incident. To the extent that any</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880" w:h="15480" w:orient="portrait"/>
          <w:cols w:equalWidth="0" w:num="1">
            <w:col w:w="9720"/>
          </w:cols>
          <w:pgMar w:left="1080" w:top="1064" w:right="1080" w:bottom="544" w:gutter="0" w:footer="0" w:header="0"/>
          <w:type w:val="continuous"/>
        </w:sectPr>
      </w:pPr>
    </w:p>
    <w:bookmarkStart w:id="63" w:name="page64"/>
    <w:bookmarkEnd w:id="63"/>
    <w:p>
      <w:pPr>
        <w:jc w:val="both"/>
        <w:ind w:firstLine="1"/>
        <w:spacing w:after="0" w:line="243" w:lineRule="auto"/>
        <w:rPr>
          <w:sz w:val="20"/>
          <w:szCs w:val="20"/>
          <w:color w:val="auto"/>
        </w:rPr>
      </w:pPr>
      <w:r>
        <w:rPr>
          <w:rFonts w:ascii="Times New Roman" w:cs="Times New Roman" w:eastAsia="Times New Roman" w:hAnsi="Times New Roman"/>
          <w:sz w:val="20"/>
          <w:szCs w:val="20"/>
          <w:color w:val="auto"/>
        </w:rPr>
        <w:t>disruption or security breach were to result in a loss of, or damage to, our data or applications, or inappropriate disclosure of sensitive information, we could incur liability, our competitive position could be harmed, and the further development and commercialization of our product candidates could be delayed. We may expend significant resources or modify our business activities (including our clinical trial activities) to try to protect against security incidents. Certain data privacy and security obligations have required us to implement and maintain specific security measures or industry- standard or reasonable security measures to protect our information technology systems and sensitive information. 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We rely on third parties to operate critical business systems to process sensitive information in a variety of contexts, including, without limitation, cloud-based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 If the third parties with whom we work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an award. In addition, supply-chain attacks have increased in frequency and severity, and we cannot guarantee that third parties’ infrastructure in our supply chain or that of the third parties with whom we work have not been compromised.</w:t>
      </w:r>
    </w:p>
    <w:p>
      <w:pPr>
        <w:spacing w:after="0" w:line="18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Any of the previously identified or similar threats have in the past and may in the future cause a security incident or other interruption that have in the past and may in the future result in unauthorized, unlawful, or accidental acquisition, modification, destruction, loss, alteration, encryption, disclosure of, or access to our sensitive information or our information technology systems, or those of the third parties with whom we work. A security incident or other interruption could disrupt our ability (and that of the third parties with whom we work) to provide our services.</w:t>
      </w:r>
    </w:p>
    <w:p>
      <w:pPr>
        <w:spacing w:after="0" w:line="19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If we (or the third parties with whom we work)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class-action claims); indemnification obligations; negative publicity; reputational harm; monetary fund diversions; diversion of management attention; interruptions in our operations (including availability of data); financial loss; and other similar harms. Security incidents and attendant consequences may prevent or cause customers to stop using our services, deter new customers from using our services, and negatively impact our ability to grow and operate our business. Our contracts may not contain limitations of liability, and even where they do, there can be no assurance that limitations of liability in our contracts are sufficient to protect us from liabilities, damages, or claims related to our data privacy and security obligations.</w:t>
      </w:r>
    </w:p>
    <w:p>
      <w:pPr>
        <w:spacing w:after="0" w:line="203"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sensitive information of the Company could be leaked, disclosed, or revealed as a result of or in connection with our employees’, personnel’s, or vendors’ use of generative artificial intelligence, or “AI,” technologies. Any sensitive information (including confidential, competitive, proprietary, or personal data) that we input into a third-party generative AI or platform could be leaked or disclosed to others, including if sensitive information is used to train the third parties’ AI technologies.</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880" w:h="15480" w:orient="portrait"/>
          <w:cols w:equalWidth="0" w:num="1">
            <w:col w:w="9720"/>
          </w:cols>
          <w:pgMar w:left="1080" w:top="1064" w:right="1080" w:bottom="544" w:gutter="0" w:footer="0" w:header="0"/>
          <w:type w:val="continuous"/>
        </w:sectPr>
      </w:pPr>
    </w:p>
    <w:bookmarkStart w:id="64" w:name="page65"/>
    <w:bookmarkEnd w:id="64"/>
    <w:p>
      <w:pPr>
        <w:ind w:right="60"/>
        <w:spacing w:after="0" w:line="245" w:lineRule="auto"/>
        <w:rPr>
          <w:sz w:val="20"/>
          <w:szCs w:val="20"/>
          <w:color w:val="auto"/>
        </w:rPr>
      </w:pPr>
      <w:r>
        <w:rPr>
          <w:rFonts w:ascii="Times New Roman" w:cs="Times New Roman" w:eastAsia="Times New Roman" w:hAnsi="Times New Roman"/>
          <w:sz w:val="20"/>
          <w:szCs w:val="20"/>
          <w:color w:val="auto"/>
        </w:rPr>
        <w:t>Additionally, where an AI technology ingests personal data and makes connections using such data, those technologies may reveal other personal or sensitive information generated by the model. Moreover, AI technologies may create flawed, incomplete, or inaccurate outputs, some of which may appear correct. This may happen if the inputs that the model relied on were inaccurate, incomplete or flawed (including if a bad actor “poisons” the AI technology with bad inputs or logic), or if the logic of the AI technology is flawed (a so-called “hallucination”). We may use AI technology outputs to make certain decisions. Due to these potential inaccuracies or flaws, the model could be biased and could lead us to make decisions that could bias certain individuals (or classes of individuals), and adversely impact their rights, employment, and ability to obtain certain pricing, products, services, or benefits.</w:t>
      </w:r>
    </w:p>
    <w:p>
      <w:pPr>
        <w:spacing w:after="0" w:line="24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We (and the third parties with whom we work) are subject to stringent and evolving U.S. and foreign laws, regulations, and rules, contractual obligations, industry standards, policies, and other obligations related to data privacy and security. Our (or the third parties with whom we work) actual or perceived failure to comply with such obligations could lead to regulatory investigations or actions; litigation (including class-action claims) and mass arbitration demands; fines and penalties; disruptions of our business operations; reputational harm; loss of revenue or profits; and other adverse business consequences.</w:t>
      </w:r>
    </w:p>
    <w:p>
      <w:pPr>
        <w:spacing w:after="0" w:line="1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In the ordinary course of business, we collect, receive, store, process, generate, use, transfer, disclose, make accessible, protect, secure, dispose of, transmit, and share (collectively, “process”) personal data and other sensitive information, including proprietary and confidential business data, trade secrets, intellectual property, data we collect about trial participants in connection with clinical trials and sensitive third-party data.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 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Numerous U.S. states have enacted comprehensive privacy laws that impose certain obligations on covered businesses, including providing specific disclosures in privacy notices and affording residents with certain rights concerning their personal data.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applies to personal data of consumers, business representatives, and employees who are California residents, and requires businesses to provide specific disclosures in privacy notices and honor requests of such individuals to exercise certain privacy rights. The CCPA provides for and allows private litigants affected by certain data breaches to recover significant statutory damages. Similar laws are being considered in several other states, as well as at the federal and local levels, and we expect more states to pass similar laws in the future. While these states, like the CCPA, also exempt some data processed in the context of clinical trials, these developments further complicate compliance efforts, and increase legal risk and compliance costs for us, the third parties upon whom we rely. We are also subject to new laws governing the privacy of consumer health data. For example, Washington’s My Health My Data Act, or “MHMD,” broadly defines consumer health data, places restrictions on processing consumer health data (including imposing stringent requirements for consents), provides consumers certain rights with respect to their health data, and creates a private right of action to allow individuals to sue for violations of the law. Other states have passed, are considering, and may adopt similar laws.</w:t>
      </w:r>
    </w:p>
    <w:p>
      <w:pPr>
        <w:spacing w:after="0" w:line="18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Outside the United States, an increasing number of laws, regulations, and industry standards govern data privacy and security. For example, the European Union’s General Data Protection Regulation, or “EU GDPR,” the United Kingdom’s GDPR, or “UK GDPR,”, and China’s Personal Information Protection Law, or “PIPL,” impose strict requirements for processing personal data. Additionally, in Canada, the Personal Information Protection and Electronic Documents Act, or “PIPEDA,” and various related provincial laws, as well as Canada’s Anti-Spam Legislation, or “CASL,” may apply to our operations.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anticipate seeking regulatory approval for, and commercializing, etripamil for the treatment of PSVT in Europe. We may also elect to do so for future product candidates. We are conducting clinical trial activities in Europe, which subject us to European data protection laws, including the EU GDPR and the UK GDPR. The GDPR establishes requirements applicable to the processing of personal data (i.e., data which identifies an individual or from which an individual is</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880" w:h="15480" w:orient="portrait"/>
          <w:cols w:equalWidth="0" w:num="1">
            <w:col w:w="9720"/>
          </w:cols>
          <w:pgMar w:left="1080" w:top="1064" w:right="1080" w:bottom="544" w:gutter="0" w:footer="0" w:header="0"/>
          <w:type w:val="continuous"/>
        </w:sectPr>
      </w:pPr>
    </w:p>
    <w:bookmarkStart w:id="65" w:name="page66"/>
    <w:bookmarkEnd w:id="65"/>
    <w:p>
      <w:pPr>
        <w:jc w:val="both"/>
        <w:spacing w:after="0" w:line="241" w:lineRule="auto"/>
        <w:rPr>
          <w:sz w:val="20"/>
          <w:szCs w:val="20"/>
          <w:color w:val="auto"/>
        </w:rPr>
      </w:pPr>
      <w:r>
        <w:rPr>
          <w:rFonts w:ascii="Times New Roman" w:cs="Times New Roman" w:eastAsia="Times New Roman" w:hAnsi="Times New Roman"/>
          <w:sz w:val="20"/>
          <w:szCs w:val="20"/>
          <w:color w:val="auto"/>
        </w:rPr>
        <w:t>identifiable). The GDPR creates significant and complex compliance burdens for companies such as: limiting permitted processing of personal data to only that which is necessary for specified, explicit and legitimate purposes; requiring the establishment a legal basis for processing personal data; expressly confirming that ‘pseudonymized’ or key coded data constitutes personal data to which the GDPR applies; creating obligations for controllers and processors to appoint data protection officers in certain circumstances; increasing transparency obligations to data subjects for controllers (including presentation of certain information in a concise, intelligible and easily accessible form about how their personal data is used and their rights vis-à-vis that data and its use); introducing the obligation to carry out so-called data protection impact assessments in certain circumstances; establishing limitations on collection and retention of personal data through ‘data minimization’ and ‘storage limitation’ principles; establishing obligations to implement ‘privacy by design’; introducing obligations to honor increased rights for data subjects (such as rights for individuals to be ‘forgotten,’ rights to data portability, rights to object etc. in certain circumstances); formalizing a heightened and codified standard of data subject consent; establishing obligations to implement certain technical and organizational safeguards to protect the security and confidentiality of personal data; introducing obligations to agree to certain specific contractual terms and to take certain measures when engaging third - party processors and joint controllers; introducing the obligation to provide notice of certain significant personal data breaches to the relevant supervisory authority(ies) and affected individuals; and mandating the appointment of representatives in the United Kingdom, or the “UK,” and/or European Union in certain circumstances. The processing of “special category personal data”, such as health information, may also impose heightened compliance burdens under the GDPR. The GDPR has robust regulatory enforcement and penalties for noncompliance, including fines of up to €20 million Euros under the EU GDPR, 17.5 million pounds sterling under the UK GDPR, or, in each case 4% of global annual revenue of any noncompliant company for the preceding financial year, whichever is higher or private litigation related to processing of personal data brought by classes of data subjects or consumer protection organizations authorized at law to represent their interests. In addition to administrative fines, a wide variety of other potential enforcement powers are available to competent supervisory authorities in respect of potential and suspected violations of the GDPR, including extensive audit and inspection rights, and powers to order temporary or permanent bans on all or some processing of personal data carried out by noncompliant actors. The GDPR also confers a private right of action on data subjects and consumer associations to lodge complaints with supervisory authorities, seek judicial remedies, and obtain compensation for damages resulting from violations of the GDPR. There may be circumstances under which a failure to comply with GDPR, or the exercise of individual rights under the GDPR, would limit our ability to utilize clinical trial data collected on certain subjects. The GDPR will likely impose additional responsibility and liability in relation to our processing of personal data. This may be onerous and materially adversely affect our business, financial condition, results of operations, and prospects.</w:t>
      </w:r>
    </w:p>
    <w:p>
      <w:pPr>
        <w:spacing w:after="0" w:line="212" w:lineRule="exact"/>
        <w:rPr>
          <w:sz w:val="20"/>
          <w:szCs w:val="20"/>
          <w:color w:val="auto"/>
        </w:rPr>
      </w:pPr>
    </w:p>
    <w:p>
      <w:pPr>
        <w:jc w:val="both"/>
        <w:ind w:firstLine="1"/>
        <w:spacing w:after="0" w:line="255" w:lineRule="auto"/>
        <w:rPr>
          <w:sz w:val="20"/>
          <w:szCs w:val="20"/>
          <w:color w:val="auto"/>
        </w:rPr>
      </w:pPr>
      <w:r>
        <w:rPr>
          <w:rFonts w:ascii="Times New Roman" w:cs="Times New Roman" w:eastAsia="Times New Roman" w:hAnsi="Times New Roman"/>
          <w:sz w:val="19"/>
          <w:szCs w:val="19"/>
          <w:color w:val="auto"/>
        </w:rPr>
        <w:t>In the ordinary course of business, we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Areas, or “EEA,” and the UK have significantly restricted the transfer of personal data to the United States and other countries whose privacy laws it generally believes are inadequate. One of the primary safeguards allowing U.S. companies to import personal data from Europe is the European Commission’s Standard Contractual Clauses and we have relied on Standard Contractual Clauses to comply with the GDPR’s restrictions on transfer of personal data out of Europe. However, in July 2020 the Court of Justice of the European Union, or “CJEU,” in a case known colloquially as “Schrems II” raised questions about whether the Standard Contractual Clauses can lawfully be used for personal data transfers from Europe to the United States or other third countries that are not the subject of an adequacy decision of the European Commission. At present, there are few viable alternatives to the Standard Contractual Clauses including the UK’s International Data Transfer Agreement / Addendum, and the EU-U.S. Data Privacy Framework and the UK extension thereto (which allows for transfers to relevant U.S.-based organizations who self-certify compliance and participate in the Framework). However, these mechanisms are subject to legal challenges, and there is no assurance that we can satisfy or rely on these measures to lawfully transfer personal data to the United States. As such, if we are unable to implement a valid solution to transfer personal data from the EEA, the UK or other jurisdictions to the United States, or if the requirements for a legally-compliant transfer are too onerous, we could face significant adverse consequences, including the interruption or degradation of our operations, increased exposure to regulatory actions, substantial fines and penalties, injunctions against our processing or transferring of personal data necessary to operate our business, the need to relocate part of or all of our business or data processing activities to other jurisdictions (such as Europe) at significant expense, and limit our ability to collaborate with partners as well as other service providers, contractors and other companies subject to European data protection laws. Restrictions on our ability to import personal data from Europe could therefore impact our clinical trial activities in Europe and limit our</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880" w:h="15480" w:orient="portrait"/>
          <w:cols w:equalWidth="0" w:num="1">
            <w:col w:w="9720"/>
          </w:cols>
          <w:pgMar w:left="1080" w:top="1064" w:right="1080" w:bottom="544" w:gutter="0" w:footer="0" w:header="0"/>
          <w:type w:val="continuous"/>
        </w:sectPr>
      </w:pPr>
    </w:p>
    <w:bookmarkStart w:id="66" w:name="page67"/>
    <w:bookmarkEnd w:id="66"/>
    <w:p>
      <w:pPr>
        <w:jc w:val="both"/>
        <w:spacing w:after="0" w:line="250" w:lineRule="auto"/>
        <w:rPr>
          <w:sz w:val="20"/>
          <w:szCs w:val="20"/>
          <w:color w:val="auto"/>
        </w:rPr>
      </w:pPr>
      <w:r>
        <w:rPr>
          <w:rFonts w:ascii="Times New Roman" w:cs="Times New Roman" w:eastAsia="Times New Roman" w:hAnsi="Times New Roman"/>
          <w:sz w:val="20"/>
          <w:szCs w:val="20"/>
          <w:color w:val="auto"/>
        </w:rPr>
        <w:t>ability to collaborate with CROs and other third parties subject to European data protection laws. Additionally, other countries outside of Europe have enacted or are considering enacting similarly stringent data localization and cross-border data transfer restrictions and laws, which could increase the cost and complexity of delivering our services and operating our business. The type of challenges we face in Europe will likely also arise in other jurisdictions that adopt laws similar in construction to the GDPR or regulatory frameworks of equivalent complexity.</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Additionally, the U.S. Department of Justice issued a rule entitled Preventing Access to U.S. Sensitive Personal Data and Government-Related Data by Countries of Concern or Covered Persons, which places additional restrictions on certain data transactions involving countries of concern (e.g., China, Russia, Iran) and covered individuals (i.e., individuals and entities located in or controlled by individuals or entities located in those jurisdictions) that may impact certain business activities such as vendor engagements, employment of certain individuals and investor agreements. Violations of the rule could lead to significant civil and criminal fines and penalties. The rule applies regardless of whether data is anonymized, key-coded, pseudonymized, de-identified or encrypted.</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In addition to data privacy and security laws, we are contractually subject to industry standards adopted by industry groups, and we are and may become in the future, subject to such obligations. We are also bound by contractual obligations related to data privacy and security, and our efforts to comply with such obligations may not be successful.</w:t>
      </w:r>
    </w:p>
    <w:p>
      <w:pPr>
        <w:spacing w:after="0" w:line="1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We publish privacy policies, marketing materials, whitepapers, and other statements, such as statements related to compliance with certain certifications or self-regulatory principles, concerning data privacy, security and AI.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192" w:lineRule="exact"/>
        <w:rPr>
          <w:sz w:val="20"/>
          <w:szCs w:val="20"/>
          <w:color w:val="auto"/>
        </w:rPr>
      </w:pPr>
    </w:p>
    <w:p>
      <w:pPr>
        <w:jc w:val="both"/>
        <w:ind w:firstLine="1"/>
        <w:spacing w:after="0" w:line="241" w:lineRule="auto"/>
        <w:rPr>
          <w:sz w:val="20"/>
          <w:szCs w:val="20"/>
          <w:color w:val="auto"/>
        </w:rPr>
      </w:pPr>
      <w:r>
        <w:rPr>
          <w:rFonts w:ascii="Times New Roman" w:cs="Times New Roman" w:eastAsia="Times New Roman" w:hAnsi="Times New Roman"/>
          <w:sz w:val="20"/>
          <w:szCs w:val="20"/>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In addition, these obligations may require us to change our business model. We may at times fail (or be perceived to have failed) in our efforts to comply with our data privacy and security obligations. Moreover, despite our efforts, our personnel or third parties with whom we work may fail to comply with such obligations, which could negatively impact our business operations. If we or the third parties with whom we work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or restrictions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 We use generative AI to assist us in making certain decisions, which is regulated by certain privacy laws. Due to inaccuracies or flaws in the inputs, outputs, or logic of the AI technologies, the model could be biased and could lead us to make decisions that could bias certain individuals (or classes of individuals), and adversely impact their rights, employment, and ability to obtain certain pricing, products, services, or benefits. The development and use of AI technologies present various privacy and security risks that may impact our business. AI technologies are subject to privacy and data security laws, as well as increasing regulation and scrutiny.</w:t>
      </w:r>
    </w:p>
    <w:p>
      <w:pPr>
        <w:spacing w:after="0" w:line="204"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9"/>
          <w:szCs w:val="19"/>
          <w:color w:val="auto"/>
        </w:rPr>
        <w:t>Our employees and personnel may use AI technologies to perform their work, and the disclosure and use of personal data in generative AI technologies is subject to various privacy laws and other privacy obligations. Governments have passed</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880" w:h="15480" w:orient="portrait"/>
          <w:cols w:equalWidth="0" w:num="1">
            <w:col w:w="9720"/>
          </w:cols>
          <w:pgMar w:left="1080" w:top="1064" w:right="1080" w:bottom="544" w:gutter="0" w:footer="0" w:header="0"/>
          <w:type w:val="continuous"/>
        </w:sectPr>
      </w:pPr>
    </w:p>
    <w:bookmarkStart w:id="67" w:name="page68"/>
    <w:bookmarkEnd w:id="67"/>
    <w:p>
      <w:pPr>
        <w:jc w:val="both"/>
        <w:spacing w:after="0" w:line="260" w:lineRule="auto"/>
        <w:rPr>
          <w:sz w:val="20"/>
          <w:szCs w:val="20"/>
          <w:color w:val="auto"/>
        </w:rPr>
      </w:pPr>
      <w:r>
        <w:rPr>
          <w:rFonts w:ascii="Times New Roman" w:cs="Times New Roman" w:eastAsia="Times New Roman" w:hAnsi="Times New Roman"/>
          <w:sz w:val="20"/>
          <w:szCs w:val="20"/>
          <w:color w:val="auto"/>
        </w:rPr>
        <w:t>and are likely to pass additional laws and regulations which regulate generative AI. Our use of this technology could result in additional compliance costs, regulatory investigations and actions, and lawsuits. If we are unable to use generative AI, it could make our business less efficient and result in competitive disadvantages.</w:t>
      </w:r>
    </w:p>
    <w:p>
      <w:pPr>
        <w:spacing w:after="0" w:line="18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employees, principal investigators, consultants, and commercial partners may engage in misconduct or other improper activities, including non - compliance with regulatory standards and requirements and insider trading.</w:t>
      </w:r>
    </w:p>
    <w:p>
      <w:pPr>
        <w:spacing w:after="0" w:line="16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We are exposed to the risk of fraud or other misconduct by our employees, principal investigators, consultants, and commercial partners. Misconduct by these parties could include intentional failures to comply with FDA regulations or the regulations applicable in other jurisdictions, provide accurate information to the FDA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 - 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result in significant civil, criminal, and administrative penalties, damages, fines, disgorgement, imprisonment, exclusion from participating in government-funded healthcare programs, such as Medicare and Medicaid, additional reporting requirements and oversight if we become subject to a corporate integrity agreement or similar agreement to resolve allegations of non - compliance with these laws, contractual damages, reputational harm, and the curtailment or restructuring of our operations, any of which could have a negative impact on our business, financial condition, results of operations, and prospects.</w:t>
      </w:r>
    </w:p>
    <w:p>
      <w:pPr>
        <w:spacing w:after="0" w:line="20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Disruptions at the FDA, the SEC and other government agencies and regulatory authorities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9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ability of the FDA and comparable foreign regulatory authorities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9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Disruptions at the FDA may slow the time necessary for new products to be reviewed and/or approved, which would adversely affect our business. For example, over the last several years, including most recently in October 2025,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ability of the FDA and other government agencies to properly administer their functions is highly dependent on the levels of government funding and the ability to fill key leadership appointments, among various factors. Changes in FDA staffing could result in delays in the FDA’s responsiveness or in its ability to review submissions or applications, issue regulations or guidance, or implement or enforce regulatory requirements in a timely fashion or at all. If any legislation, executive orders, or lapses in agency funding impose constraints on the FDA’s ability to engage in oversight and</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1880" w:h="15480" w:orient="portrait"/>
          <w:cols w:equalWidth="0" w:num="1">
            <w:col w:w="9720"/>
          </w:cols>
          <w:pgMar w:left="1080" w:top="1064" w:right="1080" w:bottom="544" w:gutter="0" w:footer="0" w:header="0"/>
          <w:type w:val="continuous"/>
        </w:sectPr>
      </w:pPr>
    </w:p>
    <w:bookmarkStart w:id="68" w:name="page69"/>
    <w:bookmarkEnd w:id="68"/>
    <w:p>
      <w:pPr>
        <w:jc w:val="both"/>
        <w:spacing w:after="0" w:line="260" w:lineRule="auto"/>
        <w:rPr>
          <w:sz w:val="20"/>
          <w:szCs w:val="20"/>
          <w:color w:val="auto"/>
        </w:rPr>
      </w:pPr>
      <w:r>
        <w:rPr>
          <w:rFonts w:ascii="Times New Roman" w:cs="Times New Roman" w:eastAsia="Times New Roman" w:hAnsi="Times New Roman"/>
          <w:sz w:val="20"/>
          <w:szCs w:val="20"/>
          <w:color w:val="auto"/>
        </w:rPr>
        <w:t>implementation activities in the normal course, our business may be negatively impacted. In addition, government funding of other government agencies that fund research and development activities is subject to the political process, which is inherently fluid and unpredictable.</w:t>
      </w:r>
    </w:p>
    <w:p>
      <w:pPr>
        <w:spacing w:after="0" w:line="18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current or future acquisitions or strategic collaborations could increase our capital requirements, dilute our shareholders, cause us to incur debt, or assume contingent liabilities and subject us to other risks.</w:t>
      </w:r>
    </w:p>
    <w:p>
      <w:pPr>
        <w:spacing w:after="0" w:line="1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actively search for and continually evaluate various acquisition and strategic collaboration opportunities, including licensing or acquiring complementary drugs, intellectual property rights, technologies or businesses, as deemed appropriate to carry out our business plan. Our collaborations, including any future acquisitions or strategic partnerships, may entail numerous risks, including:</w:t>
      </w:r>
    </w:p>
    <w:p>
      <w:pPr>
        <w:spacing w:after="0" w:line="191" w:lineRule="exact"/>
        <w:rPr>
          <w:sz w:val="20"/>
          <w:szCs w:val="20"/>
          <w:color w:val="auto"/>
        </w:rPr>
      </w:pPr>
    </w:p>
    <w:p>
      <w:pPr>
        <w:ind w:left="1080" w:hanging="353"/>
        <w:spacing w:after="0"/>
        <w:tabs>
          <w:tab w:leader="none" w:pos="10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operating expenses and cash requirements;</w:t>
      </w:r>
    </w:p>
    <w:p>
      <w:pPr>
        <w:spacing w:after="0" w:line="239"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assumption of additional indebtedness or contingent liabilities;</w:t>
      </w:r>
    </w:p>
    <w:p>
      <w:pPr>
        <w:spacing w:after="0" w:line="240" w:lineRule="exact"/>
        <w:rPr>
          <w:rFonts w:ascii="Times New Roman" w:cs="Times New Roman" w:eastAsia="Times New Roman" w:hAnsi="Times New Roman"/>
          <w:sz w:val="20"/>
          <w:szCs w:val="20"/>
          <w:color w:val="auto"/>
        </w:rPr>
      </w:pPr>
    </w:p>
    <w:p>
      <w:pPr>
        <w:ind w:left="1080" w:hanging="353"/>
        <w:spacing w:after="0" w:line="280" w:lineRule="auto"/>
        <w:tabs>
          <w:tab w:leader="none" w:pos="10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assimilation of operations, intellectual property, and drugs of an acquired company, including difficulties associated with integrating new personnel;</w:t>
      </w:r>
    </w:p>
    <w:p>
      <w:pPr>
        <w:spacing w:after="0" w:line="162" w:lineRule="exact"/>
        <w:rPr>
          <w:rFonts w:ascii="Times New Roman" w:cs="Times New Roman" w:eastAsia="Times New Roman" w:hAnsi="Times New Roman"/>
          <w:sz w:val="20"/>
          <w:szCs w:val="20"/>
          <w:color w:val="auto"/>
        </w:rPr>
      </w:pPr>
    </w:p>
    <w:p>
      <w:pPr>
        <w:ind w:left="1080" w:hanging="353"/>
        <w:spacing w:after="0" w:line="280" w:lineRule="auto"/>
        <w:tabs>
          <w:tab w:leader="none" w:pos="10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diversion of our management’s attention from our existing drug programs and initiatives in pursuing such a strategic partnership, merger, or acquisition;</w:t>
      </w:r>
    </w:p>
    <w:p>
      <w:pPr>
        <w:spacing w:after="0" w:line="162" w:lineRule="exact"/>
        <w:rPr>
          <w:rFonts w:ascii="Times New Roman" w:cs="Times New Roman" w:eastAsia="Times New Roman" w:hAnsi="Times New Roman"/>
          <w:sz w:val="20"/>
          <w:szCs w:val="20"/>
          <w:color w:val="auto"/>
        </w:rPr>
      </w:pPr>
    </w:p>
    <w:p>
      <w:pPr>
        <w:ind w:left="1080" w:hanging="353"/>
        <w:spacing w:after="0" w:line="280" w:lineRule="auto"/>
        <w:tabs>
          <w:tab w:leader="none" w:pos="10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retention of key employees, the loss of key personnel, and uncertainties in our ability to maintain key business relationships;</w:t>
      </w:r>
    </w:p>
    <w:p>
      <w:pPr>
        <w:spacing w:after="0" w:line="164" w:lineRule="exact"/>
        <w:rPr>
          <w:rFonts w:ascii="Times New Roman" w:cs="Times New Roman" w:eastAsia="Times New Roman" w:hAnsi="Times New Roman"/>
          <w:sz w:val="20"/>
          <w:szCs w:val="20"/>
          <w:color w:val="auto"/>
        </w:rPr>
      </w:pPr>
    </w:p>
    <w:p>
      <w:pPr>
        <w:ind w:left="1080" w:hanging="353"/>
        <w:spacing w:after="0" w:line="280" w:lineRule="auto"/>
        <w:tabs>
          <w:tab w:leader="none" w:pos="10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and uncertainties associated with the other party to such a transaction, including the prospects of that party and their existing drugs or product candidates and regulatory approvals; and</w:t>
      </w:r>
    </w:p>
    <w:p>
      <w:pPr>
        <w:spacing w:after="0" w:line="162" w:lineRule="exact"/>
        <w:rPr>
          <w:rFonts w:ascii="Times New Roman" w:cs="Times New Roman" w:eastAsia="Times New Roman" w:hAnsi="Times New Roman"/>
          <w:sz w:val="20"/>
          <w:szCs w:val="20"/>
          <w:color w:val="auto"/>
        </w:rPr>
      </w:pPr>
    </w:p>
    <w:p>
      <w:pPr>
        <w:ind w:left="1080" w:hanging="353"/>
        <w:spacing w:after="0" w:line="280" w:lineRule="auto"/>
        <w:tabs>
          <w:tab w:leader="none" w:pos="108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generate revenue from acquired technology and/or drugs sufficient to meet our objectives in undertaking the acquisition or even to offset the associated acquisition and maintenance costs.</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In addition, in connection with our current or future acquisitions or strategic partnerships, we may issue dilutive securities, assume or incur debt obligations, incur large one - time expenses, and acquire intangible assets that could result in significant future amortization expense. Moreover, we may not be able to locate suitable future acquisition opportunities, and this inability could impair our ability to grow or obtain access to technology or drugs that may be important to the development of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Ownership of Our Common Shares</w:t>
      </w:r>
    </w:p>
    <w:p>
      <w:pPr>
        <w:spacing w:after="0" w:line="24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market price of our common shares has been and may continue to be volatile and fluctuate substantially, and you could lose all or part of your investment.</w:t>
      </w:r>
    </w:p>
    <w:p>
      <w:pPr>
        <w:spacing w:after="0" w:line="1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market price of our common shares has been and may continue to be highly volatile and could be subject to wide fluctuations in price in response to various factors, many of which are beyond our control. From January 1, 2025 through March 20, 2026, the price of our common shares has ranged from $0.65 per share to $2.95 per share.</w:t>
      </w:r>
    </w:p>
    <w:p>
      <w:pPr>
        <w:spacing w:after="0" w:line="1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stock market in general and the market for biopharmaceutical and pharmaceutical companies in particular, has experienced extreme volatility that has often been unrelated to the operating performance of particular companies. As a result of this volatility, you may not be able to sell your common shares at or above the price paid for the shares. In addition to the factors discussed in this “Risk Factors” section and elsewhere in this Annual Report on Form 10-K, the market price for our common shares may be influenced by the following:</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1880" w:h="15480" w:orient="portrait"/>
          <w:cols w:equalWidth="0" w:num="1">
            <w:col w:w="9720"/>
          </w:cols>
          <w:pgMar w:left="1080" w:top="1064" w:right="1080" w:bottom="544" w:gutter="0" w:footer="0" w:header="0"/>
          <w:type w:val="continuous"/>
        </w:sectPr>
      </w:pPr>
    </w:p>
    <w:bookmarkStart w:id="69" w:name="page70"/>
    <w:bookmarkEnd w:id="69"/>
    <w:p>
      <w:pPr>
        <w:ind w:left="1080" w:hanging="353"/>
        <w:spacing w:after="0" w:line="231" w:lineRule="auto"/>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meet external revenue and profitability expectations for CARDAMYST</w:t>
      </w:r>
      <w:r>
        <w:rPr>
          <w:rFonts w:ascii="Times New Roman" w:cs="Times New Roman" w:eastAsia="Times New Roman" w:hAnsi="Times New Roman"/>
          <w:sz w:val="25"/>
          <w:szCs w:val="25"/>
          <w:b w:val="1"/>
          <w:bCs w:val="1"/>
          <w:color w:val="auto"/>
          <w:vertAlign w:val="superscript"/>
        </w:rPr>
        <w:t>TM</w:t>
      </w:r>
      <w:r>
        <w:rPr>
          <w:rFonts w:ascii="Times New Roman" w:cs="Times New Roman" w:eastAsia="Times New Roman" w:hAnsi="Times New Roman"/>
          <w:sz w:val="20"/>
          <w:szCs w:val="20"/>
          <w:color w:val="auto"/>
        </w:rPr>
        <w:t xml:space="preserve"> for the treatment of PSVT;</w:t>
      </w:r>
    </w:p>
    <w:p>
      <w:pPr>
        <w:spacing w:after="0" w:line="202" w:lineRule="exact"/>
        <w:rPr>
          <w:rFonts w:ascii="Times New Roman" w:cs="Times New Roman" w:eastAsia="Times New Roman" w:hAnsi="Times New Roman"/>
          <w:sz w:val="20"/>
          <w:szCs w:val="20"/>
          <w:color w:val="auto"/>
        </w:rPr>
      </w:pPr>
    </w:p>
    <w:p>
      <w:pPr>
        <w:ind w:left="1080" w:hanging="353"/>
        <w:spacing w:after="0" w:line="280" w:lineRule="auto"/>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commencement, enrollment, or results of our planned or future clinical trials of etripamil and any future product candidates or those of our competitors;</w:t>
      </w:r>
    </w:p>
    <w:p>
      <w:pPr>
        <w:spacing w:after="0" w:line="162"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success of competitive drugs or therapies;</w:t>
      </w:r>
    </w:p>
    <w:p>
      <w:pPr>
        <w:spacing w:after="0" w:line="240"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or legal developments in the United States and other countries;</w:t>
      </w:r>
    </w:p>
    <w:p>
      <w:pPr>
        <w:spacing w:after="0" w:line="240"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success of competitive products or technologies;</w:t>
      </w:r>
    </w:p>
    <w:p>
      <w:pPr>
        <w:spacing w:after="0" w:line="239"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developments or disputes concerning patent applications, issued patents or other proprietary rights;</w:t>
      </w:r>
    </w:p>
    <w:p>
      <w:pPr>
        <w:spacing w:after="0" w:line="240"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recruitment or departure of key personnel;</w:t>
      </w:r>
    </w:p>
    <w:p>
      <w:pPr>
        <w:spacing w:after="0" w:line="240"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level of expenses related to etripamil and any future product candidates or clinical development programs;</w:t>
      </w:r>
    </w:p>
    <w:p>
      <w:pPr>
        <w:spacing w:after="0" w:line="250" w:lineRule="exact"/>
        <w:rPr>
          <w:rFonts w:ascii="Times New Roman" w:cs="Times New Roman" w:eastAsia="Times New Roman" w:hAnsi="Times New Roman"/>
          <w:sz w:val="19"/>
          <w:szCs w:val="19"/>
          <w:color w:val="auto"/>
        </w:rPr>
      </w:pPr>
    </w:p>
    <w:p>
      <w:pPr>
        <w:ind w:left="1080" w:hanging="353"/>
        <w:spacing w:after="0"/>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results of our efforts to discover, develop, acquire or in - license additional product candidates;</w:t>
      </w:r>
    </w:p>
    <w:p>
      <w:pPr>
        <w:spacing w:after="0" w:line="240" w:lineRule="exact"/>
        <w:rPr>
          <w:rFonts w:ascii="Times New Roman" w:cs="Times New Roman" w:eastAsia="Times New Roman" w:hAnsi="Times New Roman"/>
          <w:sz w:val="20"/>
          <w:szCs w:val="20"/>
          <w:color w:val="auto"/>
        </w:rPr>
      </w:pPr>
    </w:p>
    <w:p>
      <w:pPr>
        <w:ind w:left="1080" w:hanging="353"/>
        <w:spacing w:after="0" w:line="280" w:lineRule="auto"/>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changes in estimates as to financial results, development timelines or recommendations by securities analysts;</w:t>
      </w:r>
    </w:p>
    <w:p>
      <w:pPr>
        <w:spacing w:after="0" w:line="162" w:lineRule="exact"/>
        <w:rPr>
          <w:rFonts w:ascii="Times New Roman" w:cs="Times New Roman" w:eastAsia="Times New Roman" w:hAnsi="Times New Roman"/>
          <w:sz w:val="20"/>
          <w:szCs w:val="20"/>
          <w:color w:val="auto"/>
        </w:rPr>
      </w:pPr>
    </w:p>
    <w:p>
      <w:pPr>
        <w:ind w:left="1080" w:hanging="353"/>
        <w:spacing w:after="0" w:line="280" w:lineRule="auto"/>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obtain or delays in obtaining adequate drug supply for any approved drug or inability to do so at acceptable prices;</w:t>
      </w:r>
    </w:p>
    <w:p>
      <w:pPr>
        <w:spacing w:after="0" w:line="162" w:lineRule="exact"/>
        <w:rPr>
          <w:rFonts w:ascii="Times New Roman" w:cs="Times New Roman" w:eastAsia="Times New Roman" w:hAnsi="Times New Roman"/>
          <w:sz w:val="20"/>
          <w:szCs w:val="20"/>
          <w:color w:val="auto"/>
        </w:rPr>
      </w:pPr>
    </w:p>
    <w:p>
      <w:pPr>
        <w:ind w:left="1080" w:hanging="353"/>
        <w:spacing w:after="0" w:line="280" w:lineRule="auto"/>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disputes or other developments relating to proprietary rights, including patents, litigation matters, and our ability to obtain patent protection for our technologies;</w:t>
      </w:r>
    </w:p>
    <w:p>
      <w:pPr>
        <w:spacing w:after="0" w:line="164"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lawsuits, including patent or shareholder litigation;</w:t>
      </w:r>
    </w:p>
    <w:p>
      <w:pPr>
        <w:spacing w:after="0" w:line="240"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variations in our financial results or those of companies that are perceived to be similar to us;</w:t>
      </w:r>
    </w:p>
    <w:p>
      <w:pPr>
        <w:spacing w:after="0" w:line="239" w:lineRule="exact"/>
        <w:rPr>
          <w:rFonts w:ascii="Times New Roman" w:cs="Times New Roman" w:eastAsia="Times New Roman" w:hAnsi="Times New Roman"/>
          <w:sz w:val="20"/>
          <w:szCs w:val="20"/>
          <w:color w:val="auto"/>
        </w:rPr>
      </w:pPr>
    </w:p>
    <w:p>
      <w:pPr>
        <w:ind w:left="1080" w:hanging="353"/>
        <w:spacing w:after="0" w:line="280" w:lineRule="auto"/>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structure of healthcare payment systems, including coverage and adequate reimbursement for any approved drug;</w:t>
      </w:r>
    </w:p>
    <w:p>
      <w:pPr>
        <w:spacing w:after="0" w:line="162"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conditions in the pharmaceutical and biotechnology sectors;</w:t>
      </w:r>
    </w:p>
    <w:p>
      <w:pPr>
        <w:spacing w:after="0" w:line="240" w:lineRule="exact"/>
        <w:rPr>
          <w:rFonts w:ascii="Times New Roman" w:cs="Times New Roman" w:eastAsia="Times New Roman" w:hAnsi="Times New Roman"/>
          <w:sz w:val="20"/>
          <w:szCs w:val="20"/>
          <w:color w:val="auto"/>
        </w:rPr>
      </w:pPr>
    </w:p>
    <w:p>
      <w:pPr>
        <w:jc w:val="both"/>
        <w:ind w:left="1080" w:hanging="353"/>
        <w:spacing w:after="0" w:line="259" w:lineRule="auto"/>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political, and market conditions, including deteriorating market conditions due to investor concerns regarding inflation and global geopolitical conflicts, changes in trade and tariff policies, and overall fluctuations in the financial markets in the United States and abroad; and</w:t>
      </w:r>
    </w:p>
    <w:p>
      <w:pPr>
        <w:spacing w:after="0" w:line="185" w:lineRule="exact"/>
        <w:rPr>
          <w:rFonts w:ascii="Times New Roman" w:cs="Times New Roman" w:eastAsia="Times New Roman" w:hAnsi="Times New Roman"/>
          <w:sz w:val="20"/>
          <w:szCs w:val="20"/>
          <w:color w:val="auto"/>
        </w:rPr>
      </w:pPr>
    </w:p>
    <w:p>
      <w:pPr>
        <w:ind w:left="1080" w:hanging="353"/>
        <w:spacing w:after="0"/>
        <w:tabs>
          <w:tab w:leader="none" w:pos="10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investors’ general perception of us and our business.</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These and other market and industry factors may cause the market price and demand for our common shares to fluctuate substantially, regardless of our actual operating performance, which may limit or prevent investors from selling their shares at or above the price paid for the shares and may otherwise negatively affect the liquidity of our common shares. In addition, the stock market in general, and biopharmaceutical companies in particular, have experienced extreme price and volume fluctuations that have often been unrelated or disproportionate to the operating performance of these companies.</w:t>
      </w:r>
    </w:p>
    <w:p>
      <w:pPr>
        <w:spacing w:after="0" w:line="18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9"/>
          <w:szCs w:val="19"/>
          <w:color w:val="auto"/>
        </w:rPr>
        <w:t>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1880" w:h="15480" w:orient="portrait"/>
          <w:cols w:equalWidth="0" w:num="1">
            <w:col w:w="9720"/>
          </w:cols>
          <w:pgMar w:left="1080" w:top="1064" w:right="1080" w:bottom="544" w:gutter="0" w:footer="0" w:header="0"/>
          <w:type w:val="continuous"/>
        </w:sectPr>
      </w:pPr>
    </w:p>
    <w:bookmarkStart w:id="70" w:name="page71"/>
    <w:bookmarkEnd w:id="70"/>
    <w:p>
      <w:pPr>
        <w:jc w:val="both"/>
        <w:spacing w:after="0" w:line="253" w:lineRule="auto"/>
        <w:rPr>
          <w:sz w:val="20"/>
          <w:szCs w:val="20"/>
          <w:color w:val="auto"/>
        </w:rPr>
      </w:pPr>
      <w:r>
        <w:rPr>
          <w:rFonts w:ascii="Times New Roman" w:cs="Times New Roman" w:eastAsia="Times New Roman" w:hAnsi="Times New Roman"/>
          <w:sz w:val="20"/>
          <w:szCs w:val="20"/>
          <w:color w:val="auto"/>
        </w:rPr>
        <w:t>substantial damages or fines, damage to our reputation, or adverse changes to our business practices. Defending against litigation is costly and time - 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shares.</w:t>
      </w:r>
    </w:p>
    <w:p>
      <w:pPr>
        <w:spacing w:after="0" w:line="19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We have a substantial number of outstanding warrants. The exercise of our outstanding warrants will dilute existing stockholders and could adversely affect the trading price of our common stock.</w:t>
      </w:r>
    </w:p>
    <w:p>
      <w:pPr>
        <w:spacing w:after="0" w:line="16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While the holders of our outstanding pre-funded warrants and warrants are subject to beneficial ownership limitations, as of December 31, 2025, we had (i) outstanding pre-funded warrants to purchase, without regard to any beneficial ownership limitations, up to 16,412,925 shares of our common stock at an exercise price of $0.001 per share and (ii) outstanding warrants to purchase, without regard to any beneficial ownership limitations, up to 55,707,997 shares of common stock at a weighted average exercise price of $1.73 per share. The exercise of our outstanding warrants could result in significant dilution to existing stockholders, cause the trading price of our common stock to decline and impair our ability to raise capital through the sale of additional equity securities. Moreover, the expectation of such exercises could encourage the short selling of our common stock, which could place further downward pressure on the trading price of our common stock.</w:t>
      </w:r>
    </w:p>
    <w:p>
      <w:pPr>
        <w:spacing w:after="0" w:line="19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Unstable market and economic conditions, including as a result of recent bank closures, public health crises or geopolitical tensions may have serious adverse consequences on our business, financial condition, and share price.</w:t>
      </w:r>
    </w:p>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and uncertainty about economic stability. For example, the macroeconomic uncertainty and volatile business environment have resulted in ongoing inflation, volatility in the capital markets, significantly reduced liquidity and credit availability, elevated interest rates, decreases in consumer demand and confidence, declines in economic growth, increases in unemployment rates, and uncertainty about economic stability. There is inherent risk, based on the complex relationships among the United States and the countries in which we conduct our business, that political, diplomatic and national security factors could lead to global trade restrictions and changes in trade policies and regulations that may adversely affect our business and operations. Our general business strategy may be materially or adversely impacted if these unpredictable and unstable market conditions continue. Our general business strategy may be materially or adversely impacted if these unpredictable and unstable market conditions continue. Additionally, the global geopolitical conflicts have created extreme volatility in the global capital markets and are expected to have further global economic consequences, including potential disruptions of the global supply chain, manufacturing, and energy markets. Additionally, the introduction of or changes in tariffs or trade barriers, such as the enactment of tariffs on goods imported into the United States, could also increase our expenses. For example, in February 2026, the United States Supreme Court (SCOTUS) invalidated certain tariffs imposed by the U.S. government under emergency statutory authority in 2025. Shortly thereafter, President Trump signed an executive order implementing a new 10% global tariff pursuant to an alternative statutory authority, which may be raised up to 15%. It remains unclear whether and to what extent duties previously collected under the invalidated tariffs will be refunded, whether refunds will be subject to administrative or judicial processes, or whether offsets or alternative measures may be imposed. This evolving legal and policy landscape has contributed to continued volatility in the trade environment. Any such volatility and disruptions may have adverse consequences on us or the third parties on whom we rely. If the equity and credit markets deteriorate, including as a result of inflation expectations, recent bank closures, the changing interest rate environment, political unrest or war, it may make any necessary debt or equity financing more difficult to obtain in a timely manner or on favorable terms, more costly or more dilutive. Increased inflation rates can adversely affect us by increasing our costs, including labor and employee benefit costs. Any significant increases in inflation and related increases in interest rates could have a material adverse effect on our business, results of operations and financial condition.</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1880" w:h="15480" w:orient="portrait"/>
          <w:cols w:equalWidth="0" w:num="1">
            <w:col w:w="9720"/>
          </w:cols>
          <w:pgMar w:left="1080" w:top="1064" w:right="1080" w:bottom="544" w:gutter="0" w:footer="0" w:header="0"/>
          <w:type w:val="continuous"/>
        </w:sectPr>
      </w:pPr>
    </w:p>
    <w:bookmarkStart w:id="71" w:name="page72"/>
    <w:bookmarkEnd w:id="71"/>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common shares are thinly traded, and our shareholders may be unable to sell their shares quickly or at market price.</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Although we have had periods of high-volume daily trading in our common shares, generally our shares are thinly traded. As a consequence of this lack of liquidity, the trading of relatively small quantities of shares by our shareholders may disproportionately influence the price of those shares in either direction. The price for our shares could, for example, decline significantly in the event that a large number of our common shares are sold on the market without commensurate demand, as compared to a seasoned issuer that could better absorb those sales without adverse impact on its share price.</w:t>
      </w:r>
    </w:p>
    <w:p>
      <w:pPr>
        <w:spacing w:after="0" w:line="18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Concentration of ownership of our common shares among our existing executive officers, directors, and principal shareholders may prevent new investors from influencing significant corporate decisions.</w:t>
      </w:r>
    </w:p>
    <w:p>
      <w:pPr>
        <w:spacing w:after="0" w:line="16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Based upon our common shares outstanding as of December 31, 2025, our executive officers, directors, and shareholders who owned more than 5% of our outstanding common shares, in the aggregate, beneficially owned shares representing 12.6% of our outstanding common shares. If our executive officers, directors, and shareholders who owned more than 5% of our outstanding common shares acted together, they may be able to significantly influence all matters requiring shareholder approval, including the election and removal of directors and approval of any merger, consolidation, or sale of all or substantially all of our assets. The concentration of voting power and transfer restrictions could delay or prevent an acquisition of our Company on terms that other shareholders may desire or result in the management of our Company in ways with which other shareholders disagree.</w:t>
      </w:r>
    </w:p>
    <w:p>
      <w:pPr>
        <w:spacing w:after="0" w:line="20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research analysts do not publish research or reports, or publish unfavorable research or reports, about us, our business or our market, our share price and trading volume could decline.</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The trading market for our common shares will be influenced by the research and reports that industry or financial analysts publish about us or our business. Equity research analysts may discontinue research coverage of our common shares, and such lack of research coverage may adversely affect the market price of our common shares. We do not have any control over the analysts or the content and opinions included in their reports. The price of our shares could decline if one or more equity research analysts downgrade our shares or issue other unfavorable commentary or research about us. If one or more equity research analysts cease coverage of us or fails to publish reports on us regularly, demand for our shares could decrease, which in turn could cause the trading price or trading volume of our common shares to decline.</w:t>
      </w:r>
    </w:p>
    <w:p>
      <w:pPr>
        <w:spacing w:after="0" w:line="18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Because we do not anticipate paying any cash dividends on our share capital in the foreseeable future, capital appreciation, if any, will be your sole source of gain.</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You should not rely on an investment in our common shares to provide dividend income. We have never declared or paid cash dividends on our share capital. We currently intend to retain all of our future earnings, if any, to finance the growth and development of our business. In addition, the terms of any future debt agreements or preferred equity may preclude us from paying dividends. As a result, capital appreciation, if any, of our common shares will be your sole source of gain for the foreseeable future. Investors seeking cash dividends should not purchase our common shares.</w:t>
      </w:r>
    </w:p>
    <w:p>
      <w:pPr>
        <w:spacing w:after="0" w:line="19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have broad discretion in the use of our cash and cash equivalents and may use them in ways in which you do not agree or in ways that do not increase the value of your investment.</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Our management has broad discretion in the application of our cash and cash equivalents and could spend these funds in ways that do not improve our results of operations or enhance the value of our common shares. The failure by our management to apply these funds effectively could result in financial losses that could have a negative impact on our business, causing the price of our common shares to decline and delay the development of our product candidates. Pending their use, we may invest our cash and cash equivalents, in a manner that does not produce income or that loses value.</w:t>
      </w:r>
    </w:p>
    <w:p>
      <w:pPr>
        <w:sectPr>
          <w:pgSz w:w="11880" w:h="15480" w:orient="portrait"/>
          <w:cols w:equalWidth="0" w:num="1">
            <w:col w:w="9720"/>
          </w:cols>
          <w:pgMar w:left="1080" w:top="1066"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1880" w:h="15480" w:orient="portrait"/>
          <w:cols w:equalWidth="0" w:num="1">
            <w:col w:w="9720"/>
          </w:cols>
          <w:pgMar w:left="1080" w:top="1066" w:right="1080" w:bottom="544"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20"/>
          <w:szCs w:val="20"/>
          <w:b w:val="1"/>
          <w:bCs w:val="1"/>
          <w:i w:val="1"/>
          <w:iCs w:val="1"/>
          <w:color w:val="auto"/>
        </w:rPr>
        <w:t>If we are a passive foreign investment company, there could be adverse U.S. federal income tax consequences to U.S.</w:t>
      </w:r>
    </w:p>
    <w:p>
      <w:pPr>
        <w:spacing w:after="0"/>
        <w:rPr>
          <w:sz w:val="20"/>
          <w:szCs w:val="20"/>
          <w:color w:val="auto"/>
        </w:rPr>
      </w:pPr>
      <w:r>
        <w:rPr>
          <w:rFonts w:ascii="Times New Roman" w:cs="Times New Roman" w:eastAsia="Times New Roman" w:hAnsi="Times New Roman"/>
          <w:sz w:val="20"/>
          <w:szCs w:val="20"/>
          <w:b w:val="1"/>
          <w:bCs w:val="1"/>
          <w:i w:val="1"/>
          <w:iCs w:val="1"/>
          <w:color w:val="auto"/>
        </w:rPr>
        <w:t>Holders (as defined below).</w:t>
      </w:r>
    </w:p>
    <w:p>
      <w:pPr>
        <w:spacing w:after="0" w:line="23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have not yet made a determination with respect to our status as a passive foreign investment company, or “PFIC,” for our taxable year ending December 31, 2025. If we are a PFIC for the current taxable year, or any subsequent taxable years, we intend to annually furnish U.S. Holders, upon request, a “PFIC Annual Information Statement,” with the information required to allow U.S. Holders to make a “qualified electing fund” election, or “QEF Election,” for United States federal income tax purposes. No assurances regarding our PFIC status can be provided for any past, current, or future taxable years. The determination of whether we are a PFIC is a fact - intensive determination made on an annual basis and the applicable law is subject to varying interpretation. In particular, the characterization of our assets as active or passive may depend in part on our current and intended future business plans, which are subject to change. In addition, the total value of our assets for PFIC testing purposes may be determined in part by reference to the market price of our common shares from time to time, which may fluctuate considerably. As a result, our PFIC status may change from year to year. Further, our status as a PFIC depends on the composition of our income which will depend on the transactions we enter into in the future and our corporate structure. The composition of our income and assets is also affected by how, and how quickly, we spend the cash we raise in any offering.</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If we are a PFIC, U.S. Holders (as defined below) may be subject to adverse U.S. federal income tax consequences, such as ineligibility for preferential tax rates for individuals on capital gains or on actual or deemed dividends, interest charges on certain taxes treated as deferred, and additional reporting requirements under U.S. federal income tax laws and regulations.</w:t>
      </w:r>
    </w:p>
    <w:p>
      <w:pPr>
        <w:spacing w:after="0" w:line="19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 “U.S. Holder” is a holder of our common shares who, for U.S. federal income tax purposes, is: (i) an individual who is a citizen or resident of the United States; (ii) a corporation, or another entity taxable as a corporation, created or organized in or under the laws of the United States, any state therein or the District of Columbia; (iii) an estate the income of which is subject to U.S. federal income taxation regardless of its source; or (iv) a trust if (1) a U.S. court is able to exercise primary supervision over the administration of the trust and one or more U.S. persons have authority to control all substantial decisions of the trust or (2) the trust has a valid election to be treated as a U.S. person under applicable U.S. Treasury Regulations.</w:t>
      </w:r>
    </w:p>
    <w:p>
      <w:pPr>
        <w:sectPr>
          <w:pgSz w:w="11880" w:h="15480" w:orient="portrait"/>
          <w:cols w:equalWidth="0" w:num="1">
            <w:col w:w="9720"/>
          </w:cols>
          <w:pgMar w:left="1080" w:top="1066"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1880" w:h="15480" w:orient="portrait"/>
          <w:cols w:equalWidth="0" w:num="1">
            <w:col w:w="9720"/>
          </w:cols>
          <w:pgMar w:left="1080" w:top="1066" w:right="1080" w:bottom="544"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9"/>
          <w:szCs w:val="19"/>
          <w:b w:val="1"/>
          <w:bCs w:val="1"/>
          <w:i w:val="1"/>
          <w:iCs w:val="1"/>
          <w:color w:val="auto"/>
        </w:rPr>
        <w:t>Future changes to tax laws could materially adversely affect our Company and reduce net returns to our shareholders.</w:t>
      </w:r>
    </w:p>
    <w:p>
      <w:pPr>
        <w:spacing w:after="0" w:line="13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Our tax treatment is subject to the enactment of, or changes in, tax laws, regulations, and treaties, or the interpretation thereof, tax policy initiatives and reforms under consideration and the practices of tax authorities in jurisdictions in which we operate, including those related to the Organization for Economic Co-Operation and Development, or “OECD,” the Base Erosion and Profit Shifting, or “BEPS,” Project, the European Commission’s state aid investigations, and other initiatives. Such changes may include (but are not limited to) the taxation of operating income, investment income, dividends received, or (in the specific context of withholding tax) dividends paid. We are unable to predict what tax reform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we have operations, reduce post-tax returns to our shareholders, and increase the complexity, burden, and cost of tax compliance.</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For example, legislation commonly referred to as the OBBBA, enacted in 2025, the Inflation Reduction Act enacted in 2022, the Coronavirus Aid, Relief, and Economic Security Act enacted in 2020, and the Tax Cuts and Jobs Act enacted in 2017 made many significant changes to the U.S. Internal Revenue Code of 1986, as amended, or the “Code.” The Tax Cuts and Jobs Act required taxpayers to capitalize and amortize U.S.-based and non-U.S.-based research and experimental, or “R&amp;E,” expenditures over five and fifteen years, respectively. The OBBBA restored the deductibility of domestic R&amp;E expenditures in the year incurred for tax years beginning after December 31, 2024, but retained the capitalization and amortization requirement for foreign R&amp;E expenditures. Future guidance from the Internal Revenue Service and other tax authorities with respect to any legislation may affect us, and certain aspects of such legislation could be repealed or modified in future legislation or sunset in future years. It is possible that changes in or interpretations under the OBBBA, the Tax Cuts and Jobs Act, or other tax legislation, or the enactment of new tax legislation, could increase our future tax liability, which could in turn adversely impact our business and future profitability.</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continue to evaluate the impact that these and other tax reforms may have on our business. The impact of these and other tax reforms is uncertain and one or more of these or similar measures could seriously harm our business. We urge you to consult with your legal and tax advisors with respect to these tax reforms and the potential tax consequences of investing in or holding our common shares.</w:t>
      </w:r>
    </w:p>
    <w:p>
      <w:pPr>
        <w:spacing w:after="0" w:line="19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Tax authorities may disagree with our positions and conclusions regarding certain tax positions, resulting in unanticipated costs, taxes, or non - realization of expected benefits.</w:t>
      </w:r>
    </w:p>
    <w:p>
      <w:pPr>
        <w:spacing w:after="0" w:line="16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 tax authority may disagree with tax positions that we have taken, which could result in increased tax liabilities. For example, the Canadian Revenue Agency, the IRS,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result could increase our anticipated effective tax rate.</w:t>
      </w:r>
    </w:p>
    <w:p>
      <w:pPr>
        <w:spacing w:after="0" w:line="20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are a “smaller reporting company” and, because we have opted to use the reduced reporting requirements available to us, certain investors may find investing in our securities less attractive.</w:t>
      </w:r>
    </w:p>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We are a “smaller reporting company” under the SEC’s disclosure rules, meaning that we have either: (i) a public float of less than $250 million; or (ii) annual revenues of less than $100 million during the most recently completed fiscal year; and no public float; or a public float of less than $700 million.</w:t>
      </w:r>
    </w:p>
    <w:p>
      <w:pPr>
        <w:spacing w:after="0" w:line="18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As a smaller reporting company, we are permitted to comply with scaled-back disclosure obligations in our SEC filings compared to other issuers, including with respect to disclosure obligations regarding executive compensation in our periodic reports and proxy statements. We have elected to adopt the accommodations available to smaller reporting</w:t>
      </w:r>
    </w:p>
    <w:p>
      <w:pPr>
        <w:sectPr>
          <w:pgSz w:w="11880" w:h="15480" w:orient="portrait"/>
          <w:cols w:equalWidth="0" w:num="1">
            <w:col w:w="9720"/>
          </w:cols>
          <w:pgMar w:left="1080" w:top="1066"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1880" w:h="15480" w:orient="portrait"/>
          <w:cols w:equalWidth="0" w:num="1">
            <w:col w:w="9720"/>
          </w:cols>
          <w:pgMar w:left="1080" w:top="1066" w:right="1080" w:bottom="544" w:gutter="0" w:footer="0" w:header="0"/>
          <w:type w:val="continuous"/>
        </w:sectPr>
      </w:pPr>
    </w:p>
    <w:bookmarkStart w:id="74" w:name="page75"/>
    <w:bookmarkEnd w:id="74"/>
    <w:p>
      <w:pPr>
        <w:jc w:val="both"/>
        <w:spacing w:after="0" w:line="253" w:lineRule="auto"/>
        <w:rPr>
          <w:sz w:val="20"/>
          <w:szCs w:val="20"/>
          <w:color w:val="auto"/>
        </w:rPr>
      </w:pPr>
      <w:r>
        <w:rPr>
          <w:rFonts w:ascii="Times New Roman" w:cs="Times New Roman" w:eastAsia="Times New Roman" w:hAnsi="Times New Roman"/>
          <w:sz w:val="20"/>
          <w:szCs w:val="20"/>
          <w:color w:val="auto"/>
        </w:rPr>
        <w:t>companies. Until we cease to be a smaller reporting company, the scaled-back disclosure in our SEC filings will result in less information about our company being available than for other public companies. If investors consider our common shares less attractive as a result of our election to use the scaled-back disclosure permitted for smaller reporting companies, there may be a less active trading market for our common shares, and our share price may be more volatile.</w:t>
      </w:r>
    </w:p>
    <w:p>
      <w:pPr>
        <w:spacing w:after="0" w:line="191" w:lineRule="exact"/>
        <w:rPr>
          <w:sz w:val="20"/>
          <w:szCs w:val="20"/>
          <w:color w:val="auto"/>
        </w:rPr>
      </w:pPr>
    </w:p>
    <w:p>
      <w:pPr>
        <w:jc w:val="both"/>
        <w:ind w:firstLine="1"/>
        <w:spacing w:after="0" w:line="261" w:lineRule="auto"/>
        <w:rPr>
          <w:sz w:val="20"/>
          <w:szCs w:val="20"/>
          <w:color w:val="auto"/>
        </w:rPr>
      </w:pPr>
      <w:r>
        <w:rPr>
          <w:rFonts w:ascii="Times New Roman" w:cs="Times New Roman" w:eastAsia="Times New Roman" w:hAnsi="Times New Roman"/>
          <w:sz w:val="19"/>
          <w:szCs w:val="19"/>
          <w:color w:val="auto"/>
        </w:rPr>
        <w:t>We are also a non-accelerated filer under the Exchange Act, and we are not required to comply with the auditor attestation requirements of Section 404(b) of the Sarbanes-Oxley Act of 2002. Therefore, our internal controls over financial reporting will not receive auditor attestation included in annual reports of issuers that are subject to the auditor attestation requirements. In addition, we cannot predict if investors will find our common shares less attractive because we are not required to comply with the auditor attestation requirements. We cannot predict if investors will find our securities less attractive because we rely on these available exemptions. If some investors find our securities less attractive as a result, there may be a less active trading market for our securities, and the market price of our securities may be more volatile.</w:t>
      </w:r>
    </w:p>
    <w:p>
      <w:pPr>
        <w:spacing w:after="0" w:line="18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are incurring, and expect to continue to incur, additional costs as a result of operating as a public company, and our management will be required to devote substantial time to new compliance initiatives.</w:t>
      </w:r>
    </w:p>
    <w:p>
      <w:pPr>
        <w:spacing w:after="0" w:line="16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a public company, we are incurring, and expect to continue to incur, significant legal, accounting, and other expenses. In addition, the Sarbanes - Oxley Act of 2002, or the “Sarbanes - Oxley” Act, and rules subsequently implemented by the SEC and The Nasdaq Stock Market LLC have imposed various requirements on public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have increased, and will continue to increase, our legal and financial compliance costs and make some activities more time - consuming and costly.</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As a non-accelerated filer and smaller reporting company, we are exempt from Section 404(b) of the Sarbanes-Oxley Act, which requires auditor attestation to the effectiveness of internal control over financial reporting. We are, however, subject to Section 404(a) of the Sarbanes-Oxley Act.</w:t>
      </w:r>
    </w:p>
    <w:p>
      <w:pPr>
        <w:spacing w:after="0" w:line="18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Additionally, pursuant to Section 404 of the Sarbanes-Oxley Act, we may be required to furnish an attestation on internal control over financial reporting issued by our independent registered public accounting firm in the future. To achieve compliance with Section 404(b), we will be engaged in additional internal processes to document and evaluate our internal control over financial reporting, which will be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our independent registered public accounting firm may determine we have a material weakness or significant deficiency in our internal control over financial reporting once such firm begin its Section 404(b) audit in the future, there is a risk that neither we nor our independent registered public accounting firm will be able to conclude within the prescribed timeframe that our internal control over financial reporting is effective as required by Section 404(b). This could result in an adverse reaction in the financial markets due to a loss of confidence in the reliability of our consolidated financial statements.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Because we are a Canadian company, it may be difficult to serve legal process or enforce judgments against us.</w:t>
      </w:r>
    </w:p>
    <w:p>
      <w:pPr>
        <w:spacing w:after="0" w:line="23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are a domestic filer in the United States; however, we are incorporated and have our corporate headquarters in Canada. In addition, while many of our directors and officers reside in the United States, several of them reside outside of the United States. Accordingly, service of process upon us may be difficult to obtain within the United States. Furthermore, because substantially all of our assets are located outside the United States, any judgment obtained in the United States against us, including one predicated on the civil liability provisions of the U.S. federal securities laws, may not be collectible within the United States. Therefore, it may not be possible to enforce those actions against us.</w:t>
      </w:r>
    </w:p>
    <w:p>
      <w:pPr>
        <w:spacing w:after="0" w:line="193"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9"/>
          <w:szCs w:val="19"/>
          <w:color w:val="auto"/>
        </w:rPr>
        <w:t>In addition, it may be difficult to assert U.S. securities law claims in original actions instituted in Canada. Canadian courts may refuse to hear a claim based on an alleged violation of U.S. securities laws against us or these persons on the grounds</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880" w:h="15480" w:orient="portrait"/>
          <w:cols w:equalWidth="0" w:num="1">
            <w:col w:w="9720"/>
          </w:cols>
          <w:pgMar w:left="1080" w:top="1064" w:right="1080" w:bottom="544" w:gutter="0" w:footer="0" w:header="0"/>
          <w:type w:val="continuous"/>
        </w:sectPr>
      </w:pPr>
    </w:p>
    <w:bookmarkStart w:id="75" w:name="page76"/>
    <w:bookmarkEnd w:id="75"/>
    <w:p>
      <w:pPr>
        <w:jc w:val="both"/>
        <w:spacing w:after="0" w:line="246" w:lineRule="auto"/>
        <w:rPr>
          <w:sz w:val="20"/>
          <w:szCs w:val="20"/>
          <w:color w:val="auto"/>
        </w:rPr>
      </w:pPr>
      <w:r>
        <w:rPr>
          <w:rFonts w:ascii="Times New Roman" w:cs="Times New Roman" w:eastAsia="Times New Roman" w:hAnsi="Times New Roman"/>
          <w:sz w:val="20"/>
          <w:szCs w:val="20"/>
          <w:color w:val="auto"/>
        </w:rPr>
        <w:t>that Canada is not the most appropriate forum in which to bring such a claim. Even if a Canadian court agrees to hear a claim, it may determine that Canadian law and not U.S. law is applicable to the claim. If U.S. law is found to be applicable, the content of applicable U.S. law must be proved as a fact, which can be a time - consuming and costly process. Certain matters of procedure will also be governed by Canadian law. Furthermore, it may not be possible to subject foreign persons or entities to the jurisdiction of the courts in Canada. Similarly, to the extent that our assets are located in Canada, investors may have difficulty collecting from us any judgments obtained in the U.S. courts and predicated on the civil liability provisions of U.S. securities provisions.</w:t>
      </w:r>
    </w:p>
    <w:p>
      <w:pPr>
        <w:spacing w:after="0" w:line="20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are governed by the corporate laws of Québec, Canada which in some cases have a different effect on shareholders than the corporate laws of Delaware.</w:t>
      </w:r>
    </w:p>
    <w:p>
      <w:pPr>
        <w:spacing w:after="0" w:line="16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are governed by the Business Corporations Act (Québec), or the “QBCA,” and other relevant laws, which may affect the rights of shareholders differently than those of a company governed by the laws of a U.S. jurisdiction, and may, together with our charter documents, have the effect of delaying, deferring or discouraging another party from acquiring control of us by means of a tender offer, a proxy contest or otherwise, or may affect the price an acquiring party would be willing to offer in such an instance. The material differences between the QBCA and Delaware General Corporation Law, or the “DGCL”, that may have the greatest such effect include but are not limited to the following: (i) for material corporate transactions (such as mergers and amalgamations, other extraordinary corporate transactions or amendments to our articles), the QBCA generally requires a two - thirds majority vote by shareholders, whereas the DGCL generally only requires a majority vote; and (ii) under the QBCA, a holder of 10% or more of our common shares can requisition a special meeting of shareholders, whereas such right does not exist under the DGCL.</w:t>
      </w:r>
    </w:p>
    <w:p>
      <w:pPr>
        <w:spacing w:after="0" w:line="20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bylaws and certain Canadian legislation contain provisions that may have the effect of delaying or preventing certain change in control transactions or shareholder proposals.</w:t>
      </w:r>
    </w:p>
    <w:p>
      <w:pPr>
        <w:spacing w:after="0" w:line="16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Certain provisions of our bylaws and certain Canadian legislation, together or separately, could discourage or delay certain change in control transactions or shareholder proposals.</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Our bylaws contain provisions that establish certain advance notice procedures for nomination of candidates for election as directors at shareholders’ meetings. The BCA requires that any shareholder proposal that includes nominations for the election of directors must be signed by one or more holders of shares representing in the aggregate not less than 5% of the shares or 5% of the shares of a class or series of shares of the corporation entitled to vote at the meeting to which the proposal is to be presented.</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i w:val="1"/>
          <w:iCs w:val="1"/>
          <w:color w:val="auto"/>
        </w:rPr>
        <w:t>Investment Canada Act</w:t>
      </w:r>
      <w:r>
        <w:rPr>
          <w:rFonts w:ascii="Times New Roman" w:cs="Times New Roman" w:eastAsia="Times New Roman" w:hAnsi="Times New Roman"/>
          <w:sz w:val="20"/>
          <w:szCs w:val="20"/>
          <w:color w:val="auto"/>
        </w:rPr>
        <w:t xml:space="preserve"> (Canada) requires that a non - Canadian must file an application for review with the Minister responsible for such statute and obtain approval of the Minister prior to acquiring control of a “Canadian business” within the meaning of such statute, where prescribed financial thresholds are exceeded. Furthermore, limitations on the ability to acquire and hold our common shares may be imposed by the </w:t>
      </w:r>
      <w:r>
        <w:rPr>
          <w:rFonts w:ascii="Times New Roman" w:cs="Times New Roman" w:eastAsia="Times New Roman" w:hAnsi="Times New Roman"/>
          <w:sz w:val="20"/>
          <w:szCs w:val="20"/>
          <w:i w:val="1"/>
          <w:iCs w:val="1"/>
          <w:color w:val="auto"/>
        </w:rPr>
        <w:t>Competition Act</w:t>
      </w:r>
      <w:r>
        <w:rPr>
          <w:rFonts w:ascii="Times New Roman" w:cs="Times New Roman" w:eastAsia="Times New Roman" w:hAnsi="Times New Roman"/>
          <w:sz w:val="20"/>
          <w:szCs w:val="20"/>
          <w:color w:val="auto"/>
        </w:rPr>
        <w:t xml:space="preserve"> (Canada). This legislation permits the Commissioner of Competition, or Commissioner, to review any acquisition or establishment, directly or indirectly, including through the acquisition of shares, of control over or of a significant interest in our Company. Otherwise, there are no limitations either under the laws of Canada or Quebec, or in our articles on the rights of non - Canadians to hold or vote our common shares.</w:t>
      </w:r>
    </w:p>
    <w:p>
      <w:pPr>
        <w:spacing w:after="0" w:line="20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Any of these provisions may discourage a potential acquirer from proposing or completing a transaction that may have otherwise presented a premium to our shareholders.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1880" w:h="15480" w:orient="portrait"/>
          <w:cols w:equalWidth="0" w:num="1">
            <w:col w:w="9720"/>
          </w:cols>
          <w:pgMar w:left="1080" w:top="1064" w:right="1080" w:bottom="544"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4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have implemented and maintain various information security processes designed to identify, assess and manage material risks from cybersecurity threats to our critical computer networks, communications systems, hardware and software, and our critical data, including intellectual property and confidential information that is proprietary, strategic or competitive in nature, or “Information Systems and Data.”.</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Our Vice President of Information Technology, or “VP of IT,” with assistance from our third-party managed services team, legal, quality, finance and human resources, identifies, assesses and manages the Company’s cybersecurity threats and risks. The Company identifies and assesses risks from cybersecurity threats by monitoring and evaluating our threat environment using various methods including, for example using manual and automated tools, analyzing reports of threat actors, conducting scans of the threat environment, evaluating threats reported to us, and coordinating with law enforcement concerning threats.</w:t>
      </w:r>
    </w:p>
    <w:p>
      <w:pPr>
        <w:spacing w:after="0" w:line="1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Depending on the environment, we implement and maintain various technical, physical, and organizational measures, processes, standards, and policies designed to manage and mitigate material risks from cybersecurity threats to our Information Systems and Data, including, for example: an incident response plan; incident detection and response; disaster recovery and business continuity plans; implementation of security standards; network security controls; access controls; system monitoring; and employee training.</w:t>
      </w:r>
    </w:p>
    <w:p>
      <w:pPr>
        <w:spacing w:after="0" w:line="1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Our assessment and management of material risks from cybersecurity threats are integrated into the Company’s overall risk management processes. Cybersecurity risk is addressed as a component of the Company’s enterprise risk management program and identified by the Company’s senior management team. Also, IT consultants work with management to follow the National Institute of Standards and Technology framework for cybersecurity to mitigate cybersecurity threats that are more likely to lead to a material impact on our business.</w:t>
      </w:r>
    </w:p>
    <w:p>
      <w:pPr>
        <w:spacing w:after="0" w:line="19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use third-party service providers to assist us from time to time to identify, assess, and manage material risks from cybersecurity threats, including for example, professional services firms including outside legal counsel, cybersecurity consultants, threat intelligence service providers, managed cybersecurity service providers, and forensic investigators.</w:t>
      </w:r>
    </w:p>
    <w:p>
      <w:pPr>
        <w:spacing w:after="0" w:line="1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use third-party service providers to perform a variety of functions throughout our business, such as application providers and hosting companies. We have a vendor management program designed to manage cybersecurity risks associated with our use of these providers. The program includes security questionnaires, reviews of vendor’s written security program, and audits.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and impose contractual obligations related to cybersecurity on the provider.</w:t>
      </w:r>
    </w:p>
    <w:p>
      <w:pPr>
        <w:spacing w:after="0" w:line="20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For a description of the risks from cybersecurity threats that may materially affect the Company and how they may do so, see our risk factors under Part I. Item 1A. Risk Factors in this Annual Report on Form 10-K, including “Our internal computer systems, or those of our collaborators, contractors, consultants, or other third parties with whom we work, may fail or suffer security breaches, which could result in a significant disruption of our product development programs and can lead to adverse consequences, including but not limited to regulatory investigations or actions; litigation; fines and penalties; reputational harm; loss of revenue or profits; loss of customers or sales; disruption of our business operations.”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Governance</w:t>
      </w:r>
    </w:p>
    <w:p>
      <w:pPr>
        <w:spacing w:after="0" w:line="2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Our board of directors and audit committee addresses the Company’s cybersecurity risk management as part of its general oversight function. The board of directors’ audit committee is responsible for overseeing the Company’s cybersecurity risk management processes, including oversight of mitigation of risks from cybersecurity threats.</w:t>
      </w:r>
    </w:p>
    <w:p>
      <w:pPr>
        <w:sectPr>
          <w:pgSz w:w="11880" w:h="15480" w:orient="portrait"/>
          <w:cols w:equalWidth="0" w:num="1">
            <w:col w:w="9720"/>
          </w:cols>
          <w:pgMar w:left="1080" w:top="1062"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1880" w:h="15480" w:orient="portrait"/>
          <w:cols w:equalWidth="0" w:num="1">
            <w:col w:w="9720"/>
          </w:cols>
          <w:pgMar w:left="1080" w:top="1062" w:right="1080" w:bottom="544" w:gutter="0" w:footer="0" w:header="0"/>
          <w:type w:val="continuous"/>
        </w:sectPr>
      </w:pPr>
    </w:p>
    <w:bookmarkStart w:id="77" w:name="page78"/>
    <w:bookmarkEnd w:id="77"/>
    <w:p>
      <w:pPr>
        <w:jc w:val="both"/>
        <w:spacing w:after="0" w:line="260" w:lineRule="auto"/>
        <w:rPr>
          <w:sz w:val="20"/>
          <w:szCs w:val="20"/>
          <w:color w:val="auto"/>
        </w:rPr>
      </w:pPr>
      <w:r>
        <w:rPr>
          <w:rFonts w:ascii="Times New Roman" w:cs="Times New Roman" w:eastAsia="Times New Roman" w:hAnsi="Times New Roman"/>
          <w:sz w:val="20"/>
          <w:szCs w:val="20"/>
          <w:color w:val="auto"/>
        </w:rPr>
        <w:t>Our cybersecurity risk assessment and management processes are implemented and maintained by certain Company management, including our Chief Financial Officer and our VP of IT who has over 40 years of experience in information technology and cybersecurity and manages the Company’s information technology infrastructure.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VP of IT is responsible for hiring appropriate personnel, helping to integrate cybersecurity risk considerations into the Company’s overall risk management strategy, and communicating key priorities to relevant personnel. The VP of IT is also responsible for approving budgets, helping prepare for cybersecurity incidents, approving cybersecurity processes, and reviewing security assessments and other security-related reports.</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Our cybersecurity incident response plan is designed to escalate certain cybersecurity incidents to members of management depending on the circumstances. The VP of IT works with the Company’s incident response team to help the Company mitigate and remediate cybersecurity incidents of which they are notified. In addition, the Company’s incident response plan includes reporting to the audit committee of the board of directors for certain cybersecurity incidents.</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audit committee receives periodic reports concerning the Company’s significant cybersecurity threats and risk and the processes the Company has implemented to address them. The audit committee also receives various reports, summaries or presentations related to cybersecurity threats, risk and mitigation.</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1880" w:h="15480" w:orient="portrait"/>
          <w:cols w:equalWidth="0" w:num="1">
            <w:col w:w="9720"/>
          </w:cols>
          <w:pgMar w:left="1080" w:top="1064" w:right="1080" w:bottom="544" w:gutter="0" w:footer="0" w:header="0"/>
          <w:type w:val="continuous"/>
        </w:sectPr>
      </w:pPr>
    </w:p>
    <w:bookmarkStart w:id="78" w:name="page79"/>
    <w:bookmarkEnd w:id="78"/>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PROPERTIES.</w:t>
      </w:r>
    </w:p>
    <w:p>
      <w:pPr>
        <w:spacing w:after="0" w:line="24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headquarters is currently located in Montréal (Québec), Canada and consists of 7,700 square feet of leased office space under a lease that expires in November 2027. We also have a U.S. subsidiary based in Charlotte, North Carolina. We believe that our facilities are adequate to meet our current needs, and that additional space can be obtained on commercially reasonable terms as needed.</w:t>
      </w:r>
    </w:p>
    <w:p>
      <w:pPr>
        <w:spacing w:after="0" w:line="18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LEGAL PROCEEDINGS.</w:t>
      </w:r>
    </w:p>
    <w:p>
      <w:pPr>
        <w:spacing w:after="0" w:line="24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From time to time, we may become involved in legal proceedings arising in the ordinary course of our business. We are not currently a party to any material legal proceedings, and we are not aware of any pending or threatened legal proceeding against us that we believe could have an adverse effect on our business, operating results or financial condition.</w:t>
      </w:r>
    </w:p>
    <w:p>
      <w:pPr>
        <w:spacing w:after="0" w:line="163"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MINE SAFETY DISCLOSURES.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9720"/>
          </w:cols>
          <w:pgMar w:left="1080" w:top="1062"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1880" w:h="15480" w:orient="portrait"/>
          <w:cols w:equalWidth="0" w:num="1">
            <w:col w:w="9720"/>
          </w:cols>
          <w:pgMar w:left="1080" w:top="1062" w:right="1080" w:bottom="544"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31" w:lineRule="exact"/>
        <w:rPr>
          <w:sz w:val="20"/>
          <w:szCs w:val="20"/>
          <w:color w:val="auto"/>
        </w:rPr>
      </w:pPr>
    </w:p>
    <w:p>
      <w:pPr>
        <w:jc w:val="both"/>
        <w:ind w:left="980" w:hanging="1007"/>
        <w:spacing w:after="0" w:line="288" w:lineRule="auto"/>
        <w:tabs>
          <w:tab w:leader="none" w:pos="960" w:val="left"/>
        </w:tabs>
        <w:rPr>
          <w:sz w:val="20"/>
          <w:szCs w:val="20"/>
          <w:color w:val="auto"/>
        </w:rPr>
      </w:pPr>
      <w:r>
        <w:rPr>
          <w:rFonts w:ascii="Times New Roman" w:cs="Times New Roman" w:eastAsia="Times New Roman" w:hAnsi="Times New Roman"/>
          <w:sz w:val="20"/>
          <w:szCs w:val="20"/>
          <w:b w:val="1"/>
          <w:bCs w:val="1"/>
          <w:color w:val="auto"/>
        </w:rPr>
        <w:t>ITEM 5.</w:t>
        <w:tab/>
        <w:t>MARKET FOR REGISTRANT’S COMMON EQUITY, RELATED STOCKHOLDER MATTERS AND ISSUER PURCHASES OF EQUITY SECURITIES.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2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Our common shares began trading on The Nasdaq Global Select Market on May 9, 2019. Our common shares trade under the symbol “MIST”. Prior to the commencement of trading on the Nasdaq Global Select Market on May 9, 2019, there was no public market for our common shares.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 OF RECORD</w:t>
      </w:r>
    </w:p>
    <w:p>
      <w:pPr>
        <w:spacing w:after="0" w:line="24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As of December 31, 2025, there were 21 holders of record of our common shares, including Cede &amp; Co., a nominee for The Depository Trust Company, or “DTC,” which holds our common shares on behalf of an indeterminate number of beneficial owners. All of the common shares held by brokerage firms, banks, and other financial institutions as nominees for beneficial owners are deposited into participant accounts at DTC, and are considered to be held of record by Cede &amp; Co. as one shareholder. Because many of our shares are held by brokers and other institutions on behalf of shareholders, we are unable to estimate the total number of shareholders represented by these record holders.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24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have never declared or paid any cash dividends on our capital stock and do not anticipate paying any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37" w:lineRule="exact"/>
        <w:rPr>
          <w:sz w:val="20"/>
          <w:szCs w:val="20"/>
          <w:color w:val="auto"/>
        </w:rPr>
      </w:pPr>
    </w:p>
    <w:p>
      <w:pPr>
        <w:ind w:right="3800"/>
        <w:spacing w:after="0" w:line="458" w:lineRule="auto"/>
        <w:rPr>
          <w:sz w:val="20"/>
          <w:szCs w:val="20"/>
          <w:color w:val="auto"/>
        </w:rPr>
      </w:pPr>
      <w:r>
        <w:rPr>
          <w:rFonts w:ascii="Times New Roman" w:cs="Times New Roman" w:eastAsia="Times New Roman" w:hAnsi="Times New Roman"/>
          <w:sz w:val="20"/>
          <w:szCs w:val="20"/>
          <w:b w:val="1"/>
          <w:bCs w:val="1"/>
          <w:color w:val="auto"/>
        </w:rPr>
        <w:t xml:space="preserve">Purchase of Equity Securities by the Issuer and Affiliated Purchasers </w:t>
      </w:r>
      <w:r>
        <w:rPr>
          <w:rFonts w:ascii="Times New Roman" w:cs="Times New Roman" w:eastAsia="Times New Roman" w:hAnsi="Times New Roman"/>
          <w:sz w:val="20"/>
          <w:szCs w:val="20"/>
          <w:color w:val="auto"/>
        </w:rPr>
        <w:t>None.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18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Information about securities authorized for issuance under our equity compensation plan is incorporated herein by reference to Item 12 of Part III of this Annual Report on Form 10-K.</w:t>
      </w:r>
    </w:p>
    <w:p>
      <w:pPr>
        <w:spacing w:after="0" w:line="10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SELECTED FINANCIAL DATA.</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9720"/>
          </w:cols>
          <w:pgMar w:left="1080" w:top="1061"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1880" w:h="15480" w:orient="portrait"/>
          <w:cols w:equalWidth="0" w:num="1">
            <w:col w:w="9720"/>
          </w:cols>
          <w:pgMar w:left="1080" w:top="1061" w:right="1080" w:bottom="544" w:gutter="0" w:footer="0" w:header="0"/>
          <w:type w:val="continuous"/>
        </w:sectPr>
      </w:pPr>
    </w:p>
    <w:bookmarkStart w:id="80" w:name="page81"/>
    <w:bookmarkEnd w:id="80"/>
    <w:p>
      <w:pPr>
        <w:jc w:val="both"/>
        <w:ind w:left="1000" w:hanging="1007"/>
        <w:spacing w:after="0" w:line="288" w:lineRule="auto"/>
        <w:tabs>
          <w:tab w:leader="none" w:pos="980" w:val="left"/>
        </w:tabs>
        <w:rPr>
          <w:sz w:val="20"/>
          <w:szCs w:val="20"/>
          <w:color w:val="auto"/>
        </w:rPr>
      </w:pPr>
      <w:r>
        <w:rPr>
          <w:rFonts w:ascii="Times New Roman" w:cs="Times New Roman" w:eastAsia="Times New Roman" w:hAnsi="Times New Roman"/>
          <w:sz w:val="20"/>
          <w:szCs w:val="20"/>
          <w:b w:val="1"/>
          <w:bCs w:val="1"/>
          <w:color w:val="auto"/>
        </w:rPr>
        <w:t>ITEM 7.</w:t>
        <w:tab/>
        <w:t>MANAGEMENT’S DISCUSSION AND ANALYSIS OF FINANCIAL CONDITION AND RESULTS OF OPERATIONS.</w:t>
      </w:r>
    </w:p>
    <w:p>
      <w:pPr>
        <w:spacing w:after="0" w:line="15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i w:val="1"/>
          <w:iCs w:val="1"/>
          <w:color w:val="auto"/>
        </w:rPr>
        <w:t>You should read the following discussion and analysis of our financial condition and results of operations together with our consolidated financial statements and related notes included elsewhere in this Annual Report on Form 10-K. This discussion contains forward - looking statements based upon current expectations that involve risks and uncertainties. Our actual results may differ materially from those anticipated in these forward - looking statements as a result of various factors, including those discussed in “Risk Factors” and in other parts of this Annual Report on Form 10-K.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Overview</w:t>
      </w:r>
    </w:p>
    <w:p>
      <w:pPr>
        <w:spacing w:after="0" w:line="2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are a biopharmaceutical company focused on the development and commercialization of innovative cardiovascular medicines. Our approved product CARDAMYST</w:t>
      </w:r>
      <w:r>
        <w:rPr>
          <w:rFonts w:ascii="Times New Roman" w:cs="Times New Roman" w:eastAsia="Times New Roman" w:hAnsi="Times New Roman"/>
          <w:sz w:val="25"/>
          <w:szCs w:val="25"/>
          <w:b w:val="1"/>
          <w:bCs w:val="1"/>
          <w:color w:val="auto"/>
          <w:vertAlign w:val="superscript"/>
        </w:rPr>
        <w:t>TM</w:t>
      </w:r>
      <w:r>
        <w:rPr>
          <w:rFonts w:ascii="Times New Roman" w:cs="Times New Roman" w:eastAsia="Times New Roman" w:hAnsi="Times New Roman"/>
          <w:sz w:val="20"/>
          <w:szCs w:val="20"/>
          <w:color w:val="auto"/>
        </w:rPr>
        <w:t xml:space="preserve"> (etripamil) nasal spray is available in the United States and is the first and only U.S. Food and Drug Administration, or the “FDA,” approved self-administered treatment for use by patients anywhere, anytime an attack of paroxysmal supraventricular tachycardia, or “PSVT,” occurs. We continue to seek, either directly or through collaboration with our partners, marketing approval from regulatory agencies responsible for regions outside the United States. We are also developing etripamil for the indication of atrial fibrillation with rapid ventricular rate, or “AFib-RVR”.</w:t>
      </w:r>
    </w:p>
    <w:p>
      <w:pPr>
        <w:spacing w:after="0" w:line="21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We are currently focusing our efforts and financial resources on (i) the commercialization of CARDAMYST</w:t>
      </w:r>
      <w:r>
        <w:rPr>
          <w:rFonts w:ascii="Times New Roman" w:cs="Times New Roman" w:eastAsia="Times New Roman" w:hAnsi="Times New Roman"/>
          <w:sz w:val="25"/>
          <w:szCs w:val="25"/>
          <w:b w:val="1"/>
          <w:bCs w:val="1"/>
          <w:color w:val="auto"/>
          <w:vertAlign w:val="superscript"/>
        </w:rPr>
        <w:t>TM</w:t>
      </w:r>
      <w:r>
        <w:rPr>
          <w:rFonts w:ascii="Times New Roman" w:cs="Times New Roman" w:eastAsia="Times New Roman" w:hAnsi="Times New Roman"/>
          <w:sz w:val="20"/>
          <w:szCs w:val="20"/>
          <w:color w:val="auto"/>
        </w:rPr>
        <w:t xml:space="preserve"> (etripamil) nasal spray for the treatment of PSVT, (ii) the development of etripamil for the treatment of AFib-RVR and (iii) corporate development activities that have the potential to increase company value through strategic collaborations.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PSVT Market Overview</w:t>
      </w:r>
    </w:p>
    <w:p>
      <w:pPr>
        <w:spacing w:after="0" w:line="2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On December 12, 2025, we announced the FDA approved our first commercial product, CARDAMYST™ (etripamil) nasal spray, a prescription medication for the conversion of acute symptomatic episodes of PSVT to sinus rhythm in adults. We have currently begun focusing on the commercialization of CARDAMYST, which became available in retail pharmacies in the first quarter of 2026. PSVT is a condition that causes a patient’s heart to suddenly start beating faster than normal. It can be life-altering as PSVT is highly symptomatic, characterized by unpredictable attacks of a racing heart, often exceeding 150 beats per minute. Symptoms of PSVT arise suddenly and may include palpitations, sweating, chest pressure or pain, shortness of breath, sudden onset of fatigue, lightheadedness or dizziness, fainting, and anxiety, causing many patients to interrupt their daily activities at the time of symptom-onset. The impact and morbidity from an episode of PSVT can be especially detrimental in patients with underlying cardiovascular or medical conditions, such as heart failure, obstructive coronary disease, or dehydration. The uncertainty of when such an attack of PSVT will strike or how long it will persist is often anxiety-provoking, reducing patients’ quality of life and preventing participation in many desired activities. Drugs approved for the treatment of attacks of PSVT include adenosine, verapamil, and diltiazem, with all being administered intravenously under medical supervision, usually in the emergency department. Other oral drugs are sometimes used to treat attacks in a concept called “pill in the pocket.” However, those drugs have never been proven effective or safe and are not approved for this use. Doctors are often frustrated by the limited effective treatment options with the only approved options involving prolonged, unpleasant, and costly trips to the emergency department or, for some patients, an invasive ablation procedure. PSVT can be traumatic for patients, frustrating for healthcare providers, and costly for payors. With no pharmaceutical innovation in the treatment of PSVT for more than 30 years and a movement in the healthcare system to enable patient-centered care, we believe there is an opportunity to help patients living with PSVT to take greater control over their PSVT.</w:t>
      </w:r>
    </w:p>
    <w:p>
      <w:pPr>
        <w:spacing w:after="0" w:line="20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color w:val="auto"/>
        </w:rPr>
        <w:t>We believe that PSVT is a large and under-recognized market which we estimate affects more than two million Americans. From this diagnosed population, we define the immediate target addressable market for CARDAMYST as approximately 50% of patients with PSVT who have sufficient disease burden that they are compelled to seek care for their condition and are primarily managed by approximately 40,000 healthcare providers composed primarily of clinical cardiologists, interventional cardiologists and electrophysiologists. The remaining patients with PSVT can become addressable over time, as they are inconsistently managed (cycling in and out of the healthcare system). Furthermore, PSVT is expected to</w:t>
      </w:r>
    </w:p>
    <w:p>
      <w:pPr>
        <w:sectPr>
          <w:pgSz w:w="11880" w:h="15480" w:orient="portrait"/>
          <w:cols w:equalWidth="0" w:num="1">
            <w:col w:w="9720"/>
          </w:cols>
          <w:pgMar w:left="1080" w:top="1061"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1880" w:h="15480" w:orient="portrait"/>
          <w:cols w:equalWidth="0" w:num="1">
            <w:col w:w="9720"/>
          </w:cols>
          <w:pgMar w:left="1080" w:top="1061" w:right="1080" w:bottom="544" w:gutter="0" w:footer="0" w:header="0"/>
          <w:type w:val="continuous"/>
        </w:sectPr>
      </w:pPr>
    </w:p>
    <w:bookmarkStart w:id="81" w:name="page82"/>
    <w:bookmarkEnd w:id="81"/>
    <w:p>
      <w:pPr>
        <w:jc w:val="both"/>
        <w:spacing w:after="0" w:line="270" w:lineRule="auto"/>
        <w:rPr>
          <w:sz w:val="20"/>
          <w:szCs w:val="20"/>
          <w:color w:val="auto"/>
        </w:rPr>
      </w:pPr>
      <w:r>
        <w:rPr>
          <w:rFonts w:ascii="Times New Roman" w:cs="Times New Roman" w:eastAsia="Times New Roman" w:hAnsi="Times New Roman"/>
          <w:sz w:val="20"/>
          <w:szCs w:val="20"/>
          <w:color w:val="auto"/>
        </w:rPr>
        <w:t>increase in diagnosed prevalence in coming years as wearable electrocardiogram, or “ECG,” technology (e.g., smartphone, watches) becomes both more adept at diagnosing PSVT and more widely used by patients and clinical practitioners, in turn shortening the time to diagnosis.</w:t>
      </w:r>
    </w:p>
    <w:p>
      <w:pPr>
        <w:spacing w:after="0" w:line="18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Following the release of data from the RAPID clinical study, in market research, cardiologists reported a willingness to prescribe CARDAMYST to approximately 50% of the patients with PSVT in their care, which suggests approximately 500,000 to 800,000 patients can potentially be treated with CARDAMYST in peak years. Additionally, we believe that this cardiology-identified group of patients may use CARDAMYST to treat a median of three to five episodes per year, based on the projected number of self-reported longer and more intense episodes experienced by patients, as well as the patient utilization experience in our Phase 3 clinical trials. This implies a peak demand potential in the United States for CARDAMYST of 2.5 million to 4 million episodes treated per year.</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Current treatment for PSVT also consumes significant healthcare resources. Research published in the American Journal of Cardiology in 2020 shows that total healthcare expenditures in the year following a diagnosis of PSVT ranged from $20,000 to $30,000 per patient which were significantly higher than the expenditures observed for patients without PSVT. These significant increases included increased emergency department visits and hospitalization costs. Of note, catheter ablations following diagnosis represented only 23% of this increased spend, meaning most costs were unrelated to ablations. Recent data from the Healthcare Cost and Utilization Project, or “HCUP,” database indicate that in 2019 there were approximately 140,000 emergency department, or “ED,” visits for PSVT when coded (for billing) in the primary diagnostic position, and a total of approximately 525,000 ED visits when PSVT was coded in any diagnostic position. Of these, approximately 25% of ED admissions for PSVT resulted in a hospital admission. HCUP estimates a total of approximately 40,000 to approximately 120,000 inpatient admissions for PSVT in 2019 (based again if a PSVT billing code was found in the primary versus any diagnostic position). Despite the effectiveness of catheter ablation, claims data suggests that only approximately 15% of patients with PSVT are ablated over a three-year period, leading to a total of approximately 100,000 catheter ablations annually. In total, up to $15.0 billion is spent annually in the United States on the management of PSVT.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PSVT Continued Development Highlights</w:t>
      </w:r>
    </w:p>
    <w:p>
      <w:pPr>
        <w:spacing w:after="0" w:line="221"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20"/>
          <w:szCs w:val="20"/>
          <w:color w:val="auto"/>
        </w:rPr>
        <w:t>In November 2025, we submitted our marketing authorization application, or “MAA,” to the European Medicines Agency, or “EMA,” for review for approval to market etripamil nasal spray, under the trade name TACHYMIST</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in the European Union. The MAA utilizes much of the clinical, manufacturing and quality data package that was submitted in the NDA which lead to the US FDA approval.</w:t>
      </w:r>
    </w:p>
    <w:p>
      <w:pPr>
        <w:spacing w:after="0" w:line="19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January 2025, our licensing partner, Corxel Pharmaceuticals, or “Corxel,” formerly Ji Xing Pharmaceuticals Limited, JIXING, announced that the Center for Drug Evaluation, or “CDE,” of the National Medical Products Administration, or “NMPA,” of the People’s Republic of China has accepted the New Drug Application, or “NDA,” for etripamil nasal spray for</w:t>
      </w:r>
      <w:r>
        <w:rPr>
          <w:rFonts w:ascii="Arial" w:cs="Arial" w:eastAsia="Arial" w:hAnsi="Arial"/>
          <w:sz w:val="20"/>
          <w:szCs w:val="20"/>
          <w:color w:val="auto"/>
        </w:rPr>
        <w:t> </w:t>
      </w:r>
      <w:r>
        <w:rPr>
          <w:rFonts w:ascii="Times New Roman" w:cs="Times New Roman" w:eastAsia="Times New Roman" w:hAnsi="Times New Roman"/>
          <w:sz w:val="20"/>
          <w:szCs w:val="20"/>
          <w:color w:val="auto"/>
        </w:rPr>
        <w:t>the treatment of PSVT. The NDA to the NMPA included data from the successful Phase 3 JX02002 clinical trial of etripamil nasal spray in patients with PSVT in China in addition to data included in the NDA that Milestone submitted to the FDA.</w:t>
      </w:r>
    </w:p>
    <w:p>
      <w:pPr>
        <w:spacing w:after="0" w:line="19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500-patient Phase 3 trial (JX02002) met its primary endpoint, with a Kaplan Meier analysis shows a statistically significantly greater proportion of patients who self-administered etripamil converted from PSVT to sinus rhythm within 30 minutes compared to placebo (40.5% vs. 15.9%, respectively; hazard ratio [HR] = 3.00; 95% CI 1.58-5.71; p&lt;0.001). Statistically significant (p&lt;0.05) results were also shown for the secondary efficacy endpoints for percent of patients’ PSVT converted to sinus rhythm by 10, 15, 45 and 60 minutes after self-administration of study drug.</w:t>
      </w:r>
    </w:p>
    <w:p>
      <w:pPr>
        <w:spacing w:after="0" w:line="19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Corxel further reported that, overall, treatment emergent adverse events were comparable between treatment groups, and there were no reported serious adverse events related to etripamil. The safety and tolerability data from the JX02002 trial were consistent with previous clinical studies. This important study further expands the etripamil global development program to more than 2,000 unique patients treated with etripamil.</w:t>
      </w:r>
    </w:p>
    <w:p>
      <w:pPr>
        <w:sectPr>
          <w:pgSz w:w="11880" w:h="15480" w:orient="portrait"/>
          <w:cols w:equalWidth="0" w:num="1">
            <w:col w:w="9720"/>
          </w:cols>
          <w:pgMar w:left="1080" w:top="1075"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1880" w:h="15480" w:orient="portrait"/>
          <w:cols w:equalWidth="0" w:num="1">
            <w:col w:w="9720"/>
          </w:cols>
          <w:pgMar w:left="1080" w:top="1075" w:right="1080" w:bottom="544"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20"/>
          <w:szCs w:val="20"/>
          <w:b w:val="1"/>
          <w:bCs w:val="1"/>
          <w:color w:val="auto"/>
        </w:rPr>
        <w:t>Etripamil Nasal Spray for the Treatment of AFib-RVR</w:t>
      </w:r>
    </w:p>
    <w:p>
      <w:pPr>
        <w:spacing w:after="0" w:line="23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Similar to our approach for PSVT, we believe that etripamil has the potential to help people experiencing a symptomatic episode of AFib-RVR to self-treat and to conveniently, reliably, and quickly reduce their elevated heart rate, with the goal of reducing the need for emergency department utilization. We completed a successful Phase 2 study, named “ReVeRA” or the “ReVeRA study”, in patients presenting urgently with episodes of AFib-RVR to the emergency department. We have published the ReVeRA study and results, which demonstrated that patients receiving etripamil nasal spray experienced rapid and statistically superior ventricular rate reduction and improved symptom-relief compared to placebo, with safety and tolerability findings generally consistent with those observed in our PSVT program. We believe these data support the continued development of etripamil, self-administered in the medically unmonitored setting, for the treatment of AFib-RVR.</w:t>
      </w:r>
    </w:p>
    <w:p>
      <w:pPr>
        <w:spacing w:after="0" w:line="19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Incorporating FDA’s guidance, we have developed a Phase 3 registrational program to evaluate self-administered etripamil as a potential treatment for patients with AFib-RVR. We intend to pursue a supplemental new drug application, or “sNDA,” regulatory approval pathway for a potential second indication for etripamil in Afib -RVR. As such, we will leverage the PSVT indication and PSVT program data, along with a single pivotal Phase 3 study in patients with AFib-RVR.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AFib-RVR Market Overview</w:t>
      </w:r>
    </w:p>
    <w:p>
      <w:pPr>
        <w:spacing w:after="0" w:line="2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Atrial Fibrillation, or “AFib,” is a common cardiac arrhythmia with an irregular and often rapid heart rate that is often markedly symptomatic and, without proper treatment, can increase the risk of stroke, heart failure, and other cardiovascular complications. A common complication of AFib is a rapid heart rate, also referred to as AFib-RVR, which is frequently defined as a heart rate </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110 beats per minute. The occurrence of a rapid ventricular rate, or “RVR,” in patients with atrial fibrillation increases the likelihood of marked symptoms including heart palpitations, shortness of breath and weakness. There are two commonly used pharmacological approaches to chronically manage AFib, rhythm control and rate control. Regardless of the chronic approach, break-through episodes of rapid heart rate occur frequently; and when faced with a sudden episode of AFib-RVR, acute rate control is needed, with most treatments being AV-nodal targeted drugs such as a beta blocker or calcium channel blocker. These treatments can be given intravenously; however, this requires a burdensome trip to an emergency department which may lead to a hospital admission. Acute treatment can be attempted with an oral rate - control drug; however, such agents often fail to provide immediate or dependable ventricular rate control because they have a 30- to 90 - minute delayed onset of action. As a result, many patients require faster and more reliable rate reduction and symptom resolution, leading them to seek acute medical care in the emergency department for intravenous rate control and/or electrical cardioversion of their atrial fibrillation. Furthermore, the chronic administration of oral rate-control drugs does not broadly prevent episodes of AFib-RVR. Similar to PSVT, patients may feel a loss of control by needing to visit the emergency department for overcoming their AFib-RVR episode and the unpredictable nature of these episodes, which can occur anytime and anywhere. Doctors have expressed frustration at the lack of options for patients to self-manage these acute rate attacks; and payor organizations would prefer to treat the AFib-RVR attacks in a more cost effective and time-efficient manner.</w:t>
      </w:r>
    </w:p>
    <w:p>
      <w:pPr>
        <w:spacing w:after="0" w:line="2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An estimated 10 million Americans suffer from AFib. The prevalence of AFib is expected to grow to greater than 12 million by 2030. A subset of patients with AFib experiences episodes of abnormally high heart rate, most often accompanied by palpitations, shortness of breath, dizziness, and weakness. While these episodes, known as AFib-RVR, may be treated by oral calcium channel blockers and/or beta blockers, patients frequently seek acute care in the ED to address symptoms. In 2019, nearly 1.1 million patients were admitted to the emergency department due to AFib symptoms. Initial data suggests that approximately 60% of all AFib emergency department visits were attributable to AFib-RVR, as symptoms driving patients to seek care generally become more pronounced at higher heart rates. Treatment for such symptoms typically includes medically supervised intravenous administration of calcium channel blockers or beta blockers, or electrical cardioversion. With little available data for AFib-RVR, we believe, based on our initial market research, that 30% to 40% of patients with AFib experience one or more symptomatic episodes of RVR per year that require treatment, suggesting a current target addressable market of approximately three to four million patients for etripamil in patients with AFib-RVR.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1880" w:h="15480" w:orient="portrait"/>
          <w:cols w:equalWidth="0" w:num="1">
            <w:col w:w="9720"/>
          </w:cols>
          <w:pgMar w:left="1080" w:top="1301" w:right="1080" w:bottom="544" w:gutter="0" w:footer="0" w:header="0"/>
        </w:sectPr>
      </w:pPr>
    </w:p>
    <w:bookmarkStart w:id="83" w:name="page84"/>
    <w:bookmarkEnd w:id="83"/>
    <w:p>
      <w:pPr>
        <w:jc w:val="both"/>
        <w:spacing w:after="0" w:line="269" w:lineRule="auto"/>
        <w:rPr>
          <w:sz w:val="20"/>
          <w:szCs w:val="20"/>
          <w:color w:val="auto"/>
        </w:rPr>
      </w:pPr>
      <w:r>
        <w:rPr>
          <w:rFonts w:ascii="Times New Roman" w:cs="Times New Roman" w:eastAsia="Times New Roman" w:hAnsi="Times New Roman"/>
          <w:sz w:val="19"/>
          <w:szCs w:val="19"/>
          <w:color w:val="auto"/>
        </w:rPr>
        <w:t>We believe that etripamil has the potential to be developed such that it can be used by patients to rapidly reduce their heart rate to provide a supplemental option to either the acute oral rate or rhythm control strategy their physician would use. When presented with a target product profile reflecting this potential use case, cardiologists and electrophysiologists, in a 2021 market research study perceived utility in the product profile and indicated that they would prescribe to approximately two-thirds of their patients that experience episodes of AFib-RVR. They further indicated that a rapidly-acting intranasal calcium channel blocker could serve as a “bridge” to the longer onset times of acute oral agents. According to physicians, it can take hours for patients to feel an alleviation of symptoms using acute oral rate or rhythm control. During this time, patients may experience concerning symptoms that often prompt them to seek emergency care. We believe that the combination of convenient delivery, potency, rapid onset and short duration of action of etripamil has the potential to move the current treatment setting for some acute episodes of AFib out of the burdensome and costly emergency department.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Current AFib management consumes significant healthcare resources in the United States. The American Heart Association published a report in 2016 summarizing the current and projected cost burden of cardiovascular diseases in the United States. This report suggests atrial fibrillation resulted in $25 billion in direct medical costs in 2016 (approximately 7% of all cardiovascular diseases) and another $7 billion in indirect costs (i.e., up to $32 billion in total costs). Additionally, the forecasted growth in atrial fibrillation prevalence is anticipated to result in healthcare expenditures of $46 billion in direct costs and $10 billion in indirect costs in the United States by 2030.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AFib-RVR Clinical Development Highlights</w:t>
      </w:r>
    </w:p>
    <w:p>
      <w:pPr>
        <w:spacing w:after="0" w:line="15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In November 2023, we presented positive Phase 2 data from the ReVeRA study as a Featured Science Presentation at the American Heart Association Scientific Meetings (Philadelphia, PA) and as simultaneously published in </w:t>
      </w:r>
      <w:r>
        <w:rPr>
          <w:rFonts w:ascii="Times New Roman" w:cs="Times New Roman" w:eastAsia="Times New Roman" w:hAnsi="Times New Roman"/>
          <w:sz w:val="20"/>
          <w:szCs w:val="20"/>
          <w:i w:val="1"/>
          <w:iCs w:val="1"/>
          <w:color w:val="auto"/>
        </w:rPr>
        <w:t>Circulation: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Arrhythmia and Electrophysiology</w:t>
      </w:r>
      <w:r>
        <w:rPr>
          <w:rFonts w:ascii="Times New Roman" w:cs="Times New Roman" w:eastAsia="Times New Roman" w:hAnsi="Times New Roman"/>
          <w:sz w:val="20"/>
          <w:szCs w:val="20"/>
          <w:color w:val="auto"/>
        </w:rPr>
        <w:t>. The randomized, double-blinded, placebo-controlled ReVeRA trial of etripamil nasal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spray enrolled 87 patients and dosed 56 patients aged 18 years and older with AFib who urgently presented experiencing AFib and a ventricular rate of 110 or more beats per minute, or “bpm.” The trial was designed to assess the magnitude, rapidity, and duration of reduction and the patient satisfaction with treatment using an established patient reported outcome, or “PRO,” tool. Data showed that delivery of etripamil nasal spray (70 mg) significantly and rapidly reduced ventricular rate, in a pattern consistent with the drug’s pharmacologic profile. Etripamil achieved the primary endpoint with a high degree of statistical significance; patients experienced a ventricular rate reduction of 29.91 bpm (95% confidence interval: -40.31, -19.52; p&lt;0.0001) in the etripamil arm relative to placebo. The absolute maximum reduction in rate in the etripamil arm was 34.97 bpm. Using the Treatment Satisfaction Questionnaire 9, or “TSQM-9,” PRO, compared to placebo, patients treated with etripamil demonstrated significant improvements in two satisfaction ratings: effectiveness (p&lt;0.0001) and relief of symptoms (p=0.0002), with the degrees of improvement consistent with those customarily described as clinically meaningful. Treatment-emergent serious adverse events, or “TESAEs,” were rare and the most common (</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5%) adverse events were mild or moderate in intensity and included nasal discomfort, rhinorrhea, increased lacrimation, throat irritation and dizziness. Further trial details are below in this document.</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During 2024, we met with the FDA on the ReVeRA study, during which the FDA confirmed its guidance from our Pre-IND meeting (2023) regarding the availability of a sNDA pathway for the marketing approval for etripamil for the indication of AFib-RVR. The sNDA pathway potentially permits a single pivotal efficacy study to be sufficient for filing for marketing approval if etripamil is already approved for PSVT. FDA further concurred with respect to key proposed study elements including powering, inclusion criteria, patient population, and statistical analyses, and offered clarification with respect to the endpoints to guide the design of the Phase 3 study. In our mid- 2023 Pre-IND meeting, the FDA provided guidance that our primary endpoint can be the reduction of ventricular rate, and the primary analysis would be performed on the intent to treat, or “ITT,” population. In addition, the study would have to show statistical significance (p&lt;0.05) on the key secondary endpoint of symptom relief as a patient benefit, also in the ITT population. The secondary endpoint could use a PRO measure, and various PROs were discussed with the FDA. We have finalized the Phase 3 study protocol following FDA’s review and obtained concurrence with the FDA to proceed.</w:t>
      </w:r>
    </w:p>
    <w:p>
      <w:pPr>
        <w:sectPr>
          <w:pgSz w:w="11880" w:h="15480" w:orient="portrait"/>
          <w:cols w:equalWidth="0" w:num="1">
            <w:col w:w="9720"/>
          </w:cols>
          <w:pgMar w:left="1080" w:top="1315"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1880" w:h="15480" w:orient="portrait"/>
          <w:cols w:equalWidth="0" w:num="1">
            <w:col w:w="9720"/>
          </w:cols>
          <w:pgMar w:left="1080" w:top="1315" w:right="1080" w:bottom="544" w:gutter="0" w:footer="0" w:header="0"/>
          <w:type w:val="continuous"/>
        </w:sectPr>
      </w:pPr>
    </w:p>
    <w:bookmarkStart w:id="84" w:name="page85"/>
    <w:bookmarkEnd w:id="84"/>
    <w:p>
      <w:pPr>
        <w:jc w:val="both"/>
        <w:spacing w:after="0" w:line="254" w:lineRule="auto"/>
        <w:rPr>
          <w:sz w:val="20"/>
          <w:szCs w:val="20"/>
          <w:color w:val="auto"/>
        </w:rPr>
      </w:pPr>
      <w:r>
        <w:rPr>
          <w:rFonts w:ascii="Times New Roman" w:cs="Times New Roman" w:eastAsia="Times New Roman" w:hAnsi="Times New Roman"/>
          <w:sz w:val="20"/>
          <w:szCs w:val="20"/>
          <w:color w:val="auto"/>
        </w:rPr>
        <w:t>The Phase 3 study will be conducted in a medically unmonitored setting (e.g., at-home) in a manner very similar to the conduct of our Phase 3 development program for PSVT. The Phase 3 AFib-RVR study will enroll patients with a history of symptomatic AFib episodes, and will use a self-administered, repeat-dose regimen of 70 mg per dose (the dose and dosing approach that was studied in the RAPID trial in patients with PSVT). The Phase 3 study’s target population will be patients with verified history of AFib-RVR, and the ITT population will be all patients self-administering the study drug for perceived AFib-RVR. The primary endpoint is the mean change from baseline ventricular rate to nadir ventricular rate for patients treated with etripamil versus placebo, as was studied in the ReVeRA trial in AFib-RVR. The key secondary endpoint will be based on a PRO of symptomatic improvement, discussed with the FDA, which is similar to the PRO questions utilized in our PSVT and AFib-RVR programs. The study has been powered and sized based upon approximately 150 events from 150 unique patients with a history of symptomatic episodes of AFib-RVR.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Operations Overview</w:t>
      </w:r>
    </w:p>
    <w:p>
      <w:pPr>
        <w:spacing w:after="0" w:line="243" w:lineRule="exact"/>
        <w:rPr>
          <w:sz w:val="20"/>
          <w:szCs w:val="20"/>
          <w:color w:val="auto"/>
        </w:rPr>
      </w:pPr>
    </w:p>
    <w:p>
      <w:pPr>
        <w:jc w:val="both"/>
        <w:ind w:firstLine="1"/>
        <w:spacing w:after="0" w:line="243" w:lineRule="auto"/>
        <w:rPr>
          <w:sz w:val="20"/>
          <w:szCs w:val="20"/>
          <w:color w:val="auto"/>
        </w:rPr>
      </w:pPr>
      <w:r>
        <w:rPr>
          <w:rFonts w:ascii="Times New Roman" w:cs="Times New Roman" w:eastAsia="Times New Roman" w:hAnsi="Times New Roman"/>
          <w:sz w:val="20"/>
          <w:szCs w:val="20"/>
          <w:color w:val="auto"/>
        </w:rPr>
        <w:t>Since the commencement of our operations in 2003, we have devoted substantially all of our resources to performing research and development activities in support of our product development efforts, hiring personnel, raising capital to support and expand such activities, providing general and administrative support for these operations and, more recently, preparing for commercialization. We have historically operated our business using a significant outsourcing model. As such, our team is currently composed of a relatively smaller core of employees who direct a significantly larger number of team members who are outsourced in the forms of vendors and consultants to enable execution of our operational plans. On December 12, 2025, we announced that the FDA approved our first commercial product, CARDAMYST™ (etripamil) nasal spray, a prescription medication for the conversion of acute symptomatic episodes of paroxysmal supraventricular tachycardia, or “PSVT,” to sinus rhythm in adults. As a result, we expect our future commercial expenses will increase as we invest in the infrastructure, personnel, and operational expenses required to commercialize CARDAMYST in the United States. We also expect inventory balances to increase as we capitalize costs related to the production of CARDAMYST for commercial sale in the United States. In addition, we expect to continue to incur significant research and development and general administrative expenses related to our operations as we advance etripamil nasal spray for the treatment AFib-RVR and continue to invest in the resources needed to support a developing commercialized public company.</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Since inception, we have incurred significant operating losses. For the years ended December 31, 2025 and 2024, we recorded net losses of $63.1 million and $41.5 million, respectively. As of December 31, 2025, we had an accumulated deficit of $430.6 million. We expect to continue to incur significant losses for the foreseeable future. We anticipate that a substantial portion of our capital resources and efforts in the foreseeable future will be focused on commercialization of CARDAMYST and the development of an additional etripamil indication. We had $73.0 million of cash and cash equivalents and $32.9 million of short-term investments at December 31, 2025.</w:t>
      </w:r>
    </w:p>
    <w:p>
      <w:pPr>
        <w:spacing w:after="0" w:line="1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color w:val="auto"/>
        </w:rPr>
        <w:t>We expect to continue to incur significant expenses and increasing operating losses for the foreseeable future. Our net losses may fluctuate significantly from period to period, depending on the timing of our planned clinical trials and expenditures on other research and development activities. We expect our expenses will increase over time as we:</w:t>
      </w:r>
    </w:p>
    <w:p>
      <w:pPr>
        <w:spacing w:after="0" w:line="184" w:lineRule="exact"/>
        <w:rPr>
          <w:sz w:val="20"/>
          <w:szCs w:val="20"/>
          <w:color w:val="auto"/>
        </w:rPr>
      </w:pPr>
    </w:p>
    <w:p>
      <w:pPr>
        <w:ind w:left="1080"/>
        <w:spacing w:after="0" w:line="290" w:lineRule="auto"/>
        <w:rPr>
          <w:sz w:val="20"/>
          <w:szCs w:val="20"/>
          <w:color w:val="auto"/>
        </w:rPr>
      </w:pPr>
      <w:r>
        <w:rPr>
          <w:rFonts w:ascii="Times New Roman" w:cs="Times New Roman" w:eastAsia="Times New Roman" w:hAnsi="Times New Roman"/>
          <w:sz w:val="20"/>
          <w:szCs w:val="20"/>
          <w:color w:val="auto"/>
        </w:rPr>
        <w:t>continue our ongoing and planned development of etripamil, including future Phase 3 clinical trials for the treatment of AFib-RVR and potential Phase 4 clinical trials for treatment of PSVT;</w:t>
      </w:r>
    </w:p>
    <w:p>
      <w:pPr>
        <w:spacing w:after="0" w:line="153" w:lineRule="exact"/>
        <w:rPr>
          <w:sz w:val="20"/>
          <w:szCs w:val="20"/>
          <w:color w:val="auto"/>
        </w:rPr>
      </w:pPr>
    </w:p>
    <w:p>
      <w:pPr>
        <w:ind w:left="1080"/>
        <w:spacing w:after="0" w:line="280" w:lineRule="auto"/>
        <w:rPr>
          <w:sz w:val="20"/>
          <w:szCs w:val="20"/>
          <w:color w:val="auto"/>
        </w:rPr>
      </w:pPr>
      <w:r>
        <w:rPr>
          <w:rFonts w:ascii="Times New Roman" w:cs="Times New Roman" w:eastAsia="Times New Roman" w:hAnsi="Times New Roman"/>
          <w:sz w:val="20"/>
          <w:szCs w:val="20"/>
          <w:color w:val="auto"/>
        </w:rPr>
        <w:t>seek, either directly or through collaboration with our partners, marketing approval for etripamil nasal spray for the treatment of PSVT from regulatory agencies responsible for regions outside the United States;</w:t>
      </w:r>
    </w:p>
    <w:p>
      <w:pPr>
        <w:spacing w:after="0" w:line="17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seek marketing approvals for etripamil for the treatment of AFib-RVR and other cardiovascular indications;</w:t>
      </w:r>
    </w:p>
    <w:p>
      <w:pPr>
        <w:spacing w:after="0" w:line="249" w:lineRule="exact"/>
        <w:rPr>
          <w:sz w:val="20"/>
          <w:szCs w:val="20"/>
          <w:color w:val="auto"/>
        </w:rPr>
      </w:pPr>
    </w:p>
    <w:p>
      <w:pPr>
        <w:ind w:left="1080"/>
        <w:spacing w:after="0" w:line="290" w:lineRule="auto"/>
        <w:rPr>
          <w:sz w:val="20"/>
          <w:szCs w:val="20"/>
          <w:color w:val="auto"/>
        </w:rPr>
      </w:pPr>
      <w:r>
        <w:rPr>
          <w:rFonts w:ascii="Times New Roman" w:cs="Times New Roman" w:eastAsia="Times New Roman" w:hAnsi="Times New Roman"/>
          <w:sz w:val="20"/>
          <w:szCs w:val="20"/>
          <w:color w:val="auto"/>
        </w:rPr>
        <w:t>increase our sales, marketing, manufacturing, and distribution capability, either directly or indirectly through third parties;</w:t>
      </w:r>
    </w:p>
    <w:p>
      <w:pPr>
        <w:sectPr>
          <w:pgSz w:w="11880" w:h="15480" w:orient="portrait"/>
          <w:cols w:equalWidth="0" w:num="1">
            <w:col w:w="9720"/>
          </w:cols>
          <w:pgMar w:left="1080" w:top="1075"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1880" w:h="15480" w:orient="portrait"/>
          <w:cols w:equalWidth="0" w:num="1">
            <w:col w:w="9720"/>
          </w:cols>
          <w:pgMar w:left="1080" w:top="1075" w:right="1080" w:bottom="544" w:gutter="0" w:footer="0" w:header="0"/>
          <w:type w:val="continuous"/>
        </w:sectPr>
      </w:pPr>
    </w:p>
    <w:bookmarkStart w:id="85" w:name="page86"/>
    <w:bookmarkEnd w:id="85"/>
    <w:p>
      <w:pPr>
        <w:ind w:left="1080"/>
        <w:spacing w:after="0" w:line="290" w:lineRule="auto"/>
        <w:rPr>
          <w:sz w:val="20"/>
          <w:szCs w:val="20"/>
          <w:color w:val="auto"/>
        </w:rPr>
      </w:pPr>
      <w:r>
        <w:rPr>
          <w:rFonts w:ascii="Times New Roman" w:cs="Times New Roman" w:eastAsia="Times New Roman" w:hAnsi="Times New Roman"/>
          <w:sz w:val="20"/>
          <w:szCs w:val="20"/>
          <w:color w:val="auto"/>
        </w:rPr>
        <w:t>build a portfolio of product candidates through development, or the acquisition of in-license of drugs, product candidates or technologies;</w:t>
      </w:r>
    </w:p>
    <w:p>
      <w:pPr>
        <w:spacing w:after="0" w:line="164" w:lineRule="exact"/>
        <w:rPr>
          <w:sz w:val="20"/>
          <w:szCs w:val="20"/>
          <w:color w:val="auto"/>
        </w:rPr>
      </w:pPr>
    </w:p>
    <w:p>
      <w:pPr>
        <w:ind w:left="1080"/>
        <w:spacing w:after="0" w:line="270" w:lineRule="auto"/>
        <w:rPr>
          <w:sz w:val="20"/>
          <w:szCs w:val="20"/>
          <w:color w:val="auto"/>
        </w:rPr>
      </w:pPr>
      <w:r>
        <w:rPr>
          <w:rFonts w:ascii="Times New Roman" w:cs="Times New Roman" w:eastAsia="Times New Roman" w:hAnsi="Times New Roman"/>
          <w:sz w:val="20"/>
          <w:szCs w:val="20"/>
          <w:color w:val="auto"/>
        </w:rPr>
        <w:t>initiate preclinical studies and clinical trials for etripamil for any additional indications we may pursue, including the clinical trials for the treatment of atrial fibrillation and rapid ventricular rate as well as other areas of unmet medical need, and for any additional product candidates that we may pursue in the future;</w:t>
      </w:r>
    </w:p>
    <w:p>
      <w:pPr>
        <w:spacing w:after="0" w:line="183" w:lineRule="exact"/>
        <w:rPr>
          <w:sz w:val="20"/>
          <w:szCs w:val="20"/>
          <w:color w:val="auto"/>
        </w:rPr>
      </w:pPr>
    </w:p>
    <w:p>
      <w:pPr>
        <w:ind w:left="1080" w:right="3480"/>
        <w:spacing w:after="0" w:line="527" w:lineRule="auto"/>
        <w:rPr>
          <w:sz w:val="20"/>
          <w:szCs w:val="20"/>
          <w:color w:val="auto"/>
        </w:rPr>
      </w:pPr>
      <w:r>
        <w:rPr>
          <w:rFonts w:ascii="Times New Roman" w:cs="Times New Roman" w:eastAsia="Times New Roman" w:hAnsi="Times New Roman"/>
          <w:sz w:val="19"/>
          <w:szCs w:val="19"/>
          <w:color w:val="auto"/>
        </w:rPr>
        <w:t>maintain, protect, and expand our intellectual property portfolio; hire additional clinical, regulatory, and scientific personnel;</w:t>
      </w:r>
    </w:p>
    <w:p>
      <w:pPr>
        <w:ind w:left="1080"/>
        <w:spacing w:after="0" w:line="270" w:lineRule="auto"/>
        <w:rPr>
          <w:sz w:val="20"/>
          <w:szCs w:val="20"/>
          <w:color w:val="auto"/>
        </w:rPr>
      </w:pPr>
      <w:r>
        <w:rPr>
          <w:rFonts w:ascii="Times New Roman" w:cs="Times New Roman" w:eastAsia="Times New Roman" w:hAnsi="Times New Roman"/>
          <w:sz w:val="20"/>
          <w:szCs w:val="20"/>
          <w:color w:val="auto"/>
        </w:rPr>
        <w:t>add operational, financial, and management information systems and personnel, or other general &amp; administrative personnel, including personnel to support our product development and potential expansion of our future commercialization efforts; and</w:t>
      </w:r>
    </w:p>
    <w:p>
      <w:pPr>
        <w:spacing w:after="0" w:line="183" w:lineRule="exact"/>
        <w:rPr>
          <w:sz w:val="20"/>
          <w:szCs w:val="20"/>
          <w:color w:val="auto"/>
        </w:rPr>
      </w:pPr>
    </w:p>
    <w:p>
      <w:pPr>
        <w:ind w:left="1080" w:right="20"/>
        <w:spacing w:after="0" w:line="290" w:lineRule="auto"/>
        <w:rPr>
          <w:sz w:val="20"/>
          <w:szCs w:val="20"/>
          <w:color w:val="auto"/>
        </w:rPr>
      </w:pPr>
      <w:r>
        <w:rPr>
          <w:rFonts w:ascii="Times New Roman" w:cs="Times New Roman" w:eastAsia="Times New Roman" w:hAnsi="Times New Roman"/>
          <w:sz w:val="20"/>
          <w:szCs w:val="20"/>
          <w:color w:val="auto"/>
        </w:rPr>
        <w:t>incur additional legal, accounting, insurance and other expenses associated with operating as a public company.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Developments</w:t>
      </w:r>
    </w:p>
    <w:p>
      <w:pPr>
        <w:spacing w:after="0" w:line="24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As previously disclosed, on March 27, 2023, we entered into a Purchase and Sale Agreement, or the “Royalty Purchase Agreement,” with RTW Royalty I DAC, an affiliate of RTW Investments, LP, or “RTW,” pursuant to which RTW agreed to purchase, following U.S. Food and Drug Administration approval of etripamil for the treatment of PSVT (subject to certain conditions), at a purchase price of $75.0 million, the right to receive tiered quarterly royalty payments, or the “royalty interest,” on net product sales of CARDAMYST (etripamil) in the United States.</w:t>
      </w:r>
    </w:p>
    <w:p>
      <w:pPr>
        <w:spacing w:after="0" w:line="20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On January 12, 2026, we closed the sale of the royalty interest under the Royalty Purchase Agreement and received cash of $75.0 million from RTW.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Macroeconomic Climate</w:t>
      </w:r>
    </w:p>
    <w:p>
      <w:pPr>
        <w:spacing w:after="0" w:line="2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Inflation rates may materially adversely affect our business and corresponding financial position and cash flows. Inflationary factors, changes to interest rates, and overhead costs may adversely affect our operating results. Interest and inflation rates also present a recent challenge impacting the U.S. economy and could make it more difficult for us to obtain traditional financing on acceptable terms, if at all, in the future. Additionally, geopolitical events, including war and terrorism, banking instabilities, ongoing changes to U.S. and international tariffs and other trade restrictions and trade barriers, renegotiation of international trade agreements, or further escalations of trade tensions, and other U.S. geopolitical issues affecting other territories and employee availability and wage increases, and economic markets all of which may result in additional stress on our working capital resources. The ongoing trade tensions between the U.S. and other jurisdictions have resulted in multiple rounds of tariffs and anticipated tariffs affecting pharmaceuticals and pharmaceutical ingredients, including finished drug products, manufacturing equipment, and related supplies. In any event, the dynamic and unpredictable tariff and trade landscape may create substantial uncertainty and planning challenges for our operations.</w:t>
      </w:r>
    </w:p>
    <w:p>
      <w:pPr>
        <w:sectPr>
          <w:pgSz w:w="11880" w:h="15480" w:orient="portrait"/>
          <w:cols w:equalWidth="0" w:num="1">
            <w:col w:w="9720"/>
          </w:cols>
          <w:pgMar w:left="1080" w:top="1075"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1880" w:h="15480" w:orient="portrait"/>
          <w:cols w:equalWidth="0" w:num="1">
            <w:col w:w="9720"/>
          </w:cols>
          <w:pgMar w:left="1080" w:top="1075" w:right="1080" w:bottom="544"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20"/>
          <w:szCs w:val="20"/>
          <w:b w:val="1"/>
          <w:bCs w:val="1"/>
          <w:color w:val="auto"/>
        </w:rPr>
        <w:t>Components of Results of Operations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License revenue</w:t>
      </w:r>
    </w:p>
    <w:p>
      <w:pPr>
        <w:spacing w:after="0" w:line="239" w:lineRule="exact"/>
        <w:rPr>
          <w:sz w:val="20"/>
          <w:szCs w:val="20"/>
          <w:color w:val="auto"/>
        </w:rPr>
      </w:pPr>
    </w:p>
    <w:p>
      <w:pPr>
        <w:jc w:val="both"/>
        <w:ind w:firstLine="51"/>
        <w:spacing w:after="0" w:line="246" w:lineRule="auto"/>
        <w:rPr>
          <w:sz w:val="20"/>
          <w:szCs w:val="20"/>
          <w:color w:val="auto"/>
        </w:rPr>
      </w:pPr>
      <w:r>
        <w:rPr>
          <w:rFonts w:ascii="Times New Roman" w:cs="Times New Roman" w:eastAsia="Times New Roman" w:hAnsi="Times New Roman"/>
          <w:sz w:val="20"/>
          <w:szCs w:val="20"/>
          <w:color w:val="auto"/>
        </w:rPr>
        <w:t>We generated $1.5 million of license revenue for the year ended December 31, 2025, compared to no revenue generated for the year ended December 31, 2024. The current year license revenue was the result of having reached a milestone pursuant to our License and Collaboration Agreement, dated May 15, 2021, with Corxel Pharmaceuticals, or “Corxel,” formerly known as Ji Xing Pharmaceuticals Limited, such party being referred to as “Ji Xing” and, such agreement, as the “Ji Xing License Agreement,” due upon the successful NDA approval by the FDA in the U.S. of etripamil for the treatment of PSVT. For additional information about our Revenue, see Note 2, “Summary of Significant Accounting Policies”, and Note 3, “Revenue” in the accompanying notes to our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23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Research and development expenses consist primarily of salaries and fees paid to external service providers, as well as personnel costs, including share -based compensation expense, and other related compensation expenses. We expense research and development costs in the periods in which they are incurred. Costs for certain development activities are recognized based on an evaluation of the progress to completion of specific tasks using information and data provided to us by our vendors, collaborators and third-party service providers.</w:t>
      </w:r>
    </w:p>
    <w:p>
      <w:pPr>
        <w:spacing w:after="0" w:line="19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To date, the majority of our research and development expenses have been related to the preclinical and clinical development of etripamil inclusive of manufacturing costs pre-FDA approval. As we advance etripamil or other product candidates for other indications, we expect to allocate our direct external research and development costs across each of the indications or product candidates. Further, we expect our research and development costs to increase for the development of etripamil in AFib- RVR, and we expect our research and development expenses related to the development of etripamil for PSVT to decrease as a percentage of our total research and development expenses.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process of conducting the necessary clinical research to obtain regulatory approval is costly and time-consuming and is subject to uncertainties and delays. As a result of the uncertainties discussed above, we are unable to determine the duration and completion costs of our research and development projects or when and to what extent we will generate revenue from the commercialization and sale of our product candidates, if at all.</w:t>
      </w:r>
    </w:p>
    <w:p>
      <w:pPr>
        <w:spacing w:after="0" w:line="191" w:lineRule="exact"/>
        <w:rPr>
          <w:sz w:val="20"/>
          <w:szCs w:val="20"/>
          <w:color w:val="auto"/>
        </w:rPr>
      </w:pPr>
    </w:p>
    <w:p>
      <w:pPr>
        <w:jc w:val="both"/>
        <w:ind w:right="60"/>
        <w:spacing w:after="0" w:line="279" w:lineRule="auto"/>
        <w:rPr>
          <w:sz w:val="20"/>
          <w:szCs w:val="20"/>
          <w:color w:val="auto"/>
        </w:rPr>
      </w:pPr>
      <w:r>
        <w:rPr>
          <w:rFonts w:ascii="Times New Roman" w:cs="Times New Roman" w:eastAsia="Times New Roman" w:hAnsi="Times New Roman"/>
          <w:sz w:val="20"/>
          <w:szCs w:val="20"/>
          <w:color w:val="auto"/>
        </w:rPr>
        <w:t>We recognize the benefit of Canadian research and development tax credits as a reduction of research and development costs for fully refundable investment tax credits.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238" w:lineRule="exact"/>
        <w:rPr>
          <w:sz w:val="20"/>
          <w:szCs w:val="20"/>
          <w:color w:val="auto"/>
        </w:rPr>
      </w:pPr>
    </w:p>
    <w:p>
      <w:pPr>
        <w:jc w:val="both"/>
        <w:ind w:right="60"/>
        <w:spacing w:after="0" w:line="253" w:lineRule="auto"/>
        <w:rPr>
          <w:sz w:val="20"/>
          <w:szCs w:val="20"/>
          <w:color w:val="auto"/>
        </w:rPr>
      </w:pPr>
      <w:r>
        <w:rPr>
          <w:rFonts w:ascii="Times New Roman" w:cs="Times New Roman" w:eastAsia="Times New Roman" w:hAnsi="Times New Roman"/>
          <w:sz w:val="20"/>
          <w:szCs w:val="20"/>
          <w:color w:val="auto"/>
        </w:rPr>
        <w:t>General and administrative expenses include personnel and related compensation costs, expenses for outside professional services, lease expenses, insurance expenses and other general administrative expenses. Personnel costs consist of salaries, bonuses, benefits, related payroll taxes, and share-based compensation. Outside professional services consist of legal, accounting, and audit services and other consulting fees.</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expect to continue to incur expenses as a public company, including expenses related to compliance with the rules and regulations of the Securities and Exchange Commission, or “SEC,” and those of any national securities exchange on which our securities are traded, additional insurance expenses, investor relations activities, and other administrative and professional services.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Commercial Expenses</w:t>
      </w:r>
    </w:p>
    <w:p>
      <w:pPr>
        <w:spacing w:after="0" w:line="23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Commercial expenses consist primarily of personnel and related compensation costs, market and health economic research, and market development activities for PSVT and, to a lesser extent, AFib-RVR. The focus of these expenses is three-fold: first, we want to leverage rigorous primary and secondary research to fully understand our target disease states from the perspective of the patient, healthcare provider, and payer; second, we want to understand and document the burden of</w:t>
      </w:r>
    </w:p>
    <w:p>
      <w:pPr>
        <w:sectPr>
          <w:pgSz w:w="11880" w:h="15480" w:orient="portrait"/>
          <w:cols w:equalWidth="0" w:num="1">
            <w:col w:w="9720"/>
          </w:cols>
          <w:pgMar w:left="1080" w:top="1062"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1880" w:h="15480" w:orient="portrait"/>
          <w:cols w:equalWidth="0" w:num="1">
            <w:col w:w="9720"/>
          </w:cols>
          <w:pgMar w:left="1080" w:top="1062" w:right="1080" w:bottom="544" w:gutter="0" w:footer="0" w:header="0"/>
          <w:type w:val="continuous"/>
        </w:sectPr>
      </w:pPr>
    </w:p>
    <w:bookmarkStart w:id="87" w:name="page88"/>
    <w:bookmarkEnd w:id="87"/>
    <w:p>
      <w:pPr>
        <w:jc w:val="both"/>
        <w:spacing w:after="0" w:line="253" w:lineRule="auto"/>
        <w:rPr>
          <w:sz w:val="20"/>
          <w:szCs w:val="20"/>
          <w:color w:val="auto"/>
        </w:rPr>
      </w:pPr>
      <w:r>
        <w:rPr>
          <w:rFonts w:ascii="Times New Roman" w:cs="Times New Roman" w:eastAsia="Times New Roman" w:hAnsi="Times New Roman"/>
          <w:sz w:val="20"/>
          <w:szCs w:val="20"/>
          <w:color w:val="auto"/>
        </w:rPr>
        <w:t>disease posed by PSVT and AFib-RVR from an epidemiology, healthcare resource use, and cost perspective; and third, we want to engage our target patient, physician, and payer stakeholders with evidence-based and compliant educational materials that serve to increase the awareness and understanding of the impact of PSVT and AFib-RVR on patients and the overall healthcare system.</w:t>
      </w:r>
    </w:p>
    <w:p>
      <w:pPr>
        <w:spacing w:after="0" w:line="191"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20"/>
          <w:szCs w:val="20"/>
          <w:color w:val="auto"/>
        </w:rPr>
        <w:t>We anticipate our commercial expenses will increase as we invest in the infrastructure, personnel, and operational expenses required to commercialize CARDAMYST in the United States.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Income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 income primarily consists of interest income from our cash equivalents and short-term investments.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 expense primarily consists of contractual debt interest expense and the amortization of debt costs.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56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6"/>
        </w:trPr>
        <w:tc>
          <w:tcPr>
            <w:tcW w:w="56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the Years Ended December 31, 2025 and 2024</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54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220" w:type="dxa"/>
            <w:vAlign w:val="bottom"/>
            <w:gridSpan w:val="2"/>
            <w:vMerge w:val="restart"/>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10"/>
          </w:tcPr>
          <w:p>
            <w:pPr>
              <w:ind w:left="6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5400" w:type="dxa"/>
            <w:vAlign w:val="bottom"/>
            <w:tcBorders>
              <w:bottom w:val="single" w:sz="8" w:color="auto"/>
            </w:tcBorders>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0"/>
              <w:spacing w:after="0" w:line="221" w:lineRule="exact"/>
              <w:rPr>
                <w:sz w:val="20"/>
                <w:szCs w:val="20"/>
                <w:color w:val="auto"/>
              </w:rPr>
            </w:pPr>
            <w:r>
              <w:rPr>
                <w:rFonts w:ascii="Times New Roman" w:cs="Times New Roman" w:eastAsia="Times New Roman" w:hAnsi="Times New Roman"/>
                <w:sz w:val="20"/>
                <w:szCs w:val="20"/>
                <w:b w:val="1"/>
                <w:bCs w:val="1"/>
                <w:color w:val="auto"/>
              </w:rPr>
              <w:t>2025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40"/>
              <w:spacing w:after="0" w:line="221" w:lineRule="exact"/>
              <w:rPr>
                <w:sz w:val="20"/>
                <w:szCs w:val="20"/>
                <w:color w:val="auto"/>
              </w:rPr>
            </w:pPr>
            <w:r>
              <w:rPr>
                <w:rFonts w:ascii="Times New Roman" w:cs="Times New Roman" w:eastAsia="Times New Roman" w:hAnsi="Times New Roman"/>
                <w:sz w:val="20"/>
                <w:szCs w:val="20"/>
                <w:b w:val="1"/>
                <w:bCs w:val="1"/>
                <w:color w:val="auto"/>
              </w:rPr>
              <w:t>2024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b w:val="1"/>
                <w:bCs w:val="1"/>
                <w:color w:val="auto"/>
                <w:w w:val="99"/>
              </w:rPr>
              <w:t>$</w:t>
            </w:r>
          </w:p>
        </w:tc>
        <w:tc>
          <w:tcPr>
            <w:tcW w:w="7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b w:val="1"/>
                <w:bCs w:val="1"/>
                <w:color w:val="auto"/>
              </w:rPr>
              <w:t>Change</w:t>
            </w:r>
          </w:p>
        </w:tc>
        <w:tc>
          <w:tcPr>
            <w:tcW w:w="220" w:type="dxa"/>
            <w:vAlign w:val="bottom"/>
            <w:gridSpan w:val="2"/>
          </w:tcPr>
          <w:p>
            <w:pPr>
              <w:spacing w:after="0"/>
              <w:rPr>
                <w:sz w:val="19"/>
                <w:szCs w:val="19"/>
                <w:color w:val="auto"/>
              </w:rPr>
            </w:pPr>
          </w:p>
        </w:tc>
        <w:tc>
          <w:tcPr>
            <w:tcW w:w="900" w:type="dxa"/>
            <w:vAlign w:val="bottom"/>
            <w:tcBorders>
              <w:bottom w:val="single" w:sz="8" w:color="auto"/>
            </w:tcBorders>
          </w:tcPr>
          <w:p>
            <w:pPr>
              <w:jc w:val="right"/>
              <w:spacing w:after="0" w:line="221" w:lineRule="exact"/>
              <w:rPr>
                <w:sz w:val="20"/>
                <w:szCs w:val="20"/>
                <w:color w:val="auto"/>
              </w:rPr>
            </w:pPr>
            <w:r>
              <w:rPr>
                <w:rFonts w:ascii="Times New Roman" w:cs="Times New Roman" w:eastAsia="Times New Roman" w:hAnsi="Times New Roman"/>
                <w:sz w:val="20"/>
                <w:szCs w:val="20"/>
                <w:b w:val="1"/>
                <w:bCs w:val="1"/>
                <w:color w:val="auto"/>
                <w:w w:val="97"/>
              </w:rPr>
              <w:t>% Change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2"/>
        </w:trPr>
        <w:tc>
          <w:tcPr>
            <w:tcW w:w="56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Revenue . . . . . . . . . . . . . . . . . . . . . . . . . . . . . . .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1,546</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1,546</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6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562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Research and development, net of tax credits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18,108</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14,357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2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General and administrative . . . . . . . . . . . . . . . . . . . . . . . . . . . . . . .</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17,274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16,742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62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w w:val="98"/>
              </w:rPr>
              <w:t>Commercial . . . . . . . . . . . . . . . . . . . . . . . . . . . . . . . . . . . . . . . . . . . .</w:t>
            </w: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28,304</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11,003</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17,301</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620" w:type="dxa"/>
            <w:vAlign w:val="bottom"/>
            <w:gridSpan w:val="3"/>
          </w:tcPr>
          <w:p>
            <w:pPr>
              <w:jc w:val="right"/>
              <w:ind w:right="300"/>
              <w:spacing w:after="0" w:line="220" w:lineRule="exact"/>
              <w:rPr>
                <w:sz w:val="20"/>
                <w:szCs w:val="20"/>
                <w:color w:val="auto"/>
              </w:rPr>
            </w:pPr>
            <w:r>
              <w:rPr>
                <w:rFonts w:ascii="Times New Roman" w:cs="Times New Roman" w:eastAsia="Times New Roman" w:hAnsi="Times New Roman"/>
                <w:sz w:val="20"/>
                <w:szCs w:val="20"/>
                <w:color w:val="auto"/>
              </w:rPr>
              <w:t>. . . . . . . . . . . . . . . . . . . . . . . . . . . . . . . .Totaloperatingexpenses</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63,686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42,102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21,584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20" w:type="dxa"/>
            <w:vAlign w:val="bottom"/>
            <w:gridSpan w:val="3"/>
          </w:tcPr>
          <w:p>
            <w:pPr>
              <w:jc w:val="right"/>
              <w:ind w:right="300"/>
              <w:spacing w:after="0" w:line="210" w:lineRule="exact"/>
              <w:rPr>
                <w:sz w:val="20"/>
                <w:szCs w:val="20"/>
                <w:color w:val="auto"/>
              </w:rPr>
            </w:pPr>
            <w:r>
              <w:rPr>
                <w:rFonts w:ascii="Times New Roman" w:cs="Times New Roman" w:eastAsia="Times New Roman" w:hAnsi="Times New Roman"/>
                <w:sz w:val="20"/>
                <w:szCs w:val="20"/>
                <w:color w:val="auto"/>
                <w:w w:val="99"/>
              </w:rPr>
              <w:t>. . . . . . . . . . . . . . . . . . . . . . . . . . . . . . . . . . . . . .Lossfromoperations</w:t>
            </w:r>
          </w:p>
        </w:tc>
        <w:tc>
          <w:tcPr>
            <w:tcW w:w="120" w:type="dxa"/>
            <w:vAlign w:val="bottom"/>
          </w:tcPr>
          <w:p>
            <w:pPr>
              <w:spacing w:after="0"/>
              <w:rPr>
                <w:sz w:val="18"/>
                <w:szCs w:val="18"/>
                <w:color w:val="auto"/>
              </w:rPr>
            </w:pPr>
          </w:p>
        </w:tc>
        <w:tc>
          <w:tcPr>
            <w:tcW w:w="74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(62,140)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(42,102)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w w:val="99"/>
              </w:rPr>
              <w:t>(20,038)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47.6%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62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w w:val="97"/>
              </w:rPr>
              <w:t>Interest income . . . . . . . . . . . . . . . . . . . . . . . . . . . . . . . . . . . . . . . . . .</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(1,244)</w:t>
            </w:r>
          </w:p>
        </w:tc>
        <w:tc>
          <w:tcPr>
            <w:tcW w:w="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(29.9)%</w:t>
            </w:r>
          </w:p>
        </w:tc>
        <w:tc>
          <w:tcPr>
            <w:tcW w:w="0" w:type="dxa"/>
            <w:vAlign w:val="bottom"/>
          </w:tcPr>
          <w:p>
            <w:pPr>
              <w:spacing w:after="0"/>
              <w:rPr>
                <w:sz w:val="1"/>
                <w:szCs w:val="1"/>
                <w:color w:val="auto"/>
              </w:rPr>
            </w:pPr>
          </w:p>
        </w:tc>
      </w:tr>
      <w:tr>
        <w:trPr>
          <w:trHeight w:val="241"/>
        </w:trPr>
        <w:tc>
          <w:tcPr>
            <w:tcW w:w="562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w w:val="96"/>
              </w:rPr>
              <w:t>Interest expense . . . . . . . . . . . . . . . . . . . . . . . . . . . . . . . . . . . . . . . . . .</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(3,838)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(3,581)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(257)</w:t>
            </w: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6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w w:val="95"/>
              </w:rPr>
              <w:t>Net loss . . . . . . . . . . . . . . . . . . . . . . . . . . . . . . . . . . . . . . . . . . . . . . . . .</w:t>
            </w:r>
          </w:p>
        </w:tc>
        <w:tc>
          <w:tcPr>
            <w:tcW w:w="20" w:type="dxa"/>
            <w:vAlign w:val="bottom"/>
            <w:tcBorders>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(63,058)</w:t>
            </w:r>
          </w:p>
        </w:tc>
        <w:tc>
          <w:tcPr>
            <w:tcW w:w="1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(41,519)</w:t>
            </w:r>
          </w:p>
        </w:tc>
        <w:tc>
          <w:tcPr>
            <w:tcW w:w="1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(21,539)</w:t>
            </w: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License revenue</w:t>
      </w:r>
    </w:p>
    <w:p>
      <w:pPr>
        <w:spacing w:after="0" w:line="23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recorded $1.5 million of license revenue for the year ended December 31, 2025, compared to no revenue recorded for the year ended December 31, 2024. The license revenue for the year ended December 31, 2025 was the result of having reached a milestone pursuant to our License and Collaboration Agreement, dated May 15, 2021, with Corxel Pharmaceuticals, or “Corxel,” formerly known as Ji Xing Pharmaceuticals Limited, such party being referred to as “Ji Xing” and, such agreement, as the “Ji Xing License Agreement,” due upon the successful NDA approval by the FDA for CARDAMYST for the treatment of PSVT in the United States.</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1880" w:h="15480" w:orient="portrait"/>
          <w:cols w:equalWidth="0" w:num="1">
            <w:col w:w="9720"/>
          </w:cols>
          <w:pgMar w:left="1080" w:top="1064" w:right="1080" w:bottom="544"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shows our research and development expenses by type of activity for the periods indicated.</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11"/>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0" w:type="dxa"/>
            <w:vAlign w:val="bottom"/>
          </w:tcPr>
          <w:p>
            <w:pPr>
              <w:spacing w:after="0"/>
              <w:rPr>
                <w:sz w:val="1"/>
                <w:szCs w:val="1"/>
                <w:color w:val="auto"/>
              </w:rPr>
            </w:pPr>
          </w:p>
        </w:tc>
      </w:tr>
      <w:tr>
        <w:trPr>
          <w:trHeight w:val="210"/>
        </w:trPr>
        <w:tc>
          <w:tcPr>
            <w:tcW w:w="620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Change</w:t>
            </w:r>
          </w:p>
        </w:tc>
        <w:tc>
          <w:tcPr>
            <w:tcW w:w="0" w:type="dxa"/>
            <w:vAlign w:val="bottom"/>
          </w:tcPr>
          <w:p>
            <w:pPr>
              <w:spacing w:after="0"/>
              <w:rPr>
                <w:sz w:val="1"/>
                <w:szCs w:val="1"/>
                <w:color w:val="auto"/>
              </w:rPr>
            </w:pPr>
          </w:p>
        </w:tc>
      </w:tr>
      <w:tr>
        <w:trPr>
          <w:trHeight w:val="179"/>
        </w:trPr>
        <w:tc>
          <w:tcPr>
            <w:tcW w:w="6000" w:type="dxa"/>
            <w:vAlign w:val="bottom"/>
            <w:tcBorders>
              <w:top w:val="single" w:sz="8" w:color="auto"/>
            </w:tcBorders>
          </w:tcPr>
          <w:p>
            <w:pPr>
              <w:jc w:val="right"/>
              <w:ind w:right="10"/>
              <w:spacing w:after="0" w:line="179" w:lineRule="exact"/>
              <w:rPr>
                <w:sz w:val="20"/>
                <w:szCs w:val="20"/>
                <w:color w:val="auto"/>
              </w:rPr>
            </w:pPr>
            <w:r>
              <w:rPr>
                <w:rFonts w:ascii="Times New Roman" w:cs="Times New Roman" w:eastAsia="Times New Roman" w:hAnsi="Times New Roman"/>
                <w:sz w:val="18"/>
                <w:szCs w:val="18"/>
                <w:color w:val="auto"/>
              </w:rPr>
              <w:t>Clinical . . . . . . . . . . . . . . . . . . . . . . . . . . . . . . . . . . . . . . . . . . . . . . . . . . . . . . . . . .</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tcPr>
          <w:p>
            <w:pPr>
              <w:jc w:val="right"/>
              <w:spacing w:after="0" w:line="179" w:lineRule="exact"/>
              <w:rPr>
                <w:sz w:val="20"/>
                <w:szCs w:val="20"/>
                <w:color w:val="auto"/>
              </w:rPr>
            </w:pPr>
            <w:r>
              <w:rPr>
                <w:rFonts w:ascii="Times New Roman" w:cs="Times New Roman" w:eastAsia="Times New Roman" w:hAnsi="Times New Roman"/>
                <w:sz w:val="18"/>
                <w:szCs w:val="18"/>
                <w:color w:val="auto"/>
              </w:rPr>
              <w:t>7,356</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jc w:val="right"/>
              <w:spacing w:after="0" w:line="180" w:lineRule="exact"/>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line="179" w:lineRule="exact"/>
              <w:rPr>
                <w:sz w:val="20"/>
                <w:szCs w:val="20"/>
                <w:color w:val="auto"/>
              </w:rPr>
            </w:pPr>
            <w:r>
              <w:rPr>
                <w:rFonts w:ascii="Times New Roman" w:cs="Times New Roman" w:eastAsia="Times New Roman" w:hAnsi="Times New Roman"/>
                <w:sz w:val="18"/>
                <w:szCs w:val="18"/>
                <w:color w:val="auto"/>
              </w:rPr>
              <w:t>6,596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jc w:val="right"/>
              <w:spacing w:after="0" w:line="179"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line="179" w:lineRule="exact"/>
              <w:rPr>
                <w:sz w:val="20"/>
                <w:szCs w:val="20"/>
                <w:color w:val="auto"/>
              </w:rPr>
            </w:pPr>
            <w:r>
              <w:rPr>
                <w:rFonts w:ascii="Times New Roman" w:cs="Times New Roman" w:eastAsia="Times New Roman" w:hAnsi="Times New Roman"/>
                <w:sz w:val="18"/>
                <w:szCs w:val="18"/>
                <w:color w:val="auto"/>
              </w:rPr>
              <w:t>760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Borders>
              <w:top w:val="single" w:sz="8" w:color="auto"/>
            </w:tcBorders>
          </w:tcPr>
          <w:p>
            <w:pPr>
              <w:jc w:val="right"/>
              <w:spacing w:after="0" w:line="179" w:lineRule="exact"/>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8"/>
        </w:trPr>
        <w:tc>
          <w:tcPr>
            <w:tcW w:w="62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Drug manufacturing and formulation . . . . . . . . . . . . . . . . . . . . . . . . . . . . . . . . . . .</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08"/>
        </w:trPr>
        <w:tc>
          <w:tcPr>
            <w:tcW w:w="62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Regulatory and other costs. . . . . . . . . . . . . . . . . . . . . . . . . . . . . . . . . . . . . . . . . . . .</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18"/>
        </w:trPr>
        <w:tc>
          <w:tcPr>
            <w:tcW w:w="62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Less: R&amp;D tax credits . . . . . . . . . . . . . . . . . . . . . . . . . . . . . . . . . . . . . . . . . . . . . . .</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17"/>
        </w:trPr>
        <w:tc>
          <w:tcPr>
            <w:tcW w:w="6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Total R&amp;D expenses . . . . . . . . . . . . . . . . . . . . . . . . . . . . . . . . . . . . . . . . . . . . . . .</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18,108</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14,357</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Research and development expenses increased by $ 3.8 million, or 26.1%, for the year ended December 31, 2025, compared to the year ended December 31, 2024. The increase was primarily due to higher consulting and outside service costs. These higher costs were partially offset by lower personnel-related costs.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w:t>
      </w:r>
    </w:p>
    <w:p>
      <w:pPr>
        <w:spacing w:after="0" w:line="23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General and administrative expenses increased $0.5 million, or 3.2%, for the year ended December 31, 2025, compared to the year ended December 31, 2024. This increase was driven primarily by an increase in outside service costs and higher personnel costs.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Commercial</w:t>
      </w:r>
    </w:p>
    <w:p>
      <w:pPr>
        <w:spacing w:after="0" w:line="23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Commercial expenses increased by $17.3 million, or 157.2%, for the year ended December 31, 2025, compared to the year ended December 31, 2024. This increase is primarily a result of additional personnel costs, professional costs, and other operational expenses related to preparation for the launch of CARDAMYST.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-459105</wp:posOffset>
                </wp:positionV>
                <wp:extent cx="6200140" cy="58420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00140" cy="584200"/>
                        </a:xfrm>
                        <a:prstGeom prst="rect">
                          <a:avLst/>
                        </a:prstGeom>
                        <a:solidFill>
                          <a:srgbClr val="FEFEFE"/>
                        </a:solidFill>
                      </wps:spPr>
                      <wps:bodyPr/>
                    </wps:wsp>
                  </a:graphicData>
                </a:graphic>
              </wp:anchor>
            </w:drawing>
          </mc:Choice>
          <mc:Fallback>
            <w:pict>
              <v:rect id="Shape 12" o:spid="_x0000_s1037" style="position:absolute;margin-left:-1.0999pt;margin-top:-36.1499pt;width:488.2pt;height:4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EFEFE" stroked="f"/>
            </w:pict>
          </mc:Fallback>
        </mc:AlternateConten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Income</w:t>
      </w:r>
    </w:p>
    <w:p>
      <w:pPr>
        <w:spacing w:after="0" w:line="23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Interest income was $2.9 million and $4.2 million for the year ended December 31, 2025 and 2024, respectively. The decrease in interest income in 2025 was driven decreasing interest rates and a smaller average investment balance in 2025 when compared to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w:t>
      </w:r>
    </w:p>
    <w:p>
      <w:pPr>
        <w:spacing w:after="0" w:line="23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Interest expense remained materially consistent for the year ended December 31, 2025 compared to the year ended December 31, 2024.</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Sources of Liquidity</w:t>
      </w:r>
    </w:p>
    <w:p>
      <w:pPr>
        <w:spacing w:after="0" w:line="2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We have incurred operating losses and experienced negative operating cash flows since our inception, and we anticipate continuing to incur losses for the foreseeable future. As of December 31, 2025, we had cash, cash equivalents, and short-term investments of $106.0 million and an accumulated deficit of $430.6 million.</w:t>
      </w:r>
    </w:p>
    <w:p>
      <w:pPr>
        <w:spacing w:after="0" w:line="17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On July 11, 2025, we entered into an underwriting agreement, or the “Underwriting Agreement,” related to an underwritten public offering, or the “2025 Offering,” of (i) 31,500,000 of our common shares, accompanying Series A common warrants, or the “Series A Common Warrants,” to purchase an aggregate of 31,500,000 common shares and accompanying Series B common warrants, or the “Series B Common Warrants,” to purchase an aggregate of 31,500,000 common shares, at a combined public offering price of $1.50 per share and accompanying Series A Common Warrant and Series B Common Warrant and (ii) in lieu of common shares to certain investors that so choose, pre-funded warrants or the “2025</w:t>
      </w:r>
    </w:p>
    <w:p>
      <w:pPr>
        <w:sectPr>
          <w:pgSz w:w="11880" w:h="15480" w:orient="portrait"/>
          <w:cols w:equalWidth="0" w:num="1">
            <w:col w:w="9720"/>
          </w:cols>
          <w:pgMar w:left="1080" w:top="1067"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1880" w:h="15480" w:orient="portrait"/>
          <w:cols w:equalWidth="0" w:num="1">
            <w:col w:w="9720"/>
          </w:cols>
          <w:pgMar w:left="1080" w:top="1067" w:right="1080" w:bottom="544" w:gutter="0" w:footer="0" w:header="0"/>
          <w:type w:val="continuous"/>
        </w:sectPr>
      </w:pPr>
    </w:p>
    <w:bookmarkStart w:id="89" w:name="page90"/>
    <w:bookmarkEnd w:id="89"/>
    <w:p>
      <w:pPr>
        <w:jc w:val="both"/>
        <w:spacing w:after="0" w:line="263" w:lineRule="auto"/>
        <w:rPr>
          <w:sz w:val="20"/>
          <w:szCs w:val="20"/>
          <w:color w:val="auto"/>
        </w:rPr>
      </w:pPr>
      <w:r>
        <w:rPr>
          <w:rFonts w:ascii="Times New Roman" w:cs="Times New Roman" w:eastAsia="Times New Roman" w:hAnsi="Times New Roman"/>
          <w:sz w:val="19"/>
          <w:szCs w:val="19"/>
          <w:color w:val="auto"/>
        </w:rPr>
        <w:t>Pre-Funded Warrants” and, together with the Series A Common Warrants and the Series B Common Warrants, the “Warrants,” to purchase 3,502,335 common shares, accompanying Series A Common Warrants to purchase an aggregate of 3,502,335 common shares and accompanying Series B Common Warrants to purchase an aggregate of 3,502,335 common shares, at a combined public offering price of $1.499 per Pre-Funded Warrant and accompanying Series A Common Warrant and Series B Common Warrant, which represented the combined public offering price for the Common Shares and accompanying Common Warrants less the $0.001 per share exercise price for each such Pre-Funded Warrant.</w:t>
      </w:r>
    </w:p>
    <w:p>
      <w:pPr>
        <w:spacing w:after="0" w:line="18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The net proceeds to the Company from the 2025 Offering were $48.6 million after deducting underwriting commissions and other offering expenses payable by us, in the amount of $3.9 million.</w:t>
      </w:r>
    </w:p>
    <w:p>
      <w:pPr>
        <w:spacing w:after="0" w:line="15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On February 28, 2024, we entered into an underwriting agreement related to an underwritten public offering, or the “February 2024 Offering,” of 16,666,667 of our common shares, without par value, at a public offering price of $1.50 per share and, in lieu of common shares to certain investors, pre-funded warrants to purchase 3,333,333 common shares, or the “2024 Pre-Funded Warrants,” at a public offering price of $1.499 per 2024 Pre-Funded Warrants. Each of the 2024 Pre-Funded Warrants has an exercise price of $0.001 per share. The 2024 Pre-Funded Warrants were exercisable immediately upon issuance, subject to certain beneficial ownership limitations. Under the terms of the agreement, we granted the underwriters party thereto an option to purchase up to an additional 3,000,000 common shares at the same price per share as the other common shares sold in this offering, which was exercised by such underwriters in full on February 29, 2024.</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net proceeds to us from the February 2024 Offering, including the proceeds from the exercise by the underwriters of their option to purchase the additional 3,000,000 common shares in full, was $31.9 million after deducting underwriting commissions and offering expenses payable by us.</w:t>
      </w:r>
    </w:p>
    <w:p>
      <w:pPr>
        <w:spacing w:after="0" w:line="17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On July 29, 2020, we entered into an Open Market Sale Agreement</w:t>
      </w:r>
      <w:r>
        <w:rPr>
          <w:rFonts w:ascii="Times New Roman" w:cs="Times New Roman" w:eastAsia="Times New Roman" w:hAnsi="Times New Roman"/>
          <w:sz w:val="25"/>
          <w:szCs w:val="25"/>
          <w:color w:val="auto"/>
          <w:vertAlign w:val="superscript"/>
        </w:rPr>
        <w:t>SM</w:t>
      </w:r>
      <w:r>
        <w:rPr>
          <w:rFonts w:ascii="Times New Roman" w:cs="Times New Roman" w:eastAsia="Times New Roman" w:hAnsi="Times New Roman"/>
          <w:sz w:val="20"/>
          <w:szCs w:val="20"/>
          <w:color w:val="auto"/>
        </w:rPr>
        <w:t>, or the “Original Sale Agreement,” with respect to an at-the-market offering program, or the “ATM Program,” under which we could issue and sell our common shares having an aggregate offering price of up to $50.0 million through Jefferies LLC, or “Jefferies,” as sales agent or principal. On March 18, 2025, we entered into an Amended and Restated Open Market Sale Agreement</w:t>
      </w:r>
      <w:r>
        <w:rPr>
          <w:rFonts w:ascii="Times New Roman" w:cs="Times New Roman" w:eastAsia="Times New Roman" w:hAnsi="Times New Roman"/>
          <w:sz w:val="25"/>
          <w:szCs w:val="25"/>
          <w:color w:val="auto"/>
          <w:vertAlign w:val="superscript"/>
        </w:rPr>
        <w:t>SM</w:t>
      </w:r>
      <w:r>
        <w:rPr>
          <w:rFonts w:ascii="Times New Roman" w:cs="Times New Roman" w:eastAsia="Times New Roman" w:hAnsi="Times New Roman"/>
          <w:sz w:val="20"/>
          <w:szCs w:val="20"/>
          <w:color w:val="auto"/>
        </w:rPr>
        <w:t>, or the “Amended Agreement,” with Jefferies. The Amended Agreement amends and restates, in its entirety, the Original Sale Agreement. Under the Amended Agreement, we may issue and sell its common shares, no par value per share, for an aggregate offering price of up to $77.8 million (which includes the $2.8 million of sales previously made pursuant to the Original Sale Agreement through the date the Amended Agreement was entered into), or the “ATM Shares.” The ATM Shares will be sold pursuant to our shelf registration statement on Form S-3 (File No. 333-283162). We previously issued 361,236 common shares under the Original Sale Agreement, resulting in net proceeds of approximately $2.6 million (net of issuance costs of approximately $0.1 million). We issued 5,690,920 shares under the amended agreement resulting in net proceeds of $14.5 million, after deducting sales agent commissions payable by us of $0.4 million, during the year ended December 31, 2025.</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expect that our operating plan, existing cash and cash equivalents and short-term investments to be sufficient to fund our operations for at least the next 12 months from the date of issuance of this Annual Report on Form 10-K for the year ending December 31, 2025 and that there are no known events or conditions that may cast substantial doubt on our ability to continue as a going concern for at least the next 12 months from the date of this filing.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Royalty Purchase Agreement</w:t>
      </w:r>
    </w:p>
    <w:p>
      <w:pPr>
        <w:spacing w:after="0" w:line="22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Pursuant to the Royalty Purchase Agreement, RTW agreed to purchase, following FDA approval of etripamil (subject to certain conditions), in exchange for a purchase price of $75.0 million, the right to receive a tiered quarterly royalty payments, or “royalty interest,” on the annual net product sales of etripamil in the United States.</w:t>
      </w:r>
    </w:p>
    <w:p>
      <w:pPr>
        <w:spacing w:after="0" w:line="17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On January 12, 2026, we closed the sale of the royalty interest under the Royalty Purchase Agreement and received the $75.0 million purchase price from certain funds managed by RTW in exchange for the future royalty interest.</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1880" w:h="15480" w:orient="portrait"/>
          <w:cols w:equalWidth="0" w:num="1">
            <w:col w:w="9720"/>
          </w:cols>
          <w:pgMar w:left="1080" w:top="1064" w:right="1080" w:bottom="544"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20"/>
          <w:szCs w:val="20"/>
          <w:b w:val="1"/>
          <w:bCs w:val="1"/>
          <w:i w:val="1"/>
          <w:iCs w:val="1"/>
          <w:color w:val="auto"/>
        </w:rPr>
        <w:t>Funding Requirements</w:t>
      </w:r>
    </w:p>
    <w:p>
      <w:pPr>
        <w:spacing w:after="0" w:line="23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anticipate that we will use our cash and cash equivalents primarily to fund commercialization and research and development expenditures. We expect our expenses to increase as we continue the development of etripamil and invest in the infrastructure, personnel, and operational expenses required to commercialize CARDAMYST in the United States. We expect to incur increasing operating losses for the foreseeable future as we continue the clinical development of subsequent etripamil indications or any future product candidates. At this time, due to the inherently unpredictable nature of clinical development, we cannot reasonably estimate the costs we will incur and the timelines that will be required to complete development, obtain marketing approval, and commercialize subsequent etripamil indications or any future product candidates, if at all. For the same reasons, we are also unable to predict when, if ever, we may achieve profitability generated from product sales. Clinical and preclinical development timelines, the probability of success, and development costs can differ materially from expectations.</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In addition, we have exclusive development and commercialization rights for etripamil for all indications that we may pursue, and as such, have the potential to license development and or commercialization rights for etripamil to a potential partner in regions outside of Greater China. We have established commercialization and marketing capabilities using a direct sales force to commercialize CARDAMYST in the United States. Outside of the United States, we are considering commercialization strategies that may include collaborations with other companies.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For other new product candidates, our efforts are focused on licensing development and/or commercialization rights from potential partners. In the case of either in-licensing or out-licensing, we cannot forecast when such arrangements will be secured, if at all, and to what degree such arrangements would affect our development and commercialization plans and capital requirements.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timing and amount of our operating expenditures will depend largely on:</w:t>
      </w:r>
    </w:p>
    <w:p>
      <w:pPr>
        <w:spacing w:after="0" w:line="239" w:lineRule="exact"/>
        <w:rPr>
          <w:sz w:val="20"/>
          <w:szCs w:val="20"/>
          <w:color w:val="auto"/>
        </w:rPr>
      </w:pPr>
    </w:p>
    <w:p>
      <w:pPr>
        <w:ind w:left="720"/>
        <w:spacing w:after="0" w:line="280" w:lineRule="auto"/>
        <w:rPr>
          <w:sz w:val="20"/>
          <w:szCs w:val="20"/>
          <w:color w:val="auto"/>
        </w:rPr>
      </w:pPr>
      <w:r>
        <w:rPr>
          <w:rFonts w:ascii="Times New Roman" w:cs="Times New Roman" w:eastAsia="Times New Roman" w:hAnsi="Times New Roman"/>
          <w:sz w:val="20"/>
          <w:szCs w:val="20"/>
          <w:color w:val="auto"/>
        </w:rPr>
        <w:t>the timing, progress and results of our ongoing and planned clinical trials and other development activities of etripamil in AFib-RVR and in other cardiovascular indications;</w:t>
      </w:r>
    </w:p>
    <w:p>
      <w:pPr>
        <w:spacing w:after="0" w:line="162" w:lineRule="exact"/>
        <w:rPr>
          <w:sz w:val="20"/>
          <w:szCs w:val="20"/>
          <w:color w:val="auto"/>
        </w:rPr>
      </w:pPr>
    </w:p>
    <w:p>
      <w:pPr>
        <w:ind w:left="720"/>
        <w:spacing w:after="0" w:line="280" w:lineRule="auto"/>
        <w:rPr>
          <w:sz w:val="20"/>
          <w:szCs w:val="20"/>
          <w:color w:val="auto"/>
        </w:rPr>
      </w:pPr>
      <w:r>
        <w:rPr>
          <w:rFonts w:ascii="Times New Roman" w:cs="Times New Roman" w:eastAsia="Times New Roman" w:hAnsi="Times New Roman"/>
          <w:sz w:val="20"/>
          <w:szCs w:val="20"/>
          <w:color w:val="auto"/>
        </w:rPr>
        <w:t>the scope, progress, results, and costs of preclinical development, laboratory testing, and clinical trials of etripamil for additional indications or any future product candidates that we may pursue;</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our ability to establish additional collaborations on favorable terms, if at all;</w:t>
      </w:r>
    </w:p>
    <w:p>
      <w:pPr>
        <w:spacing w:after="0" w:line="239" w:lineRule="exact"/>
        <w:rPr>
          <w:sz w:val="20"/>
          <w:szCs w:val="20"/>
          <w:color w:val="auto"/>
        </w:rPr>
      </w:pPr>
    </w:p>
    <w:p>
      <w:pPr>
        <w:ind w:left="720"/>
        <w:spacing w:after="0" w:line="280" w:lineRule="auto"/>
        <w:rPr>
          <w:sz w:val="20"/>
          <w:szCs w:val="20"/>
          <w:color w:val="auto"/>
        </w:rPr>
      </w:pPr>
      <w:r>
        <w:rPr>
          <w:rFonts w:ascii="Times New Roman" w:cs="Times New Roman" w:eastAsia="Times New Roman" w:hAnsi="Times New Roman"/>
          <w:sz w:val="20"/>
          <w:szCs w:val="20"/>
          <w:color w:val="auto"/>
        </w:rPr>
        <w:t>the ability of vendors and third-party service providers to accurately forecast expenses and deliver on expectations;</w:t>
      </w:r>
    </w:p>
    <w:p>
      <w:pPr>
        <w:spacing w:after="0" w:line="164" w:lineRule="exact"/>
        <w:rPr>
          <w:sz w:val="20"/>
          <w:szCs w:val="20"/>
          <w:color w:val="auto"/>
        </w:rPr>
      </w:pPr>
    </w:p>
    <w:p>
      <w:pPr>
        <w:ind w:left="720"/>
        <w:spacing w:after="0" w:line="280" w:lineRule="auto"/>
        <w:rPr>
          <w:sz w:val="20"/>
          <w:szCs w:val="20"/>
          <w:color w:val="auto"/>
        </w:rPr>
      </w:pPr>
      <w:r>
        <w:rPr>
          <w:rFonts w:ascii="Times New Roman" w:cs="Times New Roman" w:eastAsia="Times New Roman" w:hAnsi="Times New Roman"/>
          <w:sz w:val="20"/>
          <w:szCs w:val="20"/>
          <w:color w:val="auto"/>
        </w:rPr>
        <w:t>the costs, timing, and outcome of regulatory review of subsequent etripamil indications and any future product candidates;</w:t>
      </w:r>
    </w:p>
    <w:p>
      <w:pPr>
        <w:spacing w:after="0" w:line="162" w:lineRule="exact"/>
        <w:rPr>
          <w:sz w:val="20"/>
          <w:szCs w:val="20"/>
          <w:color w:val="auto"/>
        </w:rPr>
      </w:pPr>
    </w:p>
    <w:p>
      <w:pPr>
        <w:ind w:left="720"/>
        <w:spacing w:after="0" w:line="260" w:lineRule="auto"/>
        <w:rPr>
          <w:sz w:val="20"/>
          <w:szCs w:val="20"/>
          <w:color w:val="auto"/>
        </w:rPr>
      </w:pPr>
      <w:r>
        <w:rPr>
          <w:rFonts w:ascii="Times New Roman" w:cs="Times New Roman" w:eastAsia="Times New Roman" w:hAnsi="Times New Roman"/>
          <w:sz w:val="20"/>
          <w:szCs w:val="20"/>
          <w:color w:val="auto"/>
        </w:rPr>
        <w:t>the costs and timing of CARDAMYST commercialization activities, including product manufacturing, marketing, sales, and distribution for CARDAMYST and any future product candidates for which we receive marketing approval;</w:t>
      </w:r>
    </w:p>
    <w:p>
      <w:pPr>
        <w:spacing w:after="0" w:line="182" w:lineRule="exact"/>
        <w:rPr>
          <w:sz w:val="20"/>
          <w:szCs w:val="20"/>
          <w:color w:val="auto"/>
        </w:rPr>
      </w:pPr>
    </w:p>
    <w:p>
      <w:pPr>
        <w:ind w:left="720"/>
        <w:spacing w:after="0" w:line="280" w:lineRule="auto"/>
        <w:rPr>
          <w:sz w:val="20"/>
          <w:szCs w:val="20"/>
          <w:color w:val="auto"/>
        </w:rPr>
      </w:pPr>
      <w:r>
        <w:rPr>
          <w:rFonts w:ascii="Times New Roman" w:cs="Times New Roman" w:eastAsia="Times New Roman" w:hAnsi="Times New Roman"/>
          <w:sz w:val="20"/>
          <w:szCs w:val="20"/>
          <w:color w:val="auto"/>
        </w:rPr>
        <w:t>the costs and timing of preparing, filing and prosecuting patent applications, maintaining and enforcing our intellectual property rights and defending any intellectual property-related claims; and</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extent to which we acquire or in-license other product candidates and technologies.</w:t>
      </w:r>
    </w:p>
    <w:p>
      <w:pPr>
        <w:spacing w:after="0" w:line="23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Until such time, if ever, as we can generate substantial revenue from product sales, we expect to fund our operations and capital funding needs through equity and/or debt financing. We may also consider entering into collaboration arrangements or selectively partnering for clinical development and commercialization. The sale of additional equity would result in additional dilution to our shareholders. The incurrence of debt financing would result in debt service obligations and the</w:t>
      </w:r>
    </w:p>
    <w:p>
      <w:pPr>
        <w:sectPr>
          <w:pgSz w:w="11880" w:h="15480" w:orient="portrait"/>
          <w:cols w:equalWidth="0" w:num="1">
            <w:col w:w="9720"/>
          </w:cols>
          <w:pgMar w:left="1080" w:top="1067"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1880" w:h="15480" w:orient="portrait"/>
          <w:cols w:equalWidth="0" w:num="1">
            <w:col w:w="9720"/>
          </w:cols>
          <w:pgMar w:left="1080" w:top="1067" w:right="1080" w:bottom="544" w:gutter="0" w:footer="0" w:header="0"/>
          <w:type w:val="continuous"/>
        </w:sectPr>
      </w:pPr>
    </w:p>
    <w:bookmarkStart w:id="91" w:name="page92"/>
    <w:bookmarkEnd w:id="91"/>
    <w:p>
      <w:pPr>
        <w:jc w:val="both"/>
        <w:spacing w:after="0" w:line="250" w:lineRule="auto"/>
        <w:rPr>
          <w:sz w:val="20"/>
          <w:szCs w:val="20"/>
          <w:color w:val="auto"/>
        </w:rPr>
      </w:pPr>
      <w:r>
        <w:rPr>
          <w:rFonts w:ascii="Times New Roman" w:cs="Times New Roman" w:eastAsia="Times New Roman" w:hAnsi="Times New Roman"/>
          <w:sz w:val="20"/>
          <w:szCs w:val="20"/>
          <w:color w:val="auto"/>
        </w:rPr>
        <w:t>instruments governing such debt could provide for operating and financing covenants that restrict our operations or our ability to incur additional indebtedness or pay dividends, among other items. If we are not able to secure adequate additional funding, we may be forced to make reductions in spending, extend payment terms with suppliers, liquidate assets where possible, and/or suspend or curtail planned programs. Any of these actions could materially and adversely affect our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Flows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our cash flows for the periods indicated: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9"/>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6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170"/>
              <w:spacing w:after="0" w:line="199" w:lineRule="exact"/>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170"/>
              <w:spacing w:after="0" w:line="199" w:lineRule="exact"/>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tcPr>
          <w:p>
            <w:pPr>
              <w:ind w:left="20"/>
              <w:spacing w:after="0" w:line="199" w:lineRule="exact"/>
              <w:rPr>
                <w:sz w:val="20"/>
                <w:szCs w:val="20"/>
                <w:color w:val="auto"/>
              </w:rPr>
            </w:pPr>
            <w:r>
              <w:rPr>
                <w:rFonts w:ascii="Times New Roman" w:cs="Times New Roman" w:eastAsia="Times New Roman" w:hAnsi="Times New Roman"/>
                <w:sz w:val="18"/>
                <w:szCs w:val="18"/>
                <w:b w:val="1"/>
                <w:bCs w:val="1"/>
                <w:color w:val="auto"/>
              </w:rPr>
              <w:t>Change</w:t>
            </w:r>
          </w:p>
        </w:tc>
        <w:tc>
          <w:tcPr>
            <w:tcW w:w="86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b w:val="1"/>
                <w:bCs w:val="1"/>
                <w:color w:val="auto"/>
              </w:rPr>
              <w:t>% Change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640" w:type="dxa"/>
            <w:vAlign w:val="bottom"/>
            <w:tcBorders>
              <w:top w:val="single" w:sz="8" w:color="auto"/>
            </w:tcBorders>
          </w:tcPr>
          <w:p>
            <w:pPr>
              <w:spacing w:after="0" w:line="179" w:lineRule="exact"/>
              <w:rPr>
                <w:sz w:val="20"/>
                <w:szCs w:val="20"/>
                <w:color w:val="auto"/>
              </w:rPr>
            </w:pPr>
            <w:r>
              <w:rPr>
                <w:rFonts w:ascii="Times New Roman" w:cs="Times New Roman" w:eastAsia="Times New Roman" w:hAnsi="Times New Roman"/>
                <w:sz w:val="18"/>
                <w:szCs w:val="18"/>
                <w:color w:val="auto"/>
              </w:rPr>
              <w:t>Net cash (used in) provided by:</w:t>
            </w: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Operating activities . . . . . . . . . . . . . . . . . . . . . . . . . . . . . . . . . . . . . . . . . .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(49,041)</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(28,848)</w:t>
            </w:r>
          </w:p>
        </w:tc>
        <w:tc>
          <w:tcPr>
            <w:tcW w:w="20" w:type="dxa"/>
            <w:vAlign w:val="bottom"/>
          </w:tcPr>
          <w:p>
            <w:pPr>
              <w:spacing w:after="0"/>
              <w:rPr>
                <w:sz w:val="18"/>
                <w:szCs w:val="18"/>
                <w:color w:val="auto"/>
              </w:rPr>
            </w:pP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(20,193)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Investing activities . . . . . . . . . . . . . . . . . . . . . . . . . . . . . . . . . . . . . . . . . . .</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Financing activities . . . . . . . . . . . . . . . . . . . . . . . . . . . . . . . . . . . . . . . . . . .</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85,527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32,119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53,408</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 . . . . . . . . . . . .Netincreaseincashandcashequivalentsduringtheperiod</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36,178</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Activities</w:t>
      </w:r>
    </w:p>
    <w:p>
      <w:pPr>
        <w:spacing w:after="0" w:line="2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Net cash used in operating activities during the year ended December 31, 2025, was $49.0 million, which consisted primarily of a net loss of $63.1 million. The net loss was partially offset by a net cash increase of $2.7 million related to the change in assets and liabilities, non-cash charges of $7.5 million related to share-based compensation and non-cash interest and debt charges of $3.8 million related to the 2029 Convertible Notes.</w:t>
      </w:r>
    </w:p>
    <w:p>
      <w:pPr>
        <w:spacing w:after="0" w:line="1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Net cash used in operating activities during the year ended December 31, 2024, was $28.8 million, which consisted primarily of a net loss of $41.5 million. The net loss was partially offset by a net cash increase of $3.7 million related to the change in assets and liabilities, non-cash charges of $5.8 million related to share-based compensation and non-cash interest charges of $3.2 million related to the 2029 Convertible Notes.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Investing Activities</w:t>
      </w:r>
    </w:p>
    <w:p>
      <w:pPr>
        <w:spacing w:after="0" w:line="23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During the year ended December 31, 2025, we redeemed $94.5 million of short-term investments, and we acquired $82.9 million of short-term investments. In addition, we acquired $0.3 million in property and equipment.</w:t>
      </w:r>
    </w:p>
    <w:p>
      <w:pPr>
        <w:spacing w:after="0" w:line="16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During the year ended December 31, 2024, we redeemed $121.9 million of short-term investments, and we acquired $113.6 million of short-term investments. In addition, we acquired $0.1 million in property and equipment.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Financing Activities</w:t>
      </w:r>
    </w:p>
    <w:p>
      <w:pPr>
        <w:spacing w:after="0" w:line="23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During the year ended December 31, 2025, our financing activities provided cash proceeds of $85.5 million. These proceeds were primarily a result of $48.6 million received, net of issuance costs, from the issuance of common shares, pre-funded warrants, and common warrants under the 2025 Offering, proceeds of $21.7 million, net of issuance costs, for the exercise of common warrants, and proceeds of $14.5 million, net of issuance costs, for shares sold under the ATM Program. We also had proceeds of $ 0.4 million and $0.3 million for the exercise of employee options and shares issued as part of the employee stock purchase plan, respectively.</w:t>
      </w:r>
    </w:p>
    <w:p>
      <w:pPr>
        <w:spacing w:after="0" w:line="1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During the year ended December 31, 2024, our financing activities provided cash proceeds of $32.1 million. These proceeds were primarily a result of the $31.9 million received from the issuance of common shares and pre-funded warrants, net of $2.6 million in issuance costs paid under the February 2024 Offering.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Contractual Obligations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enter into contracts in the normal course of business with clinical research organizations, or “CROs,” contract</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1880" w:h="15480" w:orient="portrait"/>
          <w:cols w:equalWidth="0" w:num="1">
            <w:col w:w="9720"/>
          </w:cols>
          <w:pgMar w:left="1080" w:top="1064" w:right="1080" w:bottom="544" w:gutter="0" w:footer="0" w:header="0"/>
          <w:type w:val="continuous"/>
        </w:sectPr>
      </w:pPr>
    </w:p>
    <w:bookmarkStart w:id="92" w:name="page93"/>
    <w:bookmarkEnd w:id="92"/>
    <w:p>
      <w:pPr>
        <w:jc w:val="both"/>
        <w:spacing w:after="0" w:line="250" w:lineRule="auto"/>
        <w:rPr>
          <w:sz w:val="20"/>
          <w:szCs w:val="20"/>
          <w:color w:val="auto"/>
        </w:rPr>
      </w:pPr>
      <w:r>
        <w:rPr>
          <w:rFonts w:ascii="Times New Roman" w:cs="Times New Roman" w:eastAsia="Times New Roman" w:hAnsi="Times New Roman"/>
          <w:sz w:val="20"/>
          <w:szCs w:val="20"/>
          <w:color w:val="auto"/>
        </w:rPr>
        <w:t>manufacturing organizations, or “CMOs,” and other third parties for clinical trials, preclinical research studies, and testing and manufacturing services. These contracts are generally cancelable at our option with various notice requirements as defined in the contract. Payments due upon cancellation consist of payments for services provided or expenses incurred, including noncancelable obligations of our service providers, up to and through the date of cancellation. These payments are not included as the amount and timing of these payments are not known.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2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Our management’s discussion and analysis of our financial condition and results of operations is based on our consolidated financial statements as at December 31, 2025, which have been prepared in accordance with United States generally accepted accounting principles, or “U.S. GAAP,” and on a basis consistent with those accounting principles followed by us. The preparation of these consolidated financial statements requires our management to make judgments and estimates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Significant estimates and judgments include, but are not limited to:</w:t>
      </w:r>
    </w:p>
    <w:p>
      <w:pPr>
        <w:spacing w:after="0" w:line="188" w:lineRule="exact"/>
        <w:rPr>
          <w:sz w:val="20"/>
          <w:szCs w:val="20"/>
          <w:color w:val="auto"/>
        </w:rPr>
      </w:pPr>
    </w:p>
    <w:p>
      <w:pPr>
        <w:ind w:left="1080"/>
        <w:spacing w:after="0" w:line="260" w:lineRule="auto"/>
        <w:rPr>
          <w:sz w:val="20"/>
          <w:szCs w:val="20"/>
          <w:color w:val="auto"/>
        </w:rPr>
      </w:pPr>
      <w:r>
        <w:rPr>
          <w:rFonts w:ascii="Times New Roman" w:cs="Times New Roman" w:eastAsia="Times New Roman" w:hAnsi="Times New Roman"/>
          <w:sz w:val="20"/>
          <w:szCs w:val="20"/>
          <w:color w:val="auto"/>
        </w:rPr>
        <w:t>Estimates of the percentage of work completed of the total work over the life of the individual trial in accordance with agreements established with CROs, CMOs, and clinical trial sites which in turn impact the research &amp; development expenses.</w:t>
      </w:r>
    </w:p>
    <w:p>
      <w:pPr>
        <w:spacing w:after="0" w:line="182" w:lineRule="exact"/>
        <w:rPr>
          <w:sz w:val="20"/>
          <w:szCs w:val="20"/>
          <w:color w:val="auto"/>
        </w:rPr>
      </w:pPr>
    </w:p>
    <w:p>
      <w:pPr>
        <w:ind w:left="1080"/>
        <w:spacing w:after="0" w:line="280" w:lineRule="auto"/>
        <w:rPr>
          <w:sz w:val="20"/>
          <w:szCs w:val="20"/>
          <w:color w:val="auto"/>
        </w:rPr>
      </w:pPr>
      <w:r>
        <w:rPr>
          <w:rFonts w:ascii="Times New Roman" w:cs="Times New Roman" w:eastAsia="Times New Roman" w:hAnsi="Times New Roman"/>
          <w:sz w:val="20"/>
          <w:szCs w:val="20"/>
          <w:color w:val="auto"/>
        </w:rPr>
        <w:t>Estimate of the grant date fair value share options granted to employees, consultants and directors, and the resulting share-based compensation expense, using the Black Scholes option pricing model.</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Accordingly, actual results may differ from these judgments and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 Research &amp; Development Expenses — Accruals</w:t>
      </w:r>
    </w:p>
    <w:p>
      <w:pPr>
        <w:spacing w:after="0" w:line="23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Research and development costs are charged against income in the period of expenditure. Our research and development costs consist primarily of salaries and fees paid to CROs and to CMO for clinical trial expenses and manufacturing costs prior to FDA approval.</w:t>
      </w:r>
    </w:p>
    <w:p>
      <w:pPr>
        <w:spacing w:after="0" w:line="18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Clinical trial expenses include direct costs associated with CROs, direct CMO costs for the formulation and packaging of clinical trial material, as well as investigator and patient - related costs at sites at which our trials are being conducted. Direct costs associated with our CROs and CMOs are generally payable on a time - and - materials basis, or when milestones are achieved. The invoicing from clinical trial sites can lag several months. We record expenses for our clinical trial activities performed by third parties based upon estimates of the percentage of work completed of the total work over the life of the individual trial in accordance with agreements established with CROs and clinical trial sites. We determine the estimates through discussions with internal clinical personnel, CROs, and CMOs as to the progress or stage of completion of trials or services and the agreed - upon fee to be paid for such services based on facts and circumstances known to us as of each consolidated balance sheet date. The actual costs and timing of clinical trials are highly uncertain, subject to risks and may change depending upon a number of factors, including our clinical development plan. If the actual timing of the performance of services and of the level of effort varies from the estimate, we will adjust the accrual accordingly. Adjustments to prior period estimates have not been material. We recognize the benefit of Canadian research and development tax credits as a reduction of research and development costs for fully refundable investment tax credits and as a reduction of income taxes for investment tax credits that can only be claimed against income taxes payable when there is reasonable assurance that the claim will be recovered.</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1880" w:h="15480" w:orient="portrait"/>
          <w:cols w:equalWidth="0" w:num="1">
            <w:col w:w="9720"/>
          </w:cols>
          <w:pgMar w:left="1080" w:top="1064" w:right="1080" w:bottom="544"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20"/>
          <w:szCs w:val="20"/>
          <w:b w:val="1"/>
          <w:bCs w:val="1"/>
          <w:i w:val="1"/>
          <w:iCs w:val="1"/>
          <w:color w:val="auto"/>
        </w:rPr>
        <w:t>b) Share - Based Compensation</w:t>
      </w:r>
    </w:p>
    <w:p>
      <w:pPr>
        <w:spacing w:after="0" w:line="23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recognize compensation costs related to share options granted to employees, consultants, and directors based on the estimated fair value of the awards on the date of grant. We estimate the grant date fair value, and the resulting share - based compensation expense, using the Black Scholes option pricing model. This Black Scholes option pricing model uses various inputs to measure fair value, including estimated fair value of our underlying common shares at the grant date, expected term, estimated volatility, risk - free interest rate, and expected dividend yields of our common shares. The estimated volatility creates a critical estimate because we have not been a public company long enough to demonstrate our own historical volatility. The grant date fair value of the share - based awards is recognized on a straight - line basis over the requisite service periods, which are generally the vesting period of the respective awards. Forfeitures are accounted for as they occur.</w:t>
      </w:r>
    </w:p>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following table summarizes, by grant date, the number of underlying common shares and the associated per - share exercise price, which was the fair value per share as determined by our board of directors on the applicable grant date, for share options granted during the years ended December 31, 2025 and 2024: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23"/>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9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2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185"/>
        </w:trPr>
        <w:tc>
          <w:tcPr>
            <w:tcW w:w="49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Common Shares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8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per Common</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Per-Share</w:t>
            </w:r>
          </w:p>
        </w:tc>
        <w:tc>
          <w:tcPr>
            <w:tcW w:w="0" w:type="dxa"/>
            <w:vAlign w:val="bottom"/>
          </w:tcPr>
          <w:p>
            <w:pPr>
              <w:spacing w:after="0"/>
              <w:rPr>
                <w:sz w:val="1"/>
                <w:szCs w:val="1"/>
                <w:color w:val="auto"/>
              </w:rPr>
            </w:pPr>
          </w:p>
        </w:tc>
      </w:tr>
      <w:tr>
        <w:trPr>
          <w:trHeight w:val="186"/>
        </w:trPr>
        <w:tc>
          <w:tcPr>
            <w:tcW w:w="49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Subject to</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Price Per</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3"/>
              <w:spacing w:after="0"/>
              <w:rPr>
                <w:sz w:val="20"/>
                <w:szCs w:val="20"/>
                <w:color w:val="auto"/>
              </w:rPr>
            </w:pPr>
            <w:r>
              <w:rPr>
                <w:rFonts w:ascii="Times New Roman" w:cs="Times New Roman" w:eastAsia="Times New Roman" w:hAnsi="Times New Roman"/>
                <w:sz w:val="16"/>
                <w:szCs w:val="16"/>
                <w:b w:val="1"/>
                <w:bCs w:val="1"/>
                <w:color w:val="auto"/>
                <w:w w:val="97"/>
              </w:rPr>
              <w:t>Share at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05"/>
        </w:trPr>
        <w:tc>
          <w:tcPr>
            <w:tcW w:w="4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March 19, 2024 . . . . . . . . . . . . . . . . . . . . . . . . . . . . . . . . . . .</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Options Granted</w:t>
            </w:r>
          </w:p>
        </w:tc>
        <w:tc>
          <w:tcPr>
            <w:tcW w:w="180" w:type="dxa"/>
            <w:vAlign w:val="bottom"/>
          </w:tcPr>
          <w:p>
            <w:pPr>
              <w:spacing w:after="0"/>
              <w:rPr>
                <w:sz w:val="17"/>
                <w:szCs w:val="17"/>
                <w:color w:val="auto"/>
              </w:rPr>
            </w:pPr>
          </w:p>
        </w:tc>
        <w:tc>
          <w:tcPr>
            <w:tcW w:w="1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8"/>
              </w:rPr>
              <w:t>Common Share</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of Options</w:t>
            </w:r>
          </w:p>
        </w:tc>
        <w:tc>
          <w:tcPr>
            <w:tcW w:w="0" w:type="dxa"/>
            <w:vAlign w:val="bottom"/>
          </w:tcPr>
          <w:p>
            <w:pPr>
              <w:spacing w:after="0"/>
              <w:rPr>
                <w:sz w:val="1"/>
                <w:szCs w:val="1"/>
                <w:color w:val="auto"/>
              </w:rPr>
            </w:pPr>
          </w:p>
        </w:tc>
      </w:tr>
      <w:tr>
        <w:trPr>
          <w:trHeight w:val="221"/>
        </w:trPr>
        <w:tc>
          <w:tcPr>
            <w:tcW w:w="4920" w:type="dxa"/>
            <w:vAlign w:val="bottom"/>
            <w:vMerge w:val="continue"/>
          </w:tcPr>
          <w:p>
            <w:pPr>
              <w:spacing w:after="0"/>
              <w:rPr>
                <w:sz w:val="19"/>
                <w:szCs w:val="19"/>
                <w:color w:val="auto"/>
              </w:rPr>
            </w:pPr>
          </w:p>
        </w:tc>
        <w:tc>
          <w:tcPr>
            <w:tcW w:w="116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45,000</w:t>
            </w:r>
          </w:p>
        </w:tc>
        <w:tc>
          <w:tcPr>
            <w:tcW w:w="340" w:type="dxa"/>
            <w:vAlign w:val="bottom"/>
            <w:gridSpan w:val="2"/>
          </w:tcPr>
          <w:p>
            <w:pPr>
              <w:ind w:left="180"/>
              <w:spacing w:after="0" w:line="221"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line="221" w:lineRule="exact"/>
              <w:rPr>
                <w:sz w:val="20"/>
                <w:szCs w:val="20"/>
                <w:color w:val="auto"/>
              </w:rPr>
            </w:pPr>
            <w:r>
              <w:rPr>
                <w:rFonts w:ascii="Times New Roman" w:cs="Times New Roman" w:eastAsia="Times New Roman" w:hAnsi="Times New Roman"/>
                <w:sz w:val="22"/>
                <w:szCs w:val="22"/>
                <w:color w:val="auto"/>
              </w:rPr>
              <w:t>1.45</w:t>
            </w:r>
          </w:p>
        </w:tc>
        <w:tc>
          <w:tcPr>
            <w:tcW w:w="280" w:type="dxa"/>
            <w:vAlign w:val="bottom"/>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1.45</w:t>
            </w:r>
          </w:p>
        </w:tc>
        <w:tc>
          <w:tcPr>
            <w:tcW w:w="300" w:type="dxa"/>
            <w:vAlign w:val="bottom"/>
            <w:gridSpan w:val="2"/>
          </w:tcPr>
          <w:p>
            <w:pPr>
              <w:jc w:val="right"/>
              <w:ind w:right="20"/>
              <w:spacing w:after="0" w:line="221"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line="221" w:lineRule="exact"/>
              <w:rPr>
                <w:sz w:val="20"/>
                <w:szCs w:val="20"/>
                <w:color w:val="auto"/>
              </w:rPr>
            </w:pPr>
            <w:r>
              <w:rPr>
                <w:rFonts w:ascii="Times New Roman" w:cs="Times New Roman" w:eastAsia="Times New Roman" w:hAnsi="Times New Roman"/>
                <w:sz w:val="20"/>
                <w:szCs w:val="20"/>
                <w:color w:val="auto"/>
              </w:rPr>
              <w:t>1.12</w:t>
            </w:r>
          </w:p>
        </w:tc>
        <w:tc>
          <w:tcPr>
            <w:tcW w:w="0" w:type="dxa"/>
            <w:vAlign w:val="bottom"/>
          </w:tcPr>
          <w:p>
            <w:pPr>
              <w:spacing w:after="0"/>
              <w:rPr>
                <w:sz w:val="1"/>
                <w:szCs w:val="1"/>
                <w:color w:val="auto"/>
              </w:rPr>
            </w:pPr>
          </w:p>
        </w:tc>
      </w:tr>
      <w:tr>
        <w:trPr>
          <w:trHeight w:val="253"/>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May 6, 2024 . . . . . . . . . . . . . . . . . . . . . . . . . . . . . . . . . . . . . .</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924,000</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0" w:type="dxa"/>
            <w:vAlign w:val="bottom"/>
          </w:tcPr>
          <w:p>
            <w:pPr>
              <w:spacing w:after="0"/>
              <w:rPr>
                <w:sz w:val="1"/>
                <w:szCs w:val="1"/>
                <w:color w:val="auto"/>
              </w:rPr>
            </w:pPr>
          </w:p>
        </w:tc>
      </w:tr>
      <w:tr>
        <w:trPr>
          <w:trHeight w:val="254"/>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July 1, 2024 . . . . . . . . . . . . . . . . . . . . . . . . . . . . . . . . . . . . . .</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8,000</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0" w:type="dxa"/>
            <w:vAlign w:val="bottom"/>
          </w:tcPr>
          <w:p>
            <w:pPr>
              <w:spacing w:after="0"/>
              <w:rPr>
                <w:sz w:val="1"/>
                <w:szCs w:val="1"/>
                <w:color w:val="auto"/>
              </w:rPr>
            </w:pPr>
          </w:p>
        </w:tc>
      </w:tr>
      <w:tr>
        <w:trPr>
          <w:trHeight w:val="254"/>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July 15, 2024 . . . . . . . . . . . . . . . . . . . . . . . . . . . . . . . . . . . . .</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160,000</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0" w:type="dxa"/>
            <w:vAlign w:val="bottom"/>
          </w:tcPr>
          <w:p>
            <w:pPr>
              <w:spacing w:after="0"/>
              <w:rPr>
                <w:sz w:val="1"/>
                <w:szCs w:val="1"/>
                <w:color w:val="auto"/>
              </w:rPr>
            </w:pPr>
          </w:p>
        </w:tc>
      </w:tr>
      <w:tr>
        <w:trPr>
          <w:trHeight w:val="253"/>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July 17, 2024 . . . . . . . . . . . . . . . . . . . . . . . . . . . . . . . . . . . . .</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22,000</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w:t>
            </w:r>
          </w:p>
        </w:tc>
        <w:tc>
          <w:tcPr>
            <w:tcW w:w="0" w:type="dxa"/>
            <w:vAlign w:val="bottom"/>
          </w:tcPr>
          <w:p>
            <w:pPr>
              <w:spacing w:after="0"/>
              <w:rPr>
                <w:sz w:val="1"/>
                <w:szCs w:val="1"/>
                <w:color w:val="auto"/>
              </w:rPr>
            </w:pPr>
          </w:p>
        </w:tc>
      </w:tr>
      <w:tr>
        <w:trPr>
          <w:trHeight w:val="254"/>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August 28, 2024 . . . . . . . . . . . . . . . . . . . . . . . . . . . . . . . . . .</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320,000</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0" w:type="dxa"/>
            <w:vAlign w:val="bottom"/>
          </w:tcPr>
          <w:p>
            <w:pPr>
              <w:spacing w:after="0"/>
              <w:rPr>
                <w:sz w:val="1"/>
                <w:szCs w:val="1"/>
                <w:color w:val="auto"/>
              </w:rPr>
            </w:pPr>
          </w:p>
        </w:tc>
      </w:tr>
      <w:tr>
        <w:trPr>
          <w:trHeight w:val="254"/>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September 3, 2024. . . . . . . . . . . . . . . . . . . . . . . . . . . . . . . . .</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80,000</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0" w:type="dxa"/>
            <w:vAlign w:val="bottom"/>
          </w:tcPr>
          <w:p>
            <w:pPr>
              <w:spacing w:after="0"/>
              <w:rPr>
                <w:sz w:val="1"/>
                <w:szCs w:val="1"/>
                <w:color w:val="auto"/>
              </w:rPr>
            </w:pPr>
          </w:p>
        </w:tc>
      </w:tr>
      <w:tr>
        <w:trPr>
          <w:trHeight w:val="253"/>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October 1, 2024 . . . . . . . . . . . . . . . . . . . . . . . . . . . . . . . . . . .</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8,000</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w:t>
            </w:r>
          </w:p>
        </w:tc>
        <w:tc>
          <w:tcPr>
            <w:tcW w:w="0" w:type="dxa"/>
            <w:vAlign w:val="bottom"/>
          </w:tcPr>
          <w:p>
            <w:pPr>
              <w:spacing w:after="0"/>
              <w:rPr>
                <w:sz w:val="1"/>
                <w:szCs w:val="1"/>
                <w:color w:val="auto"/>
              </w:rPr>
            </w:pPr>
          </w:p>
        </w:tc>
      </w:tr>
      <w:tr>
        <w:trPr>
          <w:trHeight w:val="254"/>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October 4, 2024 . . . . . . . . . . . . . . . . . . . . . . . . . . . . . . . . . . .</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w:t>
            </w:r>
          </w:p>
        </w:tc>
        <w:tc>
          <w:tcPr>
            <w:tcW w:w="0" w:type="dxa"/>
            <w:vAlign w:val="bottom"/>
          </w:tcPr>
          <w:p>
            <w:pPr>
              <w:spacing w:after="0"/>
              <w:rPr>
                <w:sz w:val="1"/>
                <w:szCs w:val="1"/>
                <w:color w:val="auto"/>
              </w:rPr>
            </w:pPr>
          </w:p>
        </w:tc>
      </w:tr>
      <w:tr>
        <w:trPr>
          <w:trHeight w:val="254"/>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November 1, 2024 . . . . . . . . . . . . . . . . . . . . . . . . . . . . . . . . .</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75,000</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c>
          <w:tcPr>
            <w:tcW w:w="0" w:type="dxa"/>
            <w:vAlign w:val="bottom"/>
          </w:tcPr>
          <w:p>
            <w:pPr>
              <w:spacing w:after="0"/>
              <w:rPr>
                <w:sz w:val="1"/>
                <w:szCs w:val="1"/>
                <w:color w:val="auto"/>
              </w:rPr>
            </w:pPr>
          </w:p>
        </w:tc>
      </w:tr>
      <w:tr>
        <w:trPr>
          <w:trHeight w:val="253"/>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January 2, 2025 . . . . . . . . . . . . . . . . . . . . . . . . . . . . . . . . . . .</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113,000</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w:t>
            </w:r>
          </w:p>
        </w:tc>
        <w:tc>
          <w:tcPr>
            <w:tcW w:w="0" w:type="dxa"/>
            <w:vAlign w:val="bottom"/>
          </w:tcPr>
          <w:p>
            <w:pPr>
              <w:spacing w:after="0"/>
              <w:rPr>
                <w:sz w:val="1"/>
                <w:szCs w:val="1"/>
                <w:color w:val="auto"/>
              </w:rPr>
            </w:pPr>
          </w:p>
        </w:tc>
      </w:tr>
      <w:tr>
        <w:trPr>
          <w:trHeight w:val="254"/>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January 26, 2025 . . . . . . . . . . . . . . . . . . . . . . . . . . . . . . . . . .</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1,151,400</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w:t>
            </w:r>
          </w:p>
        </w:tc>
        <w:tc>
          <w:tcPr>
            <w:tcW w:w="0" w:type="dxa"/>
            <w:vAlign w:val="bottom"/>
          </w:tcPr>
          <w:p>
            <w:pPr>
              <w:spacing w:after="0"/>
              <w:rPr>
                <w:sz w:val="1"/>
                <w:szCs w:val="1"/>
                <w:color w:val="auto"/>
              </w:rPr>
            </w:pPr>
          </w:p>
        </w:tc>
      </w:tr>
      <w:tr>
        <w:trPr>
          <w:trHeight w:val="254"/>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January 31, 2025 . . . . . . . . . . . . . . . . . . . . . . . . . . . . . . . . . .</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40,000</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w:t>
            </w:r>
          </w:p>
        </w:tc>
        <w:tc>
          <w:tcPr>
            <w:tcW w:w="0" w:type="dxa"/>
            <w:vAlign w:val="bottom"/>
          </w:tcPr>
          <w:p>
            <w:pPr>
              <w:spacing w:after="0"/>
              <w:rPr>
                <w:sz w:val="1"/>
                <w:szCs w:val="1"/>
                <w:color w:val="auto"/>
              </w:rPr>
            </w:pPr>
          </w:p>
        </w:tc>
      </w:tr>
      <w:tr>
        <w:trPr>
          <w:trHeight w:val="253"/>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March 3, 2025 . . . . . . . . . . . . . . . . . . . . . . . . . . . . . . . . . . . .</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94,000</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c>
          <w:tcPr>
            <w:tcW w:w="0" w:type="dxa"/>
            <w:vAlign w:val="bottom"/>
          </w:tcPr>
          <w:p>
            <w:pPr>
              <w:spacing w:after="0"/>
              <w:rPr>
                <w:sz w:val="1"/>
                <w:szCs w:val="1"/>
                <w:color w:val="auto"/>
              </w:rPr>
            </w:pPr>
          </w:p>
        </w:tc>
      </w:tr>
      <w:tr>
        <w:trPr>
          <w:trHeight w:val="254"/>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March 17, 2025 . . . . . . . . . . . . . . . . . . . . . . . . . . . . . . . . . . .</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37,000</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w:t>
            </w:r>
          </w:p>
        </w:tc>
        <w:tc>
          <w:tcPr>
            <w:tcW w:w="0" w:type="dxa"/>
            <w:vAlign w:val="bottom"/>
          </w:tcPr>
          <w:p>
            <w:pPr>
              <w:spacing w:after="0"/>
              <w:rPr>
                <w:sz w:val="1"/>
                <w:szCs w:val="1"/>
                <w:color w:val="auto"/>
              </w:rPr>
            </w:pPr>
          </w:p>
        </w:tc>
      </w:tr>
      <w:tr>
        <w:trPr>
          <w:trHeight w:val="253"/>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June 10, 2025 . . . . . . . . . . . . . . . . . . . . . . . . . . . . . . . . . . . . .</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320,000</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w:t>
            </w:r>
          </w:p>
        </w:tc>
        <w:tc>
          <w:tcPr>
            <w:tcW w:w="0" w:type="dxa"/>
            <w:vAlign w:val="bottom"/>
          </w:tcPr>
          <w:p>
            <w:pPr>
              <w:spacing w:after="0"/>
              <w:rPr>
                <w:sz w:val="1"/>
                <w:szCs w:val="1"/>
                <w:color w:val="auto"/>
              </w:rPr>
            </w:pPr>
          </w:p>
        </w:tc>
      </w:tr>
      <w:tr>
        <w:trPr>
          <w:trHeight w:val="254"/>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August 29, 2025 . . . . . . . . . . . . . . . . . . . . . . . . . . . . . . . . . .</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3,000</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w:t>
            </w:r>
          </w:p>
        </w:tc>
        <w:tc>
          <w:tcPr>
            <w:tcW w:w="0" w:type="dxa"/>
            <w:vAlign w:val="bottom"/>
          </w:tcPr>
          <w:p>
            <w:pPr>
              <w:spacing w:after="0"/>
              <w:rPr>
                <w:sz w:val="1"/>
                <w:szCs w:val="1"/>
                <w:color w:val="auto"/>
              </w:rPr>
            </w:pPr>
          </w:p>
        </w:tc>
      </w:tr>
      <w:tr>
        <w:trPr>
          <w:trHeight w:val="254"/>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October 1, 2025 . . . . . . . . . . . . . . . . . . . . . . . . . . . . . . . . . . .</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65,000</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w:t>
            </w:r>
          </w:p>
        </w:tc>
        <w:tc>
          <w:tcPr>
            <w:tcW w:w="0" w:type="dxa"/>
            <w:vAlign w:val="bottom"/>
          </w:tcPr>
          <w:p>
            <w:pPr>
              <w:spacing w:after="0"/>
              <w:rPr>
                <w:sz w:val="1"/>
                <w:szCs w:val="1"/>
                <w:color w:val="auto"/>
              </w:rPr>
            </w:pPr>
          </w:p>
        </w:tc>
      </w:tr>
      <w:tr>
        <w:trPr>
          <w:trHeight w:val="253"/>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October 20, 2025 . . . . . . . . . . . . . . . . . . . . . . . . . . . . . . . . . .</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4,000</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w:t>
            </w:r>
          </w:p>
        </w:tc>
        <w:tc>
          <w:tcPr>
            <w:tcW w:w="0" w:type="dxa"/>
            <w:vAlign w:val="bottom"/>
          </w:tcPr>
          <w:p>
            <w:pPr>
              <w:spacing w:after="0"/>
              <w:rPr>
                <w:sz w:val="1"/>
                <w:szCs w:val="1"/>
                <w:color w:val="auto"/>
              </w:rPr>
            </w:pPr>
          </w:p>
        </w:tc>
      </w:tr>
      <w:tr>
        <w:trPr>
          <w:trHeight w:val="254"/>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November 24, 2025 . . . . . . . . . . . . . . . . . . . . . . . . . . . . . . . .</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15,000</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w:t>
            </w:r>
          </w:p>
        </w:tc>
        <w:tc>
          <w:tcPr>
            <w:tcW w:w="0" w:type="dxa"/>
            <w:vAlign w:val="bottom"/>
          </w:tcPr>
          <w:p>
            <w:pPr>
              <w:spacing w:after="0"/>
              <w:rPr>
                <w:sz w:val="1"/>
                <w:szCs w:val="1"/>
                <w:color w:val="auto"/>
              </w:rPr>
            </w:pPr>
          </w:p>
        </w:tc>
      </w:tr>
      <w:tr>
        <w:trPr>
          <w:trHeight w:val="254"/>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December 1, 2025 . . . . . . . . . . . . . . . . . . . . . . . . . . . . . . . . .</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15,000</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w:t>
            </w:r>
          </w:p>
        </w:tc>
        <w:tc>
          <w:tcPr>
            <w:tcW w:w="0" w:type="dxa"/>
            <w:vAlign w:val="bottom"/>
          </w:tcPr>
          <w:p>
            <w:pPr>
              <w:spacing w:after="0"/>
              <w:rPr>
                <w:sz w:val="1"/>
                <w:szCs w:val="1"/>
                <w:color w:val="auto"/>
              </w:rPr>
            </w:pPr>
          </w:p>
        </w:tc>
      </w:tr>
      <w:tr>
        <w:trPr>
          <w:trHeight w:val="294"/>
        </w:trPr>
        <w:tc>
          <w:tcPr>
            <w:tcW w:w="4920" w:type="dxa"/>
            <w:vAlign w:val="bottom"/>
          </w:tcPr>
          <w:p>
            <w:pPr>
              <w:spacing w:after="0"/>
              <w:rPr>
                <w:sz w:val="20"/>
                <w:szCs w:val="20"/>
                <w:color w:val="auto"/>
              </w:rPr>
            </w:pPr>
            <w:r>
              <w:rPr>
                <w:rFonts w:ascii="Times New Roman" w:cs="Times New Roman" w:eastAsia="Times New Roman" w:hAnsi="Times New Roman"/>
                <w:sz w:val="20"/>
                <w:szCs w:val="20"/>
                <w:color w:val="auto"/>
              </w:rPr>
              <w:t>December 15, 2025 . . . . . . . . . . . . . . . . . . . . . . . . . . . . . . . .</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8,500</w:t>
            </w: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4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20"/>
          <w:szCs w:val="20"/>
          <w:color w:val="auto"/>
        </w:rPr>
        <w:t>Refer to Note 2, “Summary of Significant Accounting Policies,” in the accompanying notes to our consolidated financial statements for a discussion of recent accounting pronouncements.</w:t>
      </w:r>
    </w:p>
    <w:p>
      <w:pPr>
        <w:sectPr>
          <w:pgSz w:w="11880" w:h="15480" w:orient="portrait"/>
          <w:cols w:equalWidth="0" w:num="1">
            <w:col w:w="9720"/>
          </w:cols>
          <w:pgMar w:left="1080" w:top="1067"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1880" w:h="15480" w:orient="portrait"/>
          <w:cols w:equalWidth="0" w:num="1">
            <w:col w:w="9720"/>
          </w:cols>
          <w:pgMar w:left="1080" w:top="1067" w:right="1080" w:bottom="544" w:gutter="0" w:footer="0" w:header="0"/>
          <w:type w:val="continuous"/>
        </w:sectPr>
      </w:pPr>
    </w:p>
    <w:bookmarkStart w:id="94" w:name="page95"/>
    <w:bookmarkEnd w:id="94"/>
    <w:p>
      <w:pPr>
        <w:ind w:right="1300"/>
        <w:spacing w:after="0" w:line="491" w:lineRule="auto"/>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 Quantitative and Qualitative Disclosures about Market Risk</w:t>
      </w:r>
    </w:p>
    <w:p>
      <w:pPr>
        <w:spacing w:after="0" w:line="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are exposed to market risks in the ordinary course of our business. These risks primarily relate to interest rate risks. For the year ended December 31, 2025, we had cash and cash equivalents of $73.0 million and short-term investments of $32.9 million. For the year ended December 31, 2024, we had cash and cash equivalents of $25.3 million and short-term investments of $44.4 million. These cash and cash equivalents and short-term investments consist primarily of bank deposits, guaranteed investment certificates, and U.S. treasury bills. The primary objective of our investment activities is to preserve principal and liquidity while maximizing income without significantly increasing risk. We do not enter into investments for trading or speculative purposes. Due to the short - term nature of our investment portfolio, we do not believe an immediate 10% increase or decrease in interest rates would have a material effect on the fair market value of our portfolio, and accordingly we do not expect our operating results or cash flows to be materially affected by a sudden change in market interest rates.</w:t>
      </w:r>
    </w:p>
    <w:p>
      <w:pPr>
        <w:spacing w:after="0" w:line="20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We undertake certain transactions in Canadian dollars and as such are subject to risk due to fluctuations in exchange rates. Canadian dollar denominated payables are paid at the converted rate as due. We do not use derivative instruments to hedge exposure to foreign exchange rate risk due to the low volume of transactions denominated in foreign currencies. At December 31, 2025 and 2024, our net monetary exposure denominated in Canadian dollars was $2.8 million and $1.7 million, respectively.</w:t>
      </w:r>
    </w:p>
    <w:p>
      <w:pPr>
        <w:spacing w:after="0" w:line="1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Our operating results and financial position are reported in U.S. dollars in our financial statements. The fluctuation of the Canadian dollar in relation to the U.S. dollar might, consequently, have an impact upon our loss and may also affect the value of our assets and the amount of shareholders’ equity.</w:t>
      </w:r>
    </w:p>
    <w:p>
      <w:pPr>
        <w:sectPr>
          <w:pgSz w:w="11880" w:h="15480" w:orient="portrait"/>
          <w:cols w:equalWidth="0" w:num="1">
            <w:col w:w="9720"/>
          </w:cols>
          <w:pgMar w:left="1080" w:top="1062"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1880" w:h="15480" w:orient="portrait"/>
          <w:cols w:equalWidth="0" w:num="1">
            <w:col w:w="9720"/>
          </w:cols>
          <w:pgMar w:left="1080" w:top="1062" w:right="1080" w:bottom="544" w:gutter="0" w:footer="0" w:header="0"/>
          <w:type w:val="continuous"/>
        </w:sectPr>
      </w:pPr>
    </w:p>
    <w:bookmarkStart w:id="95" w:name="page96"/>
    <w:bookmarkEnd w:id="95"/>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FINANCIAL STATEMENTS</w:t>
      </w:r>
    </w:p>
    <w:p>
      <w:pPr>
        <w:spacing w:after="0" w:line="23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p>
      <w:pPr>
        <w:spacing w:after="0" w:line="23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Report of Independent Registered Public Accounting Firm (PCAOB ID: 271) . . . . . . . . . . . . . . . . . . . . . . . . . . . . . . . . 95 Consolidated Balance Sheets . . . . . . . . . . . . . . . . . . . . . . . . . . . . . . . . . . . . . . . . . . . . . . . . . . . . . . . . . . . . . . . . . . . . . . . . 96 Consolidated Statements of Loss . . . . . . . . . . . . . . . . . . . . . . . . . . . . . . . . . . . . . . . . . . . . . . . . . . . . . . . . . . . . . . . . . . . . 97 Consolidated Statements of Shareholders’ Equity . . . . . . . . . . . . . . . . . . . . . . . . . . . . . . . . . . . . . . . . . . . . . . . . . . . . . . . 98 Consolidated Statements of Cash Flows . . . . . . . . . . . . . . . . . . . . . . . . . . . . . . . . . . . . . . . . . . . . . . . . . . . . . . . . . . . . . . . 99 Notes to Consolidated Financial Statements . . . . . . . . . . . . . . . . . . . . . . . . . . . . . . . . . . . . . . . . . . . . . . . . . . . . . . . . . . . . 100</w:t>
      </w:r>
    </w:p>
    <w:p>
      <w:pPr>
        <w:sectPr>
          <w:pgSz w:w="11880" w:h="15480" w:orient="portrait"/>
          <w:cols w:equalWidth="0" w:num="1">
            <w:col w:w="9720"/>
          </w:cols>
          <w:pgMar w:left="1080" w:top="1061"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1880" w:h="15480" w:orient="portrait"/>
          <w:cols w:equalWidth="0" w:num="1">
            <w:col w:w="9720"/>
          </w:cols>
          <w:pgMar w:left="1080" w:top="1061" w:right="1080" w:bottom="544" w:gutter="0" w:footer="0" w:header="0"/>
          <w:type w:val="continuous"/>
        </w:sectPr>
      </w:pPr>
    </w:p>
    <w:bookmarkStart w:id="96" w:name="page97"/>
    <w:bookmarkEnd w:id="96"/>
    <w:p>
      <w:pPr>
        <w:ind w:right="2360" w:firstLine="2347"/>
        <w:spacing w:after="0" w:line="481"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 xml:space="preserve">To the Board of Directors and Shareholders of Milestone Pharmaceuticals Inc. </w:t>
      </w:r>
      <w:r>
        <w:rPr>
          <w:rFonts w:ascii="Times New Roman" w:cs="Times New Roman" w:eastAsia="Times New Roman" w:hAnsi="Times New Roman"/>
          <w:sz w:val="20"/>
          <w:szCs w:val="20"/>
          <w:b w:val="1"/>
          <w:bCs w:val="1"/>
          <w:color w:val="auto"/>
        </w:rPr>
        <w:t>Opinion on the Financial Statements</w:t>
      </w:r>
    </w:p>
    <w:p>
      <w:pPr>
        <w:spacing w:after="0" w:line="1"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Milestone Pharmaceuticals Inc. and its subsidiary (the Company) as of December 31, 2025 and 2024, and the related consolidated statements of loss, of shareholders’ equity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Matters</w:t>
      </w: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Critical audit matters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We determined there are no critical audit matters.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/s/PricewaterhouseCoopers LLP</w:t>
      </w:r>
    </w:p>
    <w:p>
      <w:pPr>
        <w:spacing w:after="0"/>
        <w:rPr>
          <w:sz w:val="20"/>
          <w:szCs w:val="20"/>
          <w:color w:val="auto"/>
        </w:rPr>
      </w:pPr>
      <w:r>
        <w:rPr>
          <w:rFonts w:ascii="Times New Roman" w:cs="Times New Roman" w:eastAsia="Times New Roman" w:hAnsi="Times New Roman"/>
          <w:sz w:val="20"/>
          <w:szCs w:val="20"/>
          <w:color w:val="auto"/>
        </w:rPr>
        <w:t>Montreal, Canada</w:t>
      </w:r>
    </w:p>
    <w:p>
      <w:pPr>
        <w:spacing w:after="0"/>
        <w:rPr>
          <w:sz w:val="20"/>
          <w:szCs w:val="20"/>
          <w:color w:val="auto"/>
        </w:rPr>
      </w:pPr>
      <w:r>
        <w:rPr>
          <w:rFonts w:ascii="Times New Roman" w:cs="Times New Roman" w:eastAsia="Times New Roman" w:hAnsi="Times New Roman"/>
          <w:sz w:val="20"/>
          <w:szCs w:val="20"/>
          <w:color w:val="auto"/>
        </w:rPr>
        <w:t>March 20, 2026</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2016</w:t>
      </w:r>
    </w:p>
    <w:p>
      <w:pPr>
        <w:sectPr>
          <w:pgSz w:w="11880" w:h="15480" w:orient="portrait"/>
          <w:cols w:equalWidth="0" w:num="1">
            <w:col w:w="9720"/>
          </w:cols>
          <w:pgMar w:left="1080" w:top="1061"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1880" w:h="15480" w:orient="portrait"/>
          <w:cols w:equalWidth="0" w:num="1">
            <w:col w:w="9720"/>
          </w:cols>
          <w:pgMar w:left="1080" w:top="1061" w:right="1080" w:bottom="544" w:gutter="0" w:footer="0" w:header="0"/>
          <w:type w:val="continuous"/>
        </w:sectPr>
      </w:pPr>
    </w:p>
    <w:bookmarkStart w:id="97" w:name="page98"/>
    <w:bookmarkEnd w:id="97"/>
    <w:p>
      <w:pPr>
        <w:jc w:val="center"/>
        <w:spacing w:after="0"/>
        <w:rPr>
          <w:sz w:val="20"/>
          <w:szCs w:val="20"/>
          <w:color w:val="auto"/>
        </w:rPr>
      </w:pPr>
      <w:r>
        <w:rPr>
          <w:rFonts w:ascii="Times New Roman" w:cs="Times New Roman" w:eastAsia="Times New Roman" w:hAnsi="Times New Roman"/>
          <w:sz w:val="20"/>
          <w:szCs w:val="20"/>
          <w:b w:val="1"/>
          <w:bCs w:val="1"/>
          <w:color w:val="auto"/>
        </w:rPr>
        <w:t>Milestone Pharmaceuticals Inc.</w:t>
      </w: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US dollars, except share data)</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3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tcPr>
          <w:p>
            <w:pPr>
              <w:spacing w:after="0"/>
              <w:rPr>
                <w:sz w:val="17"/>
                <w:szCs w:val="17"/>
                <w:color w:val="auto"/>
              </w:rPr>
            </w:pPr>
          </w:p>
        </w:tc>
        <w:tc>
          <w:tcPr>
            <w:tcW w:w="17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0" w:type="dxa"/>
            <w:vAlign w:val="bottom"/>
          </w:tcPr>
          <w:p>
            <w:pPr>
              <w:spacing w:after="0"/>
              <w:rPr>
                <w:sz w:val="1"/>
                <w:szCs w:val="1"/>
                <w:color w:val="auto"/>
              </w:rPr>
            </w:pPr>
          </w:p>
        </w:tc>
      </w:tr>
      <w:tr>
        <w:trPr>
          <w:trHeight w:val="192"/>
        </w:trPr>
        <w:tc>
          <w:tcPr>
            <w:tcW w:w="6360" w:type="dxa"/>
            <w:vAlign w:val="bottom"/>
            <w:gridSpan w:val="2"/>
            <w:vMerge w:val="continue"/>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6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63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Cash and cash equivalents . . . . . . . . . . . . . . . . . . . . . . . . . . . . . . . . . . . . . . . . . . . . . . . .</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73,046</w:t>
            </w:r>
          </w:p>
        </w:tc>
        <w:tc>
          <w:tcPr>
            <w:tcW w:w="280" w:type="dxa"/>
            <w:vAlign w:val="bottom"/>
          </w:tcPr>
          <w:p>
            <w:pPr>
              <w:spacing w:after="0"/>
              <w:rPr>
                <w:sz w:val="16"/>
                <w:szCs w:val="16"/>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25,314</w:t>
            </w:r>
          </w:p>
        </w:tc>
        <w:tc>
          <w:tcPr>
            <w:tcW w:w="0" w:type="dxa"/>
            <w:vAlign w:val="bottom"/>
          </w:tcPr>
          <w:p>
            <w:pPr>
              <w:spacing w:after="0"/>
              <w:rPr>
                <w:sz w:val="1"/>
                <w:szCs w:val="1"/>
                <w:color w:val="auto"/>
              </w:rPr>
            </w:pPr>
          </w:p>
        </w:tc>
      </w:tr>
      <w:tr>
        <w:trPr>
          <w:trHeight w:val="185"/>
        </w:trPr>
        <w:tc>
          <w:tcPr>
            <w:tcW w:w="63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Short-term investments . . . . . . . . . . . . . . . . . . . . . . . . . . . . . . . . . . . . . . . . . . . . . . . . . .</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32,914</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44,381</w:t>
            </w:r>
          </w:p>
        </w:tc>
        <w:tc>
          <w:tcPr>
            <w:tcW w:w="0" w:type="dxa"/>
            <w:vAlign w:val="bottom"/>
          </w:tcPr>
          <w:p>
            <w:pPr>
              <w:spacing w:after="0"/>
              <w:rPr>
                <w:sz w:val="1"/>
                <w:szCs w:val="1"/>
                <w:color w:val="auto"/>
              </w:rPr>
            </w:pPr>
          </w:p>
        </w:tc>
      </w:tr>
      <w:tr>
        <w:trPr>
          <w:trHeight w:val="186"/>
        </w:trPr>
        <w:tc>
          <w:tcPr>
            <w:tcW w:w="63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License receivable . . . . . . . . . . . . . . . . . . . . . . . . . . . . . . . . . . . . . . . . . . . . . . . . . . . . . .</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1,546</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5"/>
        </w:trPr>
        <w:tc>
          <w:tcPr>
            <w:tcW w:w="63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Research and development tax credits receivable . . . . . . . . . . . . . . . . . . . . . . . . . . . . . . .</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0" w:type="dxa"/>
            <w:vAlign w:val="bottom"/>
          </w:tcPr>
          <w:p>
            <w:pPr>
              <w:spacing w:after="0"/>
              <w:rPr>
                <w:sz w:val="1"/>
                <w:szCs w:val="1"/>
                <w:color w:val="auto"/>
              </w:rPr>
            </w:pPr>
          </w:p>
        </w:tc>
      </w:tr>
      <w:tr>
        <w:trPr>
          <w:trHeight w:val="185"/>
        </w:trPr>
        <w:tc>
          <w:tcPr>
            <w:tcW w:w="63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Prepaid expenses  . . . . . . . . . . . . . . . . . . . . . . . . . . . . . . . . . . . . . . . . . . . . . . . . . . . . . .</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1,805</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1,840</w:t>
            </w:r>
          </w:p>
        </w:tc>
        <w:tc>
          <w:tcPr>
            <w:tcW w:w="0" w:type="dxa"/>
            <w:vAlign w:val="bottom"/>
          </w:tcPr>
          <w:p>
            <w:pPr>
              <w:spacing w:after="0"/>
              <w:rPr>
                <w:sz w:val="1"/>
                <w:szCs w:val="1"/>
                <w:color w:val="auto"/>
              </w:rPr>
            </w:pPr>
          </w:p>
        </w:tc>
      </w:tr>
      <w:tr>
        <w:trPr>
          <w:trHeight w:val="185"/>
        </w:trPr>
        <w:tc>
          <w:tcPr>
            <w:tcW w:w="63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Inventory, net . . . . . . . . . . . . . . . . . . . . . . . . . . . . . . . . . . . . . . . . . . . . . . . . . . . . . . . . .</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63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Other receivables . . . . . . . . . . . . . . . . . . . . . . . . . . . . . . . . . . . . . . . . . . . . . . . . . . . . . .</w:t>
            </w:r>
          </w:p>
        </w:tc>
        <w:tc>
          <w:tcPr>
            <w:tcW w:w="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1,646</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1,490</w:t>
            </w:r>
          </w:p>
        </w:tc>
        <w:tc>
          <w:tcPr>
            <w:tcW w:w="0" w:type="dxa"/>
            <w:vAlign w:val="bottom"/>
          </w:tcPr>
          <w:p>
            <w:pPr>
              <w:spacing w:after="0"/>
              <w:rPr>
                <w:sz w:val="1"/>
                <w:szCs w:val="1"/>
                <w:color w:val="auto"/>
              </w:rPr>
            </w:pPr>
          </w:p>
        </w:tc>
      </w:tr>
      <w:tr>
        <w:trPr>
          <w:trHeight w:val="169"/>
        </w:trPr>
        <w:tc>
          <w:tcPr>
            <w:tcW w:w="6360" w:type="dxa"/>
            <w:vAlign w:val="bottom"/>
            <w:gridSpan w:val="2"/>
          </w:tcPr>
          <w:p>
            <w:pPr>
              <w:jc w:val="right"/>
              <w:ind w:right="340"/>
              <w:spacing w:after="0" w:line="168" w:lineRule="exact"/>
              <w:rPr>
                <w:sz w:val="20"/>
                <w:szCs w:val="20"/>
                <w:color w:val="auto"/>
              </w:rPr>
            </w:pPr>
            <w:r>
              <w:rPr>
                <w:rFonts w:ascii="Times New Roman" w:cs="Times New Roman" w:eastAsia="Times New Roman" w:hAnsi="Times New Roman"/>
                <w:sz w:val="16"/>
                <w:szCs w:val="16"/>
                <w:color w:val="auto"/>
              </w:rPr>
              <w:t>. . . . . . . . . . . . . . . . . . . . . . . . . . . . . . . . . . . . . . . . . . . . . . . . . . . . . . .</w:t>
            </w:r>
            <w:r>
              <w:rPr>
                <w:rFonts w:ascii="Times New Roman" w:cs="Times New Roman" w:eastAsia="Times New Roman" w:hAnsi="Times New Roman"/>
                <w:sz w:val="16"/>
                <w:szCs w:val="16"/>
                <w:b w:val="1"/>
                <w:bCs w:val="1"/>
                <w:color w:val="auto"/>
              </w:rPr>
              <w:t>Totalcurrentassets</w:t>
            </w:r>
          </w:p>
        </w:tc>
        <w:tc>
          <w:tcPr>
            <w:tcW w:w="8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111,921</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73,926</w:t>
            </w:r>
          </w:p>
        </w:tc>
        <w:tc>
          <w:tcPr>
            <w:tcW w:w="0" w:type="dxa"/>
            <w:vAlign w:val="bottom"/>
          </w:tcPr>
          <w:p>
            <w:pPr>
              <w:spacing w:after="0"/>
              <w:rPr>
                <w:sz w:val="1"/>
                <w:szCs w:val="1"/>
                <w:color w:val="auto"/>
              </w:rPr>
            </w:pPr>
          </w:p>
        </w:tc>
      </w:tr>
      <w:tr>
        <w:trPr>
          <w:trHeight w:val="185"/>
        </w:trPr>
        <w:tc>
          <w:tcPr>
            <w:tcW w:w="63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Operating lease right-of-use assets . . . . . . . . . . . . . . . . . . . . . . . . . . . . . . . . . . . . . . . . . . . . .</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w:t>
            </w:r>
          </w:p>
        </w:tc>
        <w:tc>
          <w:tcPr>
            <w:tcW w:w="0" w:type="dxa"/>
            <w:vAlign w:val="bottom"/>
          </w:tcPr>
          <w:p>
            <w:pPr>
              <w:spacing w:after="0"/>
              <w:rPr>
                <w:sz w:val="1"/>
                <w:szCs w:val="1"/>
                <w:color w:val="auto"/>
              </w:rPr>
            </w:pPr>
          </w:p>
        </w:tc>
      </w:tr>
      <w:tr>
        <w:trPr>
          <w:trHeight w:val="192"/>
        </w:trPr>
        <w:tc>
          <w:tcPr>
            <w:tcW w:w="63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Property and equipment, net . . . . . . . . . . . . . . . . . . . . . . . . . . . . . . . . . . . . . . . . . . . . . . . . .</w:t>
            </w:r>
          </w:p>
        </w:tc>
        <w:tc>
          <w:tcPr>
            <w:tcW w:w="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193"/>
        </w:trPr>
        <w:tc>
          <w:tcPr>
            <w:tcW w:w="63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 . . . . . . . . . . . . . . . . . . . . . . . . . . . . . . . . . . . . . . . . . . . . . . . . . . . . . . . . . . . .</w:t>
            </w:r>
            <w:r>
              <w:rPr>
                <w:rFonts w:ascii="Times New Roman" w:cs="Times New Roman" w:eastAsia="Times New Roman" w:hAnsi="Times New Roman"/>
                <w:sz w:val="16"/>
                <w:szCs w:val="16"/>
                <w:b w:val="1"/>
                <w:bCs w:val="1"/>
                <w:color w:val="auto"/>
              </w:rPr>
              <w:t>Totalassets</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113,561</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75,499</w:t>
            </w:r>
          </w:p>
        </w:tc>
        <w:tc>
          <w:tcPr>
            <w:tcW w:w="0" w:type="dxa"/>
            <w:vAlign w:val="bottom"/>
          </w:tcPr>
          <w:p>
            <w:pPr>
              <w:spacing w:after="0"/>
              <w:rPr>
                <w:sz w:val="1"/>
                <w:szCs w:val="1"/>
                <w:color w:val="auto"/>
              </w:rPr>
            </w:pPr>
          </w:p>
        </w:tc>
      </w:tr>
      <w:tr>
        <w:trPr>
          <w:trHeight w:val="388"/>
        </w:trPr>
        <w:tc>
          <w:tcPr>
            <w:tcW w:w="6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6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63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Accounts payable and accrued liabilities . . . . . . . . . . . . . . . . . . . . . . . . . . . . . . . . . . . . .</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13,289</w:t>
            </w:r>
          </w:p>
        </w:tc>
        <w:tc>
          <w:tcPr>
            <w:tcW w:w="280" w:type="dxa"/>
            <w:vAlign w:val="bottom"/>
          </w:tcPr>
          <w:p>
            <w:pPr>
              <w:spacing w:after="0"/>
              <w:rPr>
                <w:sz w:val="16"/>
                <w:szCs w:val="16"/>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7,555</w:t>
            </w:r>
          </w:p>
        </w:tc>
        <w:tc>
          <w:tcPr>
            <w:tcW w:w="0" w:type="dxa"/>
            <w:vAlign w:val="bottom"/>
          </w:tcPr>
          <w:p>
            <w:pPr>
              <w:spacing w:after="0"/>
              <w:rPr>
                <w:sz w:val="1"/>
                <w:szCs w:val="1"/>
                <w:color w:val="auto"/>
              </w:rPr>
            </w:pPr>
          </w:p>
        </w:tc>
      </w:tr>
      <w:tr>
        <w:trPr>
          <w:trHeight w:val="185"/>
        </w:trPr>
        <w:tc>
          <w:tcPr>
            <w:tcW w:w="63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Operating lease liabilities . . . . . . . . . . . . . . . . . . . . . . . . . . . . . . . . . . . . . . . . . . . . . . . . .</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0" w:type="dxa"/>
            <w:vAlign w:val="bottom"/>
          </w:tcPr>
          <w:p>
            <w:pPr>
              <w:spacing w:after="0"/>
              <w:rPr>
                <w:sz w:val="1"/>
                <w:szCs w:val="1"/>
                <w:color w:val="auto"/>
              </w:rPr>
            </w:pPr>
          </w:p>
        </w:tc>
      </w:tr>
      <w:tr>
        <w:trPr>
          <w:trHeight w:val="193"/>
        </w:trPr>
        <w:tc>
          <w:tcPr>
            <w:tcW w:w="63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Other current liabilities . . . . . . . . . . . . . . . . . . . . . . . . . . . . . . . . . . . . . . . . . . . . . . . . . .</w:t>
            </w:r>
          </w:p>
        </w:tc>
        <w:tc>
          <w:tcPr>
            <w:tcW w:w="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7"/>
        </w:trPr>
        <w:tc>
          <w:tcPr>
            <w:tcW w:w="6360" w:type="dxa"/>
            <w:vAlign w:val="bottom"/>
            <w:gridSpan w:val="2"/>
          </w:tcPr>
          <w:p>
            <w:pPr>
              <w:jc w:val="right"/>
              <w:ind w:right="340"/>
              <w:spacing w:after="0" w:line="168" w:lineRule="exact"/>
              <w:rPr>
                <w:sz w:val="20"/>
                <w:szCs w:val="20"/>
                <w:color w:val="auto"/>
              </w:rPr>
            </w:pPr>
            <w:r>
              <w:rPr>
                <w:rFonts w:ascii="Times New Roman" w:cs="Times New Roman" w:eastAsia="Times New Roman" w:hAnsi="Times New Roman"/>
                <w:sz w:val="16"/>
                <w:szCs w:val="16"/>
                <w:color w:val="auto"/>
              </w:rPr>
              <w:t>. . . . . . . . . . . . . . . . . . . . . . . . . . . . . . . . . . . . . . . . . . . . . . . . . . . .</w:t>
            </w:r>
            <w:r>
              <w:rPr>
                <w:rFonts w:ascii="Times New Roman" w:cs="Times New Roman" w:eastAsia="Times New Roman" w:hAnsi="Times New Roman"/>
                <w:sz w:val="16"/>
                <w:szCs w:val="16"/>
                <w:b w:val="1"/>
                <w:bCs w:val="1"/>
                <w:color w:val="auto"/>
              </w:rPr>
              <w:t>Totalcurrentliabilities</w:t>
            </w:r>
          </w:p>
        </w:tc>
        <w:tc>
          <w:tcPr>
            <w:tcW w:w="8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13,979</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8,126</w:t>
            </w:r>
          </w:p>
        </w:tc>
        <w:tc>
          <w:tcPr>
            <w:tcW w:w="0" w:type="dxa"/>
            <w:vAlign w:val="bottom"/>
          </w:tcPr>
          <w:p>
            <w:pPr>
              <w:spacing w:after="0"/>
              <w:rPr>
                <w:sz w:val="1"/>
                <w:szCs w:val="1"/>
                <w:color w:val="auto"/>
              </w:rPr>
            </w:pPr>
          </w:p>
        </w:tc>
      </w:tr>
      <w:tr>
        <w:trPr>
          <w:trHeight w:val="185"/>
        </w:trPr>
        <w:tc>
          <w:tcPr>
            <w:tcW w:w="63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Operating lease liabilities, net of current portion . . . . . . . . . . . . . . . . . . . . . . . . . . . . . . . . . .</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0" w:type="dxa"/>
            <w:vAlign w:val="bottom"/>
          </w:tcPr>
          <w:p>
            <w:pPr>
              <w:spacing w:after="0"/>
              <w:rPr>
                <w:sz w:val="1"/>
                <w:szCs w:val="1"/>
                <w:color w:val="auto"/>
              </w:rPr>
            </w:pPr>
          </w:p>
        </w:tc>
      </w:tr>
      <w:tr>
        <w:trPr>
          <w:trHeight w:val="185"/>
        </w:trPr>
        <w:tc>
          <w:tcPr>
            <w:tcW w:w="63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Senior secured convertible notes . . . . . . . . . . . . . . . . . . . . . . . . . . . . . . . . . . . . . . . . . . . . . .</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57,191</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53,352</w:t>
            </w:r>
          </w:p>
        </w:tc>
        <w:tc>
          <w:tcPr>
            <w:tcW w:w="0" w:type="dxa"/>
            <w:vAlign w:val="bottom"/>
          </w:tcPr>
          <w:p>
            <w:pPr>
              <w:spacing w:after="0"/>
              <w:rPr>
                <w:sz w:val="1"/>
                <w:szCs w:val="1"/>
                <w:color w:val="auto"/>
              </w:rPr>
            </w:pPr>
          </w:p>
        </w:tc>
      </w:tr>
      <w:tr>
        <w:trPr>
          <w:trHeight w:val="193"/>
        </w:trPr>
        <w:tc>
          <w:tcPr>
            <w:tcW w:w="63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Other long-term liabilities . . . . . . . . . . . . . . . . . . . . . . . . . . . . . . . . . . . . . . . . . . . . . . . . . . .</w:t>
            </w:r>
          </w:p>
        </w:tc>
        <w:tc>
          <w:tcPr>
            <w:tcW w:w="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4"/>
        </w:trPr>
        <w:tc>
          <w:tcPr>
            <w:tcW w:w="63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 . . . . . . . . . . . . . . . . . . . . . . . . . . . . . . . . . . . . . . . . . . . . . . . . . . . . . . . . . .</w:t>
            </w:r>
            <w:r>
              <w:rPr>
                <w:rFonts w:ascii="Times New Roman" w:cs="Times New Roman" w:eastAsia="Times New Roman" w:hAnsi="Times New Roman"/>
                <w:sz w:val="16"/>
                <w:szCs w:val="16"/>
                <w:b w:val="1"/>
                <w:bCs w:val="1"/>
                <w:color w:val="auto"/>
              </w:rPr>
              <w:t>Totalliabilities</w:t>
            </w:r>
          </w:p>
        </w:tc>
        <w:tc>
          <w:tcPr>
            <w:tcW w:w="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71,792</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62,352</w:t>
            </w:r>
          </w:p>
        </w:tc>
        <w:tc>
          <w:tcPr>
            <w:tcW w:w="0" w:type="dxa"/>
            <w:vAlign w:val="bottom"/>
          </w:tcPr>
          <w:p>
            <w:pPr>
              <w:spacing w:after="0"/>
              <w:rPr>
                <w:sz w:val="1"/>
                <w:szCs w:val="1"/>
                <w:color w:val="auto"/>
              </w:rPr>
            </w:pPr>
          </w:p>
        </w:tc>
      </w:tr>
      <w:tr>
        <w:trPr>
          <w:trHeight w:val="528"/>
        </w:trPr>
        <w:tc>
          <w:tcPr>
            <w:tcW w:w="6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6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Common shares, no par value, unlimited shares authorized, 106,236,344 shares issued and</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352,619</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288,048</w:t>
            </w:r>
          </w:p>
        </w:tc>
        <w:tc>
          <w:tcPr>
            <w:tcW w:w="0" w:type="dxa"/>
            <w:vAlign w:val="bottom"/>
          </w:tcPr>
          <w:p>
            <w:pPr>
              <w:spacing w:after="0"/>
              <w:rPr>
                <w:sz w:val="1"/>
                <w:szCs w:val="1"/>
                <w:color w:val="auto"/>
              </w:rPr>
            </w:pPr>
          </w:p>
        </w:tc>
      </w:tr>
      <w:tr>
        <w:trPr>
          <w:trHeight w:val="184"/>
        </w:trPr>
        <w:tc>
          <w:tcPr>
            <w:tcW w:w="6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outstanding as of December 31, 2025, 53,353,984 shares issued and outstanding as of</w:t>
            </w: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3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December 31, 2024 . . . . . . . . . . . . . . . . . . . . . . . . . . . . . . . . . . . . . . . . . . . . . . . . . . . . . . . .</w:t>
            </w: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Pre-funded warrants - 16,412,925 issued and outstanding as of December 31, 2025 and</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55,649</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53,076</w:t>
            </w:r>
          </w:p>
        </w:tc>
        <w:tc>
          <w:tcPr>
            <w:tcW w:w="0" w:type="dxa"/>
            <w:vAlign w:val="bottom"/>
          </w:tcPr>
          <w:p>
            <w:pPr>
              <w:spacing w:after="0"/>
              <w:rPr>
                <w:sz w:val="1"/>
                <w:szCs w:val="1"/>
                <w:color w:val="auto"/>
              </w:rPr>
            </w:pPr>
          </w:p>
        </w:tc>
      </w:tr>
      <w:tr>
        <w:trPr>
          <w:trHeight w:val="185"/>
        </w:trPr>
        <w:tc>
          <w:tcPr>
            <w:tcW w:w="63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12,910,590 as of December 31, 2024 . . . . . . . . . . . . . . . . . . . . . . . . . . . . . . . . . . . . . . . . . . .</w:t>
            </w: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3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Additional paid-in capital . . . . . . . . . . . . . . . . . . . . . . . . . . . . . . . . . . . . . . . . . . . . . . . . . . .</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64,104</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39,568</w:t>
            </w:r>
          </w:p>
        </w:tc>
        <w:tc>
          <w:tcPr>
            <w:tcW w:w="0" w:type="dxa"/>
            <w:vAlign w:val="bottom"/>
          </w:tcPr>
          <w:p>
            <w:pPr>
              <w:spacing w:after="0"/>
              <w:rPr>
                <w:sz w:val="1"/>
                <w:szCs w:val="1"/>
                <w:color w:val="auto"/>
              </w:rPr>
            </w:pPr>
          </w:p>
        </w:tc>
      </w:tr>
      <w:tr>
        <w:trPr>
          <w:trHeight w:val="202"/>
        </w:trPr>
        <w:tc>
          <w:tcPr>
            <w:tcW w:w="63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Accumulated deficit . . . . . . . . . . . . . . . . . . . . . . . . . . . . . . . . . . . . . . . . . . . . . . . . . . . . . . .</w:t>
            </w:r>
          </w:p>
        </w:tc>
        <w:tc>
          <w:tcPr>
            <w:tcW w:w="80" w:type="dxa"/>
            <w:vAlign w:val="bottom"/>
          </w:tcPr>
          <w:p>
            <w:pPr>
              <w:spacing w:after="0"/>
              <w:rPr>
                <w:sz w:val="17"/>
                <w:szCs w:val="17"/>
                <w:color w:val="auto"/>
              </w:rPr>
            </w:pPr>
          </w:p>
        </w:tc>
        <w:tc>
          <w:tcPr>
            <w:tcW w:w="17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(430,603)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(367,545)</w:t>
            </w:r>
          </w:p>
        </w:tc>
        <w:tc>
          <w:tcPr>
            <w:tcW w:w="0" w:type="dxa"/>
            <w:vAlign w:val="bottom"/>
          </w:tcPr>
          <w:p>
            <w:pPr>
              <w:spacing w:after="0"/>
              <w:rPr>
                <w:sz w:val="1"/>
                <w:szCs w:val="1"/>
                <w:color w:val="auto"/>
              </w:rPr>
            </w:pPr>
          </w:p>
        </w:tc>
      </w:tr>
      <w:tr>
        <w:trPr>
          <w:trHeight w:val="360"/>
        </w:trPr>
        <w:tc>
          <w:tcPr>
            <w:tcW w:w="63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 xml:space="preserve">Total shareholders’ equity </w:t>
            </w:r>
            <w:r>
              <w:rPr>
                <w:rFonts w:ascii="Times New Roman" w:cs="Times New Roman" w:eastAsia="Times New Roman" w:hAnsi="Times New Roman"/>
                <w:sz w:val="16"/>
                <w:szCs w:val="16"/>
                <w:color w:val="auto"/>
              </w:rPr>
              <w:t>. . . . . . . . . . . . . . . . . . . . . . . . . . . . . . . . . . . . . . . . . . . . . . . . .</w:t>
            </w:r>
          </w:p>
        </w:tc>
        <w:tc>
          <w:tcPr>
            <w:tcW w:w="80" w:type="dxa"/>
            <w:vAlign w:val="bottom"/>
            <w:tcBorders>
              <w:top w:val="single" w:sz="8" w:color="auto"/>
              <w:bottom w:val="single" w:sz="8" w:color="auto"/>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41,769</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13,147</w:t>
            </w:r>
          </w:p>
        </w:tc>
        <w:tc>
          <w:tcPr>
            <w:tcW w:w="0" w:type="dxa"/>
            <w:vAlign w:val="bottom"/>
          </w:tcPr>
          <w:p>
            <w:pPr>
              <w:spacing w:after="0"/>
              <w:rPr>
                <w:sz w:val="1"/>
                <w:szCs w:val="1"/>
                <w:color w:val="auto"/>
              </w:rPr>
            </w:pPr>
          </w:p>
        </w:tc>
      </w:tr>
      <w:tr>
        <w:trPr>
          <w:trHeight w:val="174"/>
        </w:trPr>
        <w:tc>
          <w:tcPr>
            <w:tcW w:w="63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0" w:type="dxa"/>
            <w:vAlign w:val="bottom"/>
            <w:vMerge w:val="restart"/>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340" w:type="dxa"/>
            <w:vAlign w:val="bottom"/>
            <w:vMerge w:val="continue"/>
          </w:tcPr>
          <w:p>
            <w:pPr>
              <w:jc w:val="right"/>
              <w:ind w:right="240"/>
              <w:spacing w:after="0" w:line="140" w:lineRule="exact"/>
              <w:rPr>
                <w:sz w:val="20"/>
                <w:szCs w:val="20"/>
                <w:color w:val="auto"/>
              </w:rPr>
            </w:pPr>
            <w:r>
              <w:rPr>
                <w:rFonts w:ascii="Times New Roman" w:cs="Times New Roman" w:eastAsia="Times New Roman" w:hAnsi="Times New Roman"/>
                <w:sz w:val="16"/>
                <w:szCs w:val="16"/>
                <w:color w:val="auto"/>
              </w:rPr>
              <w:t>. . . . . . . . . . . . . . . . . . . . . . . . . . . . . . . . . . . . . .</w:t>
            </w:r>
          </w:p>
        </w:tc>
        <w:tc>
          <w:tcPr>
            <w:tcW w:w="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113,561</w:t>
            </w:r>
          </w:p>
        </w:tc>
        <w:tc>
          <w:tcPr>
            <w:tcW w:w="280" w:type="dxa"/>
            <w:vAlign w:val="bottom"/>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tcPr>
          <w:p>
            <w:pPr>
              <w:jc w:val="right"/>
              <w:spacing w:after="0" w:line="177" w:lineRule="exact"/>
              <w:rPr>
                <w:sz w:val="20"/>
                <w:szCs w:val="20"/>
                <w:color w:val="auto"/>
              </w:rPr>
            </w:pPr>
            <w:r>
              <w:rPr>
                <w:rFonts w:ascii="Times New Roman" w:cs="Times New Roman" w:eastAsia="Times New Roman" w:hAnsi="Times New Roman"/>
                <w:sz w:val="16"/>
                <w:szCs w:val="16"/>
                <w:color w:val="auto"/>
              </w:rPr>
              <w:t>75,499</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480" w:orient="portrait"/>
          <w:cols w:equalWidth="0" w:num="1">
            <w:col w:w="9720"/>
          </w:cols>
          <w:pgMar w:left="1080" w:top="1061"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1880" w:h="15480" w:orient="portrait"/>
          <w:cols w:equalWidth="0" w:num="1">
            <w:col w:w="9720"/>
          </w:cols>
          <w:pgMar w:left="1080" w:top="1061" w:right="1080" w:bottom="544" w:gutter="0" w:footer="0" w:header="0"/>
          <w:type w:val="continuous"/>
        </w:sectPr>
      </w:pPr>
    </w:p>
    <w:bookmarkStart w:id="98" w:name="page99"/>
    <w:bookmarkEnd w:id="98"/>
    <w:p>
      <w:pPr>
        <w:ind w:left="3520"/>
        <w:spacing w:after="0"/>
        <w:rPr>
          <w:sz w:val="20"/>
          <w:szCs w:val="20"/>
          <w:color w:val="auto"/>
        </w:rPr>
      </w:pPr>
      <w:r>
        <w:rPr>
          <w:rFonts w:ascii="Times New Roman" w:cs="Times New Roman" w:eastAsia="Times New Roman" w:hAnsi="Times New Roman"/>
          <w:sz w:val="20"/>
          <w:szCs w:val="20"/>
          <w:b w:val="1"/>
          <w:bCs w:val="1"/>
          <w:color w:val="auto"/>
        </w:rPr>
        <w:t>Milestone Pharmaceuticals Inc.</w:t>
      </w:r>
    </w:p>
    <w:p>
      <w:pPr>
        <w:ind w:left="3480"/>
        <w:spacing w:after="0"/>
        <w:rPr>
          <w:sz w:val="20"/>
          <w:szCs w:val="20"/>
          <w:color w:val="auto"/>
        </w:rPr>
      </w:pPr>
      <w:r>
        <w:rPr>
          <w:rFonts w:ascii="Times New Roman" w:cs="Times New Roman" w:eastAsia="Times New Roman" w:hAnsi="Times New Roman"/>
          <w:sz w:val="20"/>
          <w:szCs w:val="20"/>
          <w:b w:val="1"/>
          <w:bCs w:val="1"/>
          <w:color w:val="auto"/>
        </w:rPr>
        <w:t>Consolidated Statements of Loss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US dollars, except share and per share data)</w:t>
      </w:r>
    </w:p>
    <w:p>
      <w:pPr>
        <w:spacing w:after="0" w:line="248" w:lineRule="exact"/>
        <w:rPr>
          <w:sz w:val="20"/>
          <w:szCs w:val="20"/>
          <w:color w:val="auto"/>
        </w:rPr>
      </w:pPr>
    </w:p>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Years Ended</w:t>
      </w:r>
    </w:p>
    <w:p>
      <w:pPr>
        <w:spacing w:after="0" w:line="1" w:lineRule="exact"/>
        <w:rPr>
          <w:sz w:val="20"/>
          <w:szCs w:val="20"/>
          <w:color w:val="auto"/>
        </w:rPr>
      </w:pPr>
    </w:p>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December 31,</w:t>
      </w:r>
    </w:p>
    <w:tbl>
      <w:tblPr>
        <w:tblLayout w:type="fixed"/>
        <w:tblInd w:w="0" w:type="dxa"/>
        <w:tblCellMar>
          <w:top w:w="0" w:type="dxa"/>
          <w:left w:w="0" w:type="dxa"/>
          <w:bottom w:w="0" w:type="dxa"/>
          <w:right w:w="0" w:type="dxa"/>
        </w:tblCellMar>
      </w:tblPr>
      <w:tr>
        <w:trPr>
          <w:trHeight w:val="196"/>
        </w:trPr>
        <w:tc>
          <w:tcPr>
            <w:tcW w:w="7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75"/>
        </w:trPr>
        <w:tc>
          <w:tcPr>
            <w:tcW w:w="7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xml:space="preserve">Revenue </w:t>
            </w:r>
            <w:r>
              <w:rPr>
                <w:rFonts w:ascii="Times New Roman" w:cs="Times New Roman" w:eastAsia="Times New Roman" w:hAnsi="Times New Roman"/>
                <w:sz w:val="16"/>
                <w:szCs w:val="16"/>
                <w:color w:val="auto"/>
              </w:rPr>
              <w:t>. . . . . . . . . . . . . . . . . . . . . . . . . . . . . . . . . . . . . . . . . . . . . . . . . . . . . . . . . . . . . . . . . . . . . . . . . . . .</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1,546</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8"/>
        </w:trPr>
        <w:tc>
          <w:tcPr>
            <w:tcW w:w="7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85"/>
        </w:trPr>
        <w:tc>
          <w:tcPr>
            <w:tcW w:w="7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Research and development, net of tax credits . . . . . . . . . . . . . . . . . . . . . . . . . . . . . . . . . . . . . . . . . . . . . . . . .</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14,357</w:t>
            </w:r>
          </w:p>
        </w:tc>
      </w:tr>
      <w:tr>
        <w:trPr>
          <w:trHeight w:val="185"/>
        </w:trPr>
        <w:tc>
          <w:tcPr>
            <w:tcW w:w="7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General and administrative . . . . . . . . . . . . . . . . . . . . . . . . . . . . . . . . . . . . . . . . . . . . . . . . . . . . . . . . . . . . . .</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17,274</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16,742</w:t>
            </w:r>
          </w:p>
        </w:tc>
      </w:tr>
      <w:tr>
        <w:trPr>
          <w:trHeight w:val="202"/>
        </w:trPr>
        <w:tc>
          <w:tcPr>
            <w:tcW w:w="7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Commercial . . . . . . . . . . . . . . . . . . . . . . . . . . . . . . . . . . . . . . . . . . . . . . . . . . . . . . . . . . . . . . . . . . . . . . . . .</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28,304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11,003</w:t>
            </w:r>
          </w:p>
        </w:tc>
      </w:tr>
      <w:tr>
        <w:trPr>
          <w:trHeight w:val="376"/>
        </w:trPr>
        <w:tc>
          <w:tcPr>
            <w:tcW w:w="7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Loss from operations</w:t>
            </w:r>
            <w:r>
              <w:rPr>
                <w:rFonts w:ascii="Times New Roman" w:cs="Times New Roman" w:eastAsia="Times New Roman" w:hAnsi="Times New Roman"/>
                <w:sz w:val="16"/>
                <w:szCs w:val="16"/>
                <w:color w:val="auto"/>
              </w:rPr>
              <w:t>. . . . . . . . . . . . . . . . . . . . . . . . . . . . . . . . . . . . . . . . . . . . . . . . . . . . . . . . . . . . . . . . . .</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(62,140)</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(42,102)</w:t>
            </w:r>
          </w:p>
        </w:tc>
      </w:tr>
      <w:tr>
        <w:trPr>
          <w:trHeight w:val="336"/>
        </w:trPr>
        <w:tc>
          <w:tcPr>
            <w:tcW w:w="7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income . . . . . . . . . . . . . . . . . . . . . . . . . . . . . . . . . . . . . . . . . . . . . . . . . . . . . . . . . . . . . . . . . . . . . . .</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2,920</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4,164</w:t>
            </w:r>
          </w:p>
        </w:tc>
      </w:tr>
      <w:tr>
        <w:trPr>
          <w:trHeight w:val="202"/>
        </w:trPr>
        <w:tc>
          <w:tcPr>
            <w:tcW w:w="7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expense . . . . . . . . . . . . . . . . . . . . . . . . . . . . . . . . . . . . . . . . . . . . . . . . . . . . . . . . . . . . . . . . . . . . . .</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(3,581)</w:t>
            </w:r>
          </w:p>
        </w:tc>
      </w:tr>
      <w:tr>
        <w:trPr>
          <w:trHeight w:val="369"/>
        </w:trPr>
        <w:tc>
          <w:tcPr>
            <w:tcW w:w="7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xml:space="preserve">Net loss and comprehensive loss </w:t>
            </w:r>
            <w:r>
              <w:rPr>
                <w:rFonts w:ascii="Times New Roman" w:cs="Times New Roman" w:eastAsia="Times New Roman" w:hAnsi="Times New Roman"/>
                <w:sz w:val="16"/>
                <w:szCs w:val="16"/>
                <w:color w:val="auto"/>
              </w:rPr>
              <w:t>. . . . . . . . . . . . . . . . . . . . . . . . . . . . . . . . . . . . . . . . . . . . . . . . . . . . . . . . .</w:t>
            </w: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(63,058)</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(41,519)</w:t>
            </w:r>
          </w:p>
        </w:tc>
      </w:tr>
      <w:tr>
        <w:trPr>
          <w:trHeight w:val="380"/>
        </w:trPr>
        <w:tc>
          <w:tcPr>
            <w:tcW w:w="7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xml:space="preserve">Weighted average number of shares and pre-funded warrants outstanding, basic and diluted </w:t>
            </w:r>
            <w:r>
              <w:rPr>
                <w:rFonts w:ascii="Times New Roman" w:cs="Times New Roman" w:eastAsia="Times New Roman" w:hAnsi="Times New Roman"/>
                <w:sz w:val="16"/>
                <w:szCs w:val="16"/>
                <w:color w:val="auto"/>
              </w:rPr>
              <w:t>. . . . . . . .</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83,882,800</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62,210,702</w:t>
            </w:r>
          </w:p>
        </w:tc>
      </w:tr>
      <w:tr>
        <w:trPr>
          <w:trHeight w:val="382"/>
        </w:trPr>
        <w:tc>
          <w:tcPr>
            <w:tcW w:w="7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Net loss per share, basic and diluted </w:t>
            </w:r>
            <w:r>
              <w:rPr>
                <w:rFonts w:ascii="Times New Roman" w:cs="Times New Roman" w:eastAsia="Times New Roman" w:hAnsi="Times New Roman"/>
                <w:sz w:val="16"/>
                <w:szCs w:val="16"/>
                <w:color w:val="auto"/>
              </w:rPr>
              <w:t>. . . . . . . . . . . . . . . . . . . . . . . . . . . . . . . . . . . . . . . . . . . . . . . . . . . . . .</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(0.67)</w:t>
            </w:r>
          </w:p>
        </w:tc>
      </w:tr>
    </w:tbl>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480" w:orient="portrait"/>
          <w:cols w:equalWidth="0" w:num="1">
            <w:col w:w="9720"/>
          </w:cols>
          <w:pgMar w:left="1080" w:top="1061"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1880" w:h="15480" w:orient="portrait"/>
          <w:cols w:equalWidth="0" w:num="1">
            <w:col w:w="9720"/>
          </w:cols>
          <w:pgMar w:left="1080" w:top="1061" w:right="1080" w:bottom="544" w:gutter="0" w:footer="0" w:header="0"/>
          <w:type w:val="continuous"/>
        </w:sectPr>
      </w:pPr>
    </w:p>
    <w:bookmarkStart w:id="99" w:name="page100"/>
    <w:bookmarkEnd w:id="9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30" w:type="dxa"/>
            <w:vAlign w:val="bottom"/>
            <w:textDirection w:val="tbRl"/>
          </w:tcPr>
          <w:p>
            <w:pPr>
              <w:spacing w:after="0"/>
              <w:rPr>
                <w:sz w:val="20"/>
                <w:szCs w:val="20"/>
                <w:color w:val="auto"/>
              </w:rPr>
            </w:pPr>
            <w:r>
              <w:rPr>
                <w:rFonts w:ascii="Times New Roman" w:cs="Times New Roman" w:eastAsia="Times New Roman" w:hAnsi="Times New Roman"/>
                <w:sz w:val="20"/>
                <w:szCs w:val="20"/>
                <w:color w:val="auto"/>
              </w:rPr>
              <w:t>98</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Milestone Pharmaceuticals Inc.</w:t>
      </w:r>
    </w:p>
    <w:p>
      <w:pPr>
        <w:spacing w:after="0" w:line="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Consolidated Statements of Shareholders’ Equity</w:t>
      </w: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US dollars, except share data)</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80" w:type="dxa"/>
            <w:vAlign w:val="bottom"/>
            <w:gridSpan w:val="5"/>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rPr>
              <w:t>Common Shares</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5"/>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Pre-funded warrants</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380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380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3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7"/>
              </w:rPr>
              <w:t>paid-in</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Balance as of December 31, 2023</w:t>
            </w:r>
          </w:p>
        </w:tc>
        <w:tc>
          <w:tcPr>
            <w:tcW w:w="96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of shares</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of warrants</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49"/>
        </w:trPr>
        <w:tc>
          <w:tcPr>
            <w:tcW w:w="3820" w:type="dxa"/>
            <w:vAlign w:val="bottom"/>
            <w:gridSpan w:val="2"/>
            <w:vMerge w:val="continue"/>
          </w:tcPr>
          <w:p>
            <w:pPr>
              <w:ind w:left="1720"/>
              <w:spacing w:after="0"/>
              <w:rPr>
                <w:sz w:val="20"/>
                <w:szCs w:val="20"/>
                <w:color w:val="auto"/>
              </w:rPr>
            </w:pPr>
            <w:r>
              <w:rPr>
                <w:rFonts w:ascii="Times New Roman" w:cs="Times New Roman" w:eastAsia="Times New Roman" w:hAnsi="Times New Roman"/>
                <w:sz w:val="12"/>
                <w:szCs w:val="12"/>
                <w:color w:val="auto"/>
              </w:rPr>
              <w:t>. . . . . . . . . . . . . . . . . . . . . . . .</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33,483,111</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260,504</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9,577,257</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48,459</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jc w:val="right"/>
              <w:ind w:right="35"/>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33,834</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(326,026)</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16,771</w:t>
            </w:r>
          </w:p>
        </w:tc>
        <w:tc>
          <w:tcPr>
            <w:tcW w:w="0" w:type="dxa"/>
            <w:vAlign w:val="bottom"/>
          </w:tcPr>
          <w:p>
            <w:pPr>
              <w:spacing w:after="0"/>
              <w:rPr>
                <w:sz w:val="1"/>
                <w:szCs w:val="1"/>
                <w:color w:val="auto"/>
              </w:rPr>
            </w:pPr>
          </w:p>
        </w:tc>
      </w:tr>
      <w:tr>
        <w:trPr>
          <w:trHeight w:val="28"/>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Transactions during 2024</w:t>
            </w:r>
          </w:p>
        </w:tc>
        <w:tc>
          <w:tcPr>
            <w:tcW w:w="9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3820" w:type="dxa"/>
            <w:vAlign w:val="bottom"/>
            <w:gridSpan w:val="2"/>
            <w:vMerge w:val="continue"/>
          </w:tcPr>
          <w:p>
            <w:pPr>
              <w:spacing w:after="0"/>
              <w:rPr>
                <w:sz w:val="8"/>
                <w:szCs w:val="8"/>
                <w:color w:val="auto"/>
              </w:rPr>
            </w:pPr>
          </w:p>
        </w:tc>
        <w:tc>
          <w:tcPr>
            <w:tcW w:w="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3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loss . . . . . . . . . . . . . . . . . . . . . . . . . . . . . . . . . . . . . . . . .</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(41,519)</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(41,519)</w:t>
            </w:r>
          </w:p>
        </w:tc>
        <w:tc>
          <w:tcPr>
            <w:tcW w:w="0" w:type="dxa"/>
            <w:vAlign w:val="bottom"/>
          </w:tcPr>
          <w:p>
            <w:pPr>
              <w:spacing w:after="0"/>
              <w:rPr>
                <w:sz w:val="1"/>
                <w:szCs w:val="1"/>
                <w:color w:val="auto"/>
              </w:rPr>
            </w:pPr>
          </w:p>
        </w:tc>
      </w:tr>
      <w:tr>
        <w:trPr>
          <w:trHeight w:val="139"/>
        </w:trPr>
        <w:tc>
          <w:tcPr>
            <w:tcW w:w="3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Exercise of stock options . . . . . . . . . . . . . . . . . . . . . . . . . . . . . .</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50,476</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0" w:type="dxa"/>
            <w:vAlign w:val="bottom"/>
          </w:tcPr>
          <w:p>
            <w:pPr>
              <w:spacing w:after="0"/>
              <w:rPr>
                <w:sz w:val="1"/>
                <w:szCs w:val="1"/>
                <w:color w:val="auto"/>
              </w:rPr>
            </w:pPr>
          </w:p>
        </w:tc>
      </w:tr>
      <w:tr>
        <w:trPr>
          <w:trHeight w:val="139"/>
        </w:trPr>
        <w:tc>
          <w:tcPr>
            <w:tcW w:w="3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Pre-funded warrants, net of issuance costs. . . . . . . . . . . . . . . . . . . .</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3,333,333</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4,617</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4,617</w:t>
            </w:r>
          </w:p>
        </w:tc>
        <w:tc>
          <w:tcPr>
            <w:tcW w:w="0" w:type="dxa"/>
            <w:vAlign w:val="bottom"/>
          </w:tcPr>
          <w:p>
            <w:pPr>
              <w:spacing w:after="0"/>
              <w:rPr>
                <w:sz w:val="1"/>
                <w:szCs w:val="1"/>
                <w:color w:val="auto"/>
              </w:rPr>
            </w:pPr>
          </w:p>
        </w:tc>
      </w:tr>
      <w:tr>
        <w:trPr>
          <w:trHeight w:val="139"/>
        </w:trPr>
        <w:tc>
          <w:tcPr>
            <w:tcW w:w="3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Share-based compensation . . . . . . . . . . . . . . . . . . . . . . . . . . . . .</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5,776</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5,776</w:t>
            </w:r>
          </w:p>
        </w:tc>
        <w:tc>
          <w:tcPr>
            <w:tcW w:w="0" w:type="dxa"/>
            <w:vAlign w:val="bottom"/>
          </w:tcPr>
          <w:p>
            <w:pPr>
              <w:spacing w:after="0"/>
              <w:rPr>
                <w:sz w:val="1"/>
                <w:szCs w:val="1"/>
                <w:color w:val="auto"/>
              </w:rPr>
            </w:pPr>
          </w:p>
        </w:tc>
      </w:tr>
      <w:tr>
        <w:trPr>
          <w:trHeight w:val="139"/>
        </w:trPr>
        <w:tc>
          <w:tcPr>
            <w:tcW w:w="3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Issuance of common shares, net of issuance costs . . . . . . . . . . . . . . .</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19,666,667</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27,258</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27,258</w:t>
            </w:r>
          </w:p>
        </w:tc>
        <w:tc>
          <w:tcPr>
            <w:tcW w:w="0" w:type="dxa"/>
            <w:vAlign w:val="bottom"/>
          </w:tcPr>
          <w:p>
            <w:pPr>
              <w:spacing w:after="0"/>
              <w:rPr>
                <w:sz w:val="1"/>
                <w:szCs w:val="1"/>
                <w:color w:val="auto"/>
              </w:rPr>
            </w:pPr>
          </w:p>
        </w:tc>
      </w:tr>
      <w:tr>
        <w:trPr>
          <w:trHeight w:val="138"/>
        </w:trPr>
        <w:tc>
          <w:tcPr>
            <w:tcW w:w="3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Employee stock purchase plan purchases . . . . . . . . . . . . . . . . . . . .</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153,730</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w:t>
            </w:r>
          </w:p>
        </w:tc>
        <w:tc>
          <w:tcPr>
            <w:tcW w:w="0" w:type="dxa"/>
            <w:vAlign w:val="bottom"/>
          </w:tcPr>
          <w:p>
            <w:pPr>
              <w:spacing w:after="0"/>
              <w:rPr>
                <w:sz w:val="1"/>
                <w:szCs w:val="1"/>
                <w:color w:val="auto"/>
              </w:rPr>
            </w:pPr>
          </w:p>
        </w:tc>
      </w:tr>
      <w:tr>
        <w:trPr>
          <w:trHeight w:val="28"/>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Balance as of December 31, 2024</w:t>
            </w:r>
          </w:p>
        </w:tc>
        <w:tc>
          <w:tcPr>
            <w:tcW w:w="960" w:type="dxa"/>
            <w:vAlign w:val="bottom"/>
            <w:tcBorders>
              <w:bottom w:val="single" w:sz="8" w:color="auto"/>
            </w:tcBorders>
          </w:tcPr>
          <w:p>
            <w:pPr>
              <w:spacing w:after="0"/>
              <w:rPr>
                <w:sz w:val="2"/>
                <w:szCs w:val="2"/>
                <w:color w:val="auto"/>
              </w:rPr>
            </w:pPr>
          </w:p>
        </w:tc>
        <w:tc>
          <w:tcPr>
            <w:tcW w:w="2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3820" w:type="dxa"/>
            <w:vAlign w:val="bottom"/>
            <w:gridSpan w:val="2"/>
            <w:vMerge w:val="continue"/>
          </w:tcPr>
          <w:p>
            <w:pPr>
              <w:ind w:left="1720"/>
              <w:spacing w:after="0" w:line="103" w:lineRule="exact"/>
              <w:rPr>
                <w:sz w:val="20"/>
                <w:szCs w:val="20"/>
                <w:color w:val="auto"/>
              </w:rPr>
            </w:pPr>
            <w:r>
              <w:rPr>
                <w:rFonts w:ascii="Times New Roman" w:cs="Times New Roman" w:eastAsia="Times New Roman" w:hAnsi="Times New Roman"/>
                <w:sz w:val="11"/>
                <w:szCs w:val="11"/>
                <w:color w:val="auto"/>
              </w:rPr>
              <w:t>. . . . . . . . . . . . . . . . . . . . . . . .</w:t>
            </w:r>
          </w:p>
        </w:tc>
        <w:tc>
          <w:tcPr>
            <w:tcW w:w="9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53,353,984</w:t>
            </w:r>
          </w:p>
        </w:tc>
        <w:tc>
          <w:tcPr>
            <w:tcW w:w="26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288,048</w:t>
            </w:r>
          </w:p>
        </w:tc>
        <w:tc>
          <w:tcPr>
            <w:tcW w:w="26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9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12,910,590</w:t>
            </w:r>
          </w:p>
        </w:tc>
        <w:tc>
          <w:tcPr>
            <w:tcW w:w="26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53,076</w:t>
            </w:r>
          </w:p>
        </w:tc>
        <w:tc>
          <w:tcPr>
            <w:tcW w:w="26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39,568</w:t>
            </w:r>
          </w:p>
        </w:tc>
        <w:tc>
          <w:tcPr>
            <w:tcW w:w="24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(367,545)</w:t>
            </w:r>
          </w:p>
        </w:tc>
        <w:tc>
          <w:tcPr>
            <w:tcW w:w="24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2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13,147</w:t>
            </w:r>
          </w:p>
        </w:tc>
        <w:tc>
          <w:tcPr>
            <w:tcW w:w="0" w:type="dxa"/>
            <w:vAlign w:val="bottom"/>
          </w:tcPr>
          <w:p>
            <w:pPr>
              <w:spacing w:after="0"/>
              <w:rPr>
                <w:sz w:val="1"/>
                <w:szCs w:val="1"/>
                <w:color w:val="auto"/>
              </w:rPr>
            </w:pPr>
          </w:p>
        </w:tc>
      </w:tr>
      <w:tr>
        <w:trPr>
          <w:trHeight w:val="252"/>
        </w:trPr>
        <w:tc>
          <w:tcPr>
            <w:tcW w:w="38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 xml:space="preserve">Balance as of December 31, 2024 </w:t>
            </w:r>
            <w:r>
              <w:rPr>
                <w:rFonts w:ascii="Times New Roman" w:cs="Times New Roman" w:eastAsia="Times New Roman" w:hAnsi="Times New Roman"/>
                <w:sz w:val="12"/>
                <w:szCs w:val="12"/>
                <w:color w:val="auto"/>
              </w:rPr>
              <w:t>. . . . . . . . . . . . . . . . . . . . . . . .</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53,353,984</w:t>
            </w:r>
          </w:p>
        </w:tc>
        <w:tc>
          <w:tcPr>
            <w:tcW w:w="500" w:type="dxa"/>
            <w:vAlign w:val="bottom"/>
            <w:gridSpan w:val="3"/>
          </w:tcPr>
          <w:p>
            <w:pPr>
              <w:jc w:val="right"/>
              <w:ind w:right="105"/>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288,048</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12,910,590</w:t>
            </w:r>
          </w:p>
        </w:tc>
        <w:tc>
          <w:tcPr>
            <w:tcW w:w="460" w:type="dxa"/>
            <w:vAlign w:val="bottom"/>
            <w:gridSpan w:val="3"/>
          </w:tcPr>
          <w:p>
            <w:pPr>
              <w:jc w:val="right"/>
              <w:ind w:right="65"/>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53,076</w:t>
            </w:r>
          </w:p>
        </w:tc>
        <w:tc>
          <w:tcPr>
            <w:tcW w:w="380" w:type="dxa"/>
            <w:vAlign w:val="bottom"/>
            <w:gridSpan w:val="3"/>
          </w:tcPr>
          <w:p>
            <w:pPr>
              <w:jc w:val="right"/>
              <w:ind w:right="35"/>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39,568</w:t>
            </w:r>
          </w:p>
        </w:tc>
        <w:tc>
          <w:tcPr>
            <w:tcW w:w="400" w:type="dxa"/>
            <w:vAlign w:val="bottom"/>
            <w:gridSpan w:val="3"/>
          </w:tcPr>
          <w:p>
            <w:pPr>
              <w:jc w:val="right"/>
              <w:ind w:right="25"/>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(367,545)</w:t>
            </w:r>
          </w:p>
        </w:tc>
        <w:tc>
          <w:tcPr>
            <w:tcW w:w="260" w:type="dxa"/>
            <w:vAlign w:val="bottom"/>
            <w:gridSpan w:val="2"/>
          </w:tcPr>
          <w:p>
            <w:pPr>
              <w:jc w:val="right"/>
              <w:ind w:right="125"/>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13,147</w:t>
            </w:r>
          </w:p>
        </w:tc>
        <w:tc>
          <w:tcPr>
            <w:tcW w:w="0" w:type="dxa"/>
            <w:vAlign w:val="bottom"/>
          </w:tcPr>
          <w:p>
            <w:pPr>
              <w:spacing w:after="0"/>
              <w:rPr>
                <w:sz w:val="1"/>
                <w:szCs w:val="1"/>
                <w:color w:val="auto"/>
              </w:rPr>
            </w:pPr>
          </w:p>
        </w:tc>
      </w:tr>
      <w:tr>
        <w:trPr>
          <w:trHeight w:val="28"/>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Transactions during 2025</w:t>
            </w:r>
          </w:p>
        </w:tc>
        <w:tc>
          <w:tcPr>
            <w:tcW w:w="9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3820" w:type="dxa"/>
            <w:vAlign w:val="bottom"/>
            <w:gridSpan w:val="2"/>
            <w:vMerge w:val="continue"/>
          </w:tcPr>
          <w:p>
            <w:pPr>
              <w:spacing w:after="0"/>
              <w:rPr>
                <w:sz w:val="8"/>
                <w:szCs w:val="8"/>
                <w:color w:val="auto"/>
              </w:rPr>
            </w:pPr>
          </w:p>
        </w:tc>
        <w:tc>
          <w:tcPr>
            <w:tcW w:w="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3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loss . . . . . . . . . . . . . . . . . . . . . . . . . . . . . . . . . . . . . . . . .</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(63,058)</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(63,058)</w:t>
            </w:r>
          </w:p>
        </w:tc>
        <w:tc>
          <w:tcPr>
            <w:tcW w:w="0" w:type="dxa"/>
            <w:vAlign w:val="bottom"/>
          </w:tcPr>
          <w:p>
            <w:pPr>
              <w:spacing w:after="0"/>
              <w:rPr>
                <w:sz w:val="1"/>
                <w:szCs w:val="1"/>
                <w:color w:val="auto"/>
              </w:rPr>
            </w:pPr>
          </w:p>
        </w:tc>
      </w:tr>
      <w:tr>
        <w:trPr>
          <w:trHeight w:val="139"/>
        </w:trPr>
        <w:tc>
          <w:tcPr>
            <w:tcW w:w="3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Exercise of stock options . . . . . . . . . . . . . . . . . . . . . . . . . . . . . .</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293,497</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776</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(332)</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444</w:t>
            </w:r>
          </w:p>
        </w:tc>
        <w:tc>
          <w:tcPr>
            <w:tcW w:w="0" w:type="dxa"/>
            <w:vAlign w:val="bottom"/>
          </w:tcPr>
          <w:p>
            <w:pPr>
              <w:spacing w:after="0"/>
              <w:rPr>
                <w:sz w:val="1"/>
                <w:szCs w:val="1"/>
                <w:color w:val="auto"/>
              </w:rPr>
            </w:pPr>
          </w:p>
        </w:tc>
      </w:tr>
      <w:tr>
        <w:trPr>
          <w:trHeight w:val="139"/>
        </w:trPr>
        <w:tc>
          <w:tcPr>
            <w:tcW w:w="3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Pre-funded warrants, net of issuance costs. . . . . . . . . . . . . . . . . . . .</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3,502,335</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2,573</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2,573</w:t>
            </w:r>
          </w:p>
        </w:tc>
        <w:tc>
          <w:tcPr>
            <w:tcW w:w="0" w:type="dxa"/>
            <w:vAlign w:val="bottom"/>
          </w:tcPr>
          <w:p>
            <w:pPr>
              <w:spacing w:after="0"/>
              <w:rPr>
                <w:sz w:val="1"/>
                <w:szCs w:val="1"/>
                <w:color w:val="auto"/>
              </w:rPr>
            </w:pPr>
          </w:p>
        </w:tc>
      </w:tr>
      <w:tr>
        <w:trPr>
          <w:trHeight w:val="139"/>
        </w:trPr>
        <w:tc>
          <w:tcPr>
            <w:tcW w:w="3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Share-based compensation . . . . . . . . . . . . . . . . . . . . . . . . . . . . .</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7,461</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7,461</w:t>
            </w:r>
          </w:p>
        </w:tc>
        <w:tc>
          <w:tcPr>
            <w:tcW w:w="0" w:type="dxa"/>
            <w:vAlign w:val="bottom"/>
          </w:tcPr>
          <w:p>
            <w:pPr>
              <w:spacing w:after="0"/>
              <w:rPr>
                <w:sz w:val="1"/>
                <w:szCs w:val="1"/>
                <w:color w:val="auto"/>
              </w:rPr>
            </w:pPr>
          </w:p>
        </w:tc>
      </w:tr>
      <w:tr>
        <w:trPr>
          <w:trHeight w:val="139"/>
        </w:trPr>
        <w:tc>
          <w:tcPr>
            <w:tcW w:w="3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Issuance of common shares, vesting of performance stock units . . . . . .</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895,500</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1,558</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(1,558)</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8"/>
        </w:trPr>
        <w:tc>
          <w:tcPr>
            <w:tcW w:w="3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Issuance of common shares, net of issuance costs . . . . . . . . . . . . . . .</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37,190,920</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37,587</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37,587</w:t>
            </w:r>
          </w:p>
        </w:tc>
        <w:tc>
          <w:tcPr>
            <w:tcW w:w="0" w:type="dxa"/>
            <w:vAlign w:val="bottom"/>
          </w:tcPr>
          <w:p>
            <w:pPr>
              <w:spacing w:after="0"/>
              <w:rPr>
                <w:sz w:val="1"/>
                <w:szCs w:val="1"/>
                <w:color w:val="auto"/>
              </w:rPr>
            </w:pPr>
          </w:p>
        </w:tc>
      </w:tr>
      <w:tr>
        <w:trPr>
          <w:trHeight w:val="139"/>
        </w:trPr>
        <w:tc>
          <w:tcPr>
            <w:tcW w:w="3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Issuance of Series A common stock warrants, net of issuance costs  . . .</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9,504</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9,504</w:t>
            </w:r>
          </w:p>
        </w:tc>
        <w:tc>
          <w:tcPr>
            <w:tcW w:w="0" w:type="dxa"/>
            <w:vAlign w:val="bottom"/>
          </w:tcPr>
          <w:p>
            <w:pPr>
              <w:spacing w:after="0"/>
              <w:rPr>
                <w:sz w:val="1"/>
                <w:szCs w:val="1"/>
                <w:color w:val="auto"/>
              </w:rPr>
            </w:pPr>
          </w:p>
        </w:tc>
      </w:tr>
      <w:tr>
        <w:trPr>
          <w:trHeight w:val="139"/>
        </w:trPr>
        <w:tc>
          <w:tcPr>
            <w:tcW w:w="3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Issuance of Series B common stock warrants, net of issuance costs . . . .</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13,416</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13,416</w:t>
            </w:r>
          </w:p>
        </w:tc>
        <w:tc>
          <w:tcPr>
            <w:tcW w:w="0" w:type="dxa"/>
            <w:vAlign w:val="bottom"/>
          </w:tcPr>
          <w:p>
            <w:pPr>
              <w:spacing w:after="0"/>
              <w:rPr>
                <w:sz w:val="1"/>
                <w:szCs w:val="1"/>
                <w:color w:val="auto"/>
              </w:rPr>
            </w:pPr>
          </w:p>
        </w:tc>
      </w:tr>
      <w:tr>
        <w:trPr>
          <w:trHeight w:val="139"/>
        </w:trPr>
        <w:tc>
          <w:tcPr>
            <w:tcW w:w="3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Exercise of Series A common stock warrants, net of issuance costs  . . .</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13,630,007</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22,919</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(3,700)</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19,219</w:t>
            </w:r>
          </w:p>
        </w:tc>
        <w:tc>
          <w:tcPr>
            <w:tcW w:w="0" w:type="dxa"/>
            <w:vAlign w:val="bottom"/>
          </w:tcPr>
          <w:p>
            <w:pPr>
              <w:spacing w:after="0"/>
              <w:rPr>
                <w:sz w:val="1"/>
                <w:szCs w:val="1"/>
                <w:color w:val="auto"/>
              </w:rPr>
            </w:pPr>
          </w:p>
        </w:tc>
      </w:tr>
      <w:tr>
        <w:trPr>
          <w:trHeight w:val="139"/>
        </w:trPr>
        <w:tc>
          <w:tcPr>
            <w:tcW w:w="3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Exercise of Series B common stock warrants, net of issuance costs . . . .</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666,666</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1,431</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1,176</w:t>
            </w:r>
          </w:p>
        </w:tc>
        <w:tc>
          <w:tcPr>
            <w:tcW w:w="0" w:type="dxa"/>
            <w:vAlign w:val="bottom"/>
          </w:tcPr>
          <w:p>
            <w:pPr>
              <w:spacing w:after="0"/>
              <w:rPr>
                <w:sz w:val="1"/>
                <w:szCs w:val="1"/>
                <w:color w:val="auto"/>
              </w:rPr>
            </w:pPr>
          </w:p>
        </w:tc>
      </w:tr>
      <w:tr>
        <w:trPr>
          <w:trHeight w:val="138"/>
        </w:trPr>
        <w:tc>
          <w:tcPr>
            <w:tcW w:w="3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Employee stock purchase plan purchases . . . . . . . . . . . . . . . . . . . .</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205,770</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w:t>
            </w:r>
          </w:p>
        </w:tc>
        <w:tc>
          <w:tcPr>
            <w:tcW w:w="0" w:type="dxa"/>
            <w:vAlign w:val="bottom"/>
          </w:tcPr>
          <w:p>
            <w:pPr>
              <w:spacing w:after="0"/>
              <w:rPr>
                <w:sz w:val="1"/>
                <w:szCs w:val="1"/>
                <w:color w:val="auto"/>
              </w:rPr>
            </w:pPr>
          </w:p>
        </w:tc>
      </w:tr>
      <w:tr>
        <w:trPr>
          <w:trHeight w:val="28"/>
        </w:trPr>
        <w:tc>
          <w:tcPr>
            <w:tcW w:w="38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Balance as of December 31, 2025</w:t>
            </w:r>
          </w:p>
        </w:tc>
        <w:tc>
          <w:tcPr>
            <w:tcW w:w="20" w:type="dxa"/>
            <w:vAlign w:val="bottom"/>
            <w:vMerge w:val="restart"/>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3800" w:type="dxa"/>
            <w:vAlign w:val="bottom"/>
            <w:vMerge w:val="continue"/>
          </w:tcPr>
          <w:p>
            <w:pPr>
              <w:ind w:left="1720"/>
              <w:spacing w:after="0" w:line="103" w:lineRule="exact"/>
              <w:rPr>
                <w:sz w:val="20"/>
                <w:szCs w:val="20"/>
                <w:color w:val="auto"/>
              </w:rPr>
            </w:pPr>
            <w:r>
              <w:rPr>
                <w:rFonts w:ascii="Times New Roman" w:cs="Times New Roman" w:eastAsia="Times New Roman" w:hAnsi="Times New Roman"/>
                <w:sz w:val="11"/>
                <w:szCs w:val="11"/>
                <w:color w:val="auto"/>
              </w:rPr>
              <w:t>. . . . . . . . . . . . . . . . . . . . . . . .</w:t>
            </w:r>
          </w:p>
        </w:tc>
        <w:tc>
          <w:tcPr>
            <w:tcW w:w="20" w:type="dxa"/>
            <w:vAlign w:val="bottom"/>
            <w:tcBorders>
              <w:bottom w:val="single" w:sz="8" w:color="auto"/>
            </w:tcBorders>
            <w:vMerge w:val="continue"/>
          </w:tcPr>
          <w:p>
            <w:pPr>
              <w:spacing w:after="0"/>
              <w:rPr>
                <w:sz w:val="12"/>
                <w:szCs w:val="12"/>
                <w:color w:val="auto"/>
              </w:rPr>
            </w:pPr>
          </w:p>
        </w:tc>
        <w:tc>
          <w:tcPr>
            <w:tcW w:w="96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106,236,344</w:t>
            </w:r>
          </w:p>
        </w:tc>
        <w:tc>
          <w:tcPr>
            <w:tcW w:w="260" w:type="dxa"/>
            <w:vAlign w:val="bottom"/>
            <w:vMerge w:val="continue"/>
          </w:tcPr>
          <w:p>
            <w:pPr>
              <w:spacing w:after="0"/>
              <w:rPr>
                <w:sz w:val="12"/>
                <w:szCs w:val="12"/>
                <w:color w:val="auto"/>
              </w:rPr>
            </w:pPr>
          </w:p>
        </w:tc>
        <w:tc>
          <w:tcPr>
            <w:tcW w:w="2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352,619</w:t>
            </w:r>
          </w:p>
        </w:tc>
        <w:tc>
          <w:tcPr>
            <w:tcW w:w="260" w:type="dxa"/>
            <w:vAlign w:val="bottom"/>
            <w:vMerge w:val="continue"/>
          </w:tcPr>
          <w:p>
            <w:pPr>
              <w:spacing w:after="0"/>
              <w:rPr>
                <w:sz w:val="12"/>
                <w:szCs w:val="12"/>
                <w:color w:val="auto"/>
              </w:rPr>
            </w:pPr>
          </w:p>
        </w:tc>
        <w:tc>
          <w:tcPr>
            <w:tcW w:w="20" w:type="dxa"/>
            <w:vAlign w:val="bottom"/>
            <w:tcBorders>
              <w:bottom w:val="single" w:sz="8" w:color="auto"/>
            </w:tcBorders>
            <w:vMerge w:val="continue"/>
          </w:tcPr>
          <w:p>
            <w:pPr>
              <w:spacing w:after="0"/>
              <w:rPr>
                <w:sz w:val="12"/>
                <w:szCs w:val="12"/>
                <w:color w:val="auto"/>
              </w:rPr>
            </w:pPr>
          </w:p>
        </w:tc>
        <w:tc>
          <w:tcPr>
            <w:tcW w:w="90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16,412,925</w:t>
            </w:r>
          </w:p>
        </w:tc>
        <w:tc>
          <w:tcPr>
            <w:tcW w:w="260" w:type="dxa"/>
            <w:vAlign w:val="bottom"/>
            <w:vMerge w:val="continue"/>
          </w:tcPr>
          <w:p>
            <w:pPr>
              <w:spacing w:after="0"/>
              <w:rPr>
                <w:sz w:val="12"/>
                <w:szCs w:val="12"/>
                <w:color w:val="auto"/>
              </w:rPr>
            </w:pPr>
          </w:p>
        </w:tc>
        <w:tc>
          <w:tcPr>
            <w:tcW w:w="2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55,649</w:t>
            </w:r>
          </w:p>
        </w:tc>
        <w:tc>
          <w:tcPr>
            <w:tcW w:w="260" w:type="dxa"/>
            <w:vAlign w:val="bottom"/>
            <w:vMerge w:val="continue"/>
          </w:tcPr>
          <w:p>
            <w:pPr>
              <w:spacing w:after="0"/>
              <w:rPr>
                <w:sz w:val="12"/>
                <w:szCs w:val="12"/>
                <w:color w:val="auto"/>
              </w:rPr>
            </w:pPr>
          </w:p>
        </w:tc>
        <w:tc>
          <w:tcPr>
            <w:tcW w:w="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64,104</w:t>
            </w:r>
          </w:p>
        </w:tc>
        <w:tc>
          <w:tcPr>
            <w:tcW w:w="240" w:type="dxa"/>
            <w:vAlign w:val="bottom"/>
            <w:vMerge w:val="continue"/>
          </w:tcPr>
          <w:p>
            <w:pPr>
              <w:spacing w:after="0"/>
              <w:rPr>
                <w:sz w:val="12"/>
                <w:szCs w:val="12"/>
                <w:color w:val="auto"/>
              </w:rPr>
            </w:pPr>
          </w:p>
        </w:tc>
        <w:tc>
          <w:tcPr>
            <w:tcW w:w="2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(430,603)</w:t>
            </w:r>
          </w:p>
        </w:tc>
        <w:tc>
          <w:tcPr>
            <w:tcW w:w="240" w:type="dxa"/>
            <w:vAlign w:val="bottom"/>
            <w:vMerge w:val="continue"/>
          </w:tcPr>
          <w:p>
            <w:pPr>
              <w:spacing w:after="0"/>
              <w:rPr>
                <w:sz w:val="12"/>
                <w:szCs w:val="12"/>
                <w:color w:val="auto"/>
              </w:rPr>
            </w:pPr>
          </w:p>
        </w:tc>
        <w:tc>
          <w:tcPr>
            <w:tcW w:w="2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2"/>
                <w:szCs w:val="12"/>
                <w:color w:val="auto"/>
              </w:rPr>
              <w:t>41,769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2421255</wp:posOffset>
                </wp:positionH>
                <wp:positionV relativeFrom="paragraph">
                  <wp:posOffset>-2184400</wp:posOffset>
                </wp:positionV>
                <wp:extent cx="61722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722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0.65pt,-172pt" to="239.25pt,-172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3206750</wp:posOffset>
                </wp:positionH>
                <wp:positionV relativeFrom="paragraph">
                  <wp:posOffset>-2184400</wp:posOffset>
                </wp:positionV>
                <wp:extent cx="79629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629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5pt,-172pt" to="315.2pt,-172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4171950</wp:posOffset>
                </wp:positionH>
                <wp:positionV relativeFrom="paragraph">
                  <wp:posOffset>-2184400</wp:posOffset>
                </wp:positionV>
                <wp:extent cx="582930"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293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8.5pt,-172pt" to="374.4pt,-172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4923155</wp:posOffset>
                </wp:positionH>
                <wp:positionV relativeFrom="paragraph">
                  <wp:posOffset>-2184400</wp:posOffset>
                </wp:positionV>
                <wp:extent cx="641985"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98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7.65pt,-172pt" to="438.2pt,-172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5732780</wp:posOffset>
                </wp:positionH>
                <wp:positionV relativeFrom="paragraph">
                  <wp:posOffset>-2184400</wp:posOffset>
                </wp:positionV>
                <wp:extent cx="57531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531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1.4pt,-172pt" to="496.7pt,-172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6475730</wp:posOffset>
                </wp:positionH>
                <wp:positionV relativeFrom="paragraph">
                  <wp:posOffset>-2184400</wp:posOffset>
                </wp:positionV>
                <wp:extent cx="69342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342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9.9pt,-172pt" to="564.5pt,-172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7338060</wp:posOffset>
                </wp:positionH>
                <wp:positionV relativeFrom="paragraph">
                  <wp:posOffset>-2184400</wp:posOffset>
                </wp:positionV>
                <wp:extent cx="69342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342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7.8pt,-172pt" to="632.4pt,-172pt" o:allowincell="f" strokecolor="#000000" strokeweight="0.4799pt"/>
            </w:pict>
          </mc:Fallback>
        </mc:AlternateConten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5480" w:h="11880" w:orient="landscape"/>
          <w:cols w:equalWidth="0" w:num="2">
            <w:col w:w="230" w:space="456"/>
            <w:col w:w="12640"/>
          </w:cols>
          <w:pgMar w:left="1114" w:top="1440" w:right="1040"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20"/>
          <w:szCs w:val="20"/>
          <w:b w:val="1"/>
          <w:bCs w:val="1"/>
          <w:color w:val="auto"/>
        </w:rPr>
        <w:t>Milestone Pharmaceuticals Inc.</w:t>
      </w: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US dollars)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76"/>
        </w:trPr>
        <w:tc>
          <w:tcPr>
            <w:tcW w:w="68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Cash flows used in operating activities</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0"/>
              <w:spacing w:after="0" w:line="176" w:lineRule="exact"/>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00"/>
              <w:spacing w:after="0" w:line="176" w:lineRule="exact"/>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57"/>
        </w:trPr>
        <w:tc>
          <w:tcPr>
            <w:tcW w:w="68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6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loss . . . . . . . . . . . . . . . . . . . . . . . . . . . . . . . . . . . . . . . . . . . . . . . . . . . . . . . . . . . . . . . . . . . . . . . . .</w:t>
            </w: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(63,058)</w:t>
            </w: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(41,519)</w:t>
            </w:r>
          </w:p>
        </w:tc>
        <w:tc>
          <w:tcPr>
            <w:tcW w:w="0" w:type="dxa"/>
            <w:vAlign w:val="bottom"/>
          </w:tcPr>
          <w:p>
            <w:pPr>
              <w:spacing w:after="0"/>
              <w:rPr>
                <w:sz w:val="1"/>
                <w:szCs w:val="1"/>
                <w:color w:val="auto"/>
              </w:rPr>
            </w:pPr>
          </w:p>
        </w:tc>
      </w:tr>
      <w:tr>
        <w:trPr>
          <w:trHeight w:val="185"/>
        </w:trPr>
        <w:tc>
          <w:tcPr>
            <w:tcW w:w="6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8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186"/>
        </w:trPr>
        <w:tc>
          <w:tcPr>
            <w:tcW w:w="6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Depreciation of property and equipment . . . . . . . . . . . . . . . . . . . . . . . . . . . . . . . . . . . . . . . . . . . . . . .</w:t>
            </w:r>
          </w:p>
        </w:tc>
        <w:tc>
          <w:tcPr>
            <w:tcW w:w="2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Amortization of debt costs . . . . . . . . . . . . . . . . . . . . . . . . . . . . . . . . . . . . . . . . . . . . . . . . . . . . . . . . .</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0" w:type="dxa"/>
            <w:vAlign w:val="bottom"/>
          </w:tcPr>
          <w:p>
            <w:pPr>
              <w:spacing w:after="0"/>
              <w:rPr>
                <w:sz w:val="1"/>
                <w:szCs w:val="1"/>
                <w:color w:val="auto"/>
              </w:rPr>
            </w:pPr>
          </w:p>
        </w:tc>
      </w:tr>
      <w:tr>
        <w:trPr>
          <w:trHeight w:val="185"/>
        </w:trPr>
        <w:tc>
          <w:tcPr>
            <w:tcW w:w="6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Accretion of investment discount . . . . . . . . . . . . . . . . . . . . . . . . . . . . . . . . . . . . . . . . . . . . . . . . . . . .</w:t>
            </w:r>
          </w:p>
        </w:tc>
        <w:tc>
          <w:tcPr>
            <w:tcW w:w="280" w:type="dxa"/>
            <w:vAlign w:val="bottom"/>
          </w:tcPr>
          <w:p>
            <w:pPr>
              <w:spacing w:after="0"/>
              <w:rPr>
                <w:sz w:val="16"/>
                <w:szCs w:val="16"/>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(81)</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0" w:type="dxa"/>
            <w:vAlign w:val="bottom"/>
          </w:tcPr>
          <w:p>
            <w:pPr>
              <w:spacing w:after="0"/>
              <w:rPr>
                <w:sz w:val="1"/>
                <w:szCs w:val="1"/>
                <w:color w:val="auto"/>
              </w:rPr>
            </w:pPr>
          </w:p>
        </w:tc>
      </w:tr>
      <w:tr>
        <w:trPr>
          <w:trHeight w:val="185"/>
        </w:trPr>
        <w:tc>
          <w:tcPr>
            <w:tcW w:w="6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Non-cash interest expense related to Senior Secured Convertible Note . . . . . . . . . . . . . . . . . . . . . . . . .</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3,407</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3,210</w:t>
            </w:r>
          </w:p>
        </w:tc>
        <w:tc>
          <w:tcPr>
            <w:tcW w:w="0" w:type="dxa"/>
            <w:vAlign w:val="bottom"/>
          </w:tcPr>
          <w:p>
            <w:pPr>
              <w:spacing w:after="0"/>
              <w:rPr>
                <w:sz w:val="1"/>
                <w:szCs w:val="1"/>
                <w:color w:val="auto"/>
              </w:rPr>
            </w:pPr>
          </w:p>
        </w:tc>
      </w:tr>
      <w:tr>
        <w:trPr>
          <w:trHeight w:val="185"/>
        </w:trPr>
        <w:tc>
          <w:tcPr>
            <w:tcW w:w="6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Share-based compensation expense . . . . . . . . . . . . . . . . . . . . . . . . . . . . . . . . . . . . . . . . . . . . . . . . . . .</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7,461</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5,776</w:t>
            </w:r>
          </w:p>
        </w:tc>
        <w:tc>
          <w:tcPr>
            <w:tcW w:w="0" w:type="dxa"/>
            <w:vAlign w:val="bottom"/>
          </w:tcPr>
          <w:p>
            <w:pPr>
              <w:spacing w:after="0"/>
              <w:rPr>
                <w:sz w:val="1"/>
                <w:szCs w:val="1"/>
                <w:color w:val="auto"/>
              </w:rPr>
            </w:pPr>
          </w:p>
        </w:tc>
      </w:tr>
      <w:tr>
        <w:trPr>
          <w:trHeight w:val="185"/>
        </w:trPr>
        <w:tc>
          <w:tcPr>
            <w:tcW w:w="6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Loss on disposals of property and equipment. . . . . . . . . . . . . . . . . . . . . . . . . . . . . . . . . . . . . . . . . . . .</w:t>
            </w:r>
          </w:p>
        </w:tc>
        <w:tc>
          <w:tcPr>
            <w:tcW w:w="280" w:type="dxa"/>
            <w:vAlign w:val="bottom"/>
          </w:tcPr>
          <w:p>
            <w:pPr>
              <w:spacing w:after="0"/>
              <w:rPr>
                <w:sz w:val="16"/>
                <w:szCs w:val="16"/>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85"/>
        </w:trPr>
        <w:tc>
          <w:tcPr>
            <w:tcW w:w="68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License receivable . . . . . . . . . . . . . . . . . . . . . . . . . . . . . . . . . . . . . . . . . . . . . . . . . . . . . . . . . . . .</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(1,546)</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5"/>
        </w:trPr>
        <w:tc>
          <w:tcPr>
            <w:tcW w:w="6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Other receivables  . . . . . . . . . . . . . . . . . . . . . . . . . . . . . . . . . . . . . . . . . . . . . . . . . . . . . . . . . . . .</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0" w:type="dxa"/>
            <w:vAlign w:val="bottom"/>
          </w:tcPr>
          <w:p>
            <w:pPr>
              <w:spacing w:after="0"/>
              <w:rPr>
                <w:sz w:val="1"/>
                <w:szCs w:val="1"/>
                <w:color w:val="auto"/>
              </w:rPr>
            </w:pPr>
          </w:p>
        </w:tc>
      </w:tr>
      <w:tr>
        <w:trPr>
          <w:trHeight w:val="185"/>
        </w:trPr>
        <w:tc>
          <w:tcPr>
            <w:tcW w:w="6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Research and development tax credits receivable . . . . . . . . . . . . . . . . . . . . . . . . . . . . . . . . . . . . . .</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0" w:type="dxa"/>
            <w:vAlign w:val="bottom"/>
          </w:tcPr>
          <w:p>
            <w:pPr>
              <w:spacing w:after="0"/>
              <w:rPr>
                <w:sz w:val="1"/>
                <w:szCs w:val="1"/>
                <w:color w:val="auto"/>
              </w:rPr>
            </w:pPr>
          </w:p>
        </w:tc>
      </w:tr>
      <w:tr>
        <w:trPr>
          <w:trHeight w:val="185"/>
        </w:trPr>
        <w:tc>
          <w:tcPr>
            <w:tcW w:w="6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Prepaid expenses . . . . . . . . . . . . . . . . . . . . . . . . . . . . . . . . . . . . . . . . . . . . . . . . . . . . . . . . . . . . .</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w:t>
            </w:r>
          </w:p>
        </w:tc>
        <w:tc>
          <w:tcPr>
            <w:tcW w:w="0" w:type="dxa"/>
            <w:vAlign w:val="bottom"/>
          </w:tcPr>
          <w:p>
            <w:pPr>
              <w:spacing w:after="0"/>
              <w:rPr>
                <w:sz w:val="1"/>
                <w:szCs w:val="1"/>
                <w:color w:val="auto"/>
              </w:rPr>
            </w:pPr>
          </w:p>
        </w:tc>
      </w:tr>
      <w:tr>
        <w:trPr>
          <w:trHeight w:val="185"/>
        </w:trPr>
        <w:tc>
          <w:tcPr>
            <w:tcW w:w="6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Inventory . . . . . . . . . . . . . . . . . . . . . . . . . . . . . . . . . . . . . . . . . . . . . . . . . . . . . . . . . . . . . . . . . . .</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5"/>
        </w:trPr>
        <w:tc>
          <w:tcPr>
            <w:tcW w:w="6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Operating lease assets and liabilities . . . . . . . . . . . . . . . . . . . . . . . . . . . . . . . . . . . . . . . . . . . . . . .</w:t>
            </w:r>
          </w:p>
        </w:tc>
        <w:tc>
          <w:tcPr>
            <w:tcW w:w="280" w:type="dxa"/>
            <w:vAlign w:val="bottom"/>
          </w:tcPr>
          <w:p>
            <w:pPr>
              <w:spacing w:after="0"/>
              <w:rPr>
                <w:sz w:val="16"/>
                <w:szCs w:val="16"/>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(12)</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3"/>
        </w:trPr>
        <w:tc>
          <w:tcPr>
            <w:tcW w:w="6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Accounts payable and accrued liabilities . . . . . . . . . . . . . . . . . . . . . . . . . . . . . . . . . . . . . . . . . . . .</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4,432</w:t>
            </w:r>
          </w:p>
        </w:tc>
        <w:tc>
          <w:tcPr>
            <w:tcW w:w="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0" w:type="dxa"/>
            <w:vAlign w:val="bottom"/>
          </w:tcPr>
          <w:p>
            <w:pPr>
              <w:spacing w:after="0"/>
              <w:rPr>
                <w:sz w:val="1"/>
                <w:szCs w:val="1"/>
                <w:color w:val="auto"/>
              </w:rPr>
            </w:pPr>
          </w:p>
        </w:tc>
      </w:tr>
      <w:tr>
        <w:trPr>
          <w:trHeight w:val="359"/>
        </w:trPr>
        <w:tc>
          <w:tcPr>
            <w:tcW w:w="6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Net cash used in operating activities . . . . . . . . . . . . . . . . . . . . . . . . . . . . . . . . . . . . . . . . . . . . . . . . . . .</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(49,041)</w:t>
            </w:r>
          </w:p>
        </w:tc>
        <w:tc>
          <w:tcPr>
            <w:tcW w:w="2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(28,848)</w:t>
            </w:r>
          </w:p>
        </w:tc>
        <w:tc>
          <w:tcPr>
            <w:tcW w:w="0" w:type="dxa"/>
            <w:vAlign w:val="bottom"/>
          </w:tcPr>
          <w:p>
            <w:pPr>
              <w:spacing w:after="0"/>
              <w:rPr>
                <w:sz w:val="1"/>
                <w:szCs w:val="1"/>
                <w:color w:val="auto"/>
              </w:rPr>
            </w:pPr>
          </w:p>
        </w:tc>
      </w:tr>
      <w:tr>
        <w:trPr>
          <w:trHeight w:val="343"/>
        </w:trPr>
        <w:tc>
          <w:tcPr>
            <w:tcW w:w="6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provided by investing activities</w:t>
            </w:r>
          </w:p>
        </w:tc>
        <w:tc>
          <w:tcPr>
            <w:tcW w:w="280" w:type="dxa"/>
            <w:vAlign w:val="bottom"/>
          </w:tcPr>
          <w:p>
            <w:pPr>
              <w:spacing w:after="0"/>
              <w:rPr>
                <w:sz w:val="24"/>
                <w:szCs w:val="24"/>
                <w:color w:val="auto"/>
              </w:rPr>
            </w:pPr>
          </w:p>
        </w:tc>
        <w:tc>
          <w:tcPr>
            <w:tcW w:w="12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6"/>
                <w:szCs w:val="16"/>
                <w:color w:val="auto"/>
              </w:rPr>
              <w:t>(302)</w:t>
            </w:r>
          </w:p>
        </w:tc>
        <w:tc>
          <w:tcPr>
            <w:tcW w:w="28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185"/>
        </w:trPr>
        <w:tc>
          <w:tcPr>
            <w:tcW w:w="6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Acquisition of property and equipment . . . . . . . . . . . . . . . . . . . . . . . . . . . . . . . . . . . . . . . . . . . . . . . . .</w:t>
            </w: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Acquisition of short-term investments . . . . . . . . . . . . . . . . . . . . . . . . . . . . . . . . . . . . . . . . . . . . . . . . . .</w:t>
            </w:r>
          </w:p>
        </w:tc>
        <w:tc>
          <w:tcPr>
            <w:tcW w:w="280" w:type="dxa"/>
            <w:vAlign w:val="bottom"/>
          </w:tcPr>
          <w:p>
            <w:pPr>
              <w:spacing w:after="0"/>
              <w:rPr>
                <w:sz w:val="16"/>
                <w:szCs w:val="16"/>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(82,918)</w:t>
            </w: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(113,554)</w:t>
            </w:r>
          </w:p>
        </w:tc>
        <w:tc>
          <w:tcPr>
            <w:tcW w:w="0" w:type="dxa"/>
            <w:vAlign w:val="bottom"/>
          </w:tcPr>
          <w:p>
            <w:pPr>
              <w:spacing w:after="0"/>
              <w:rPr>
                <w:sz w:val="1"/>
                <w:szCs w:val="1"/>
                <w:color w:val="auto"/>
              </w:rPr>
            </w:pPr>
          </w:p>
        </w:tc>
      </w:tr>
      <w:tr>
        <w:trPr>
          <w:trHeight w:val="202"/>
        </w:trPr>
        <w:tc>
          <w:tcPr>
            <w:tcW w:w="6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Redemption of short-term investments. . . . . . . . . . . . . . . . . . . . . . . . . . . . . . . . . . . . . . . . . . . . . . . . . .</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94,466</w:t>
            </w:r>
          </w:p>
        </w:tc>
        <w:tc>
          <w:tcPr>
            <w:tcW w:w="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121,870</w:t>
            </w:r>
          </w:p>
        </w:tc>
        <w:tc>
          <w:tcPr>
            <w:tcW w:w="0" w:type="dxa"/>
            <w:vAlign w:val="bottom"/>
          </w:tcPr>
          <w:p>
            <w:pPr>
              <w:spacing w:after="0"/>
              <w:rPr>
                <w:sz w:val="1"/>
                <w:szCs w:val="1"/>
                <w:color w:val="auto"/>
              </w:rPr>
            </w:pPr>
          </w:p>
        </w:tc>
      </w:tr>
      <w:tr>
        <w:trPr>
          <w:trHeight w:val="360"/>
        </w:trPr>
        <w:tc>
          <w:tcPr>
            <w:tcW w:w="6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Net cash provided by investing activities . . . . . . . . . . . . . . . . . . . . . . . . . . . . . . . . . . . . . . . . . . . . . . . .</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11,246</w:t>
            </w:r>
          </w:p>
        </w:tc>
        <w:tc>
          <w:tcPr>
            <w:tcW w:w="2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8,283</w:t>
            </w:r>
          </w:p>
        </w:tc>
        <w:tc>
          <w:tcPr>
            <w:tcW w:w="0" w:type="dxa"/>
            <w:vAlign w:val="bottom"/>
          </w:tcPr>
          <w:p>
            <w:pPr>
              <w:spacing w:after="0"/>
              <w:rPr>
                <w:sz w:val="1"/>
                <w:szCs w:val="1"/>
                <w:color w:val="auto"/>
              </w:rPr>
            </w:pPr>
          </w:p>
        </w:tc>
      </w:tr>
      <w:tr>
        <w:trPr>
          <w:trHeight w:val="343"/>
        </w:trPr>
        <w:tc>
          <w:tcPr>
            <w:tcW w:w="6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provided by financing activities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6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Proceeds from exercise of options . . . . . . . . . . . . . . . . . . . . . . . . . . . . . . . . . . . . . . . . . . . . . . . . . . . . .</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185"/>
        </w:trPr>
        <w:tc>
          <w:tcPr>
            <w:tcW w:w="6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Proceeds from issuance of common shares, net of issuance costs . . . . . . . . . . . . . . . . . . . . . . . . . . . . . .</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37,593</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27,258</w:t>
            </w:r>
          </w:p>
        </w:tc>
        <w:tc>
          <w:tcPr>
            <w:tcW w:w="0" w:type="dxa"/>
            <w:vAlign w:val="bottom"/>
          </w:tcPr>
          <w:p>
            <w:pPr>
              <w:spacing w:after="0"/>
              <w:rPr>
                <w:sz w:val="1"/>
                <w:szCs w:val="1"/>
                <w:color w:val="auto"/>
              </w:rPr>
            </w:pPr>
          </w:p>
        </w:tc>
      </w:tr>
      <w:tr>
        <w:trPr>
          <w:trHeight w:val="185"/>
        </w:trPr>
        <w:tc>
          <w:tcPr>
            <w:tcW w:w="6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Proceeds from issuance of pre-funded warrants, net of issuance costs . . . . . . . . . . . . . . . . . . . . . . . . . . .</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2,573</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4,617</w:t>
            </w:r>
          </w:p>
        </w:tc>
        <w:tc>
          <w:tcPr>
            <w:tcW w:w="0" w:type="dxa"/>
            <w:vAlign w:val="bottom"/>
          </w:tcPr>
          <w:p>
            <w:pPr>
              <w:spacing w:after="0"/>
              <w:rPr>
                <w:sz w:val="1"/>
                <w:szCs w:val="1"/>
                <w:color w:val="auto"/>
              </w:rPr>
            </w:pPr>
          </w:p>
        </w:tc>
      </w:tr>
      <w:tr>
        <w:trPr>
          <w:trHeight w:val="185"/>
        </w:trPr>
        <w:tc>
          <w:tcPr>
            <w:tcW w:w="6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Proceeds from issuance of series A common stock warrants, net of issuance costs . . . . . . . . . . . . . . . . . .</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9,504</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5"/>
        </w:trPr>
        <w:tc>
          <w:tcPr>
            <w:tcW w:w="6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Proceeds from issuance of series B common stock warrants, net of issuance costs . . . . . . . . . . . . . . . . . .</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13,416</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5"/>
        </w:trPr>
        <w:tc>
          <w:tcPr>
            <w:tcW w:w="6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Proceeds from exercise of series A warrants, net of issuance costs . . . . . . . . . . . . . . . . . . . . . . . . . . . . .</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20,446</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6"/>
        </w:trPr>
        <w:tc>
          <w:tcPr>
            <w:tcW w:w="6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Proceeds from exercise of series B warrants, net of issuance costs . . . . . . . . . . . . . . . . . . . . . . . . . . . . .</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6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Proceeds from employee stock purchase plan . . . . . . . . . . . . . . . . . . . . . . . . . . . . . . . . . . . . . . . . . . . . .</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0" w:type="dxa"/>
            <w:vAlign w:val="bottom"/>
          </w:tcPr>
          <w:p>
            <w:pPr>
              <w:spacing w:after="0"/>
              <w:rPr>
                <w:sz w:val="1"/>
                <w:szCs w:val="1"/>
                <w:color w:val="auto"/>
              </w:rPr>
            </w:pPr>
          </w:p>
        </w:tc>
      </w:tr>
      <w:tr>
        <w:trPr>
          <w:trHeight w:val="359"/>
        </w:trPr>
        <w:tc>
          <w:tcPr>
            <w:tcW w:w="6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Cash provided by financing activities . . . . . . . . . . . . . . . . . . . . . . . . . . . . . . . . . . . . . . . . . . . . . . . . . . .</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85,527</w:t>
            </w:r>
          </w:p>
        </w:tc>
        <w:tc>
          <w:tcPr>
            <w:tcW w:w="2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32,119</w:t>
            </w:r>
          </w:p>
        </w:tc>
        <w:tc>
          <w:tcPr>
            <w:tcW w:w="0" w:type="dxa"/>
            <w:vAlign w:val="bottom"/>
          </w:tcPr>
          <w:p>
            <w:pPr>
              <w:spacing w:after="0"/>
              <w:rPr>
                <w:sz w:val="1"/>
                <w:szCs w:val="1"/>
                <w:color w:val="auto"/>
              </w:rPr>
            </w:pPr>
          </w:p>
        </w:tc>
      </w:tr>
      <w:tr>
        <w:trPr>
          <w:trHeight w:val="376"/>
        </w:trPr>
        <w:tc>
          <w:tcPr>
            <w:tcW w:w="6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 xml:space="preserve">Net increase in cash and cash equivalents </w:t>
            </w:r>
            <w:r>
              <w:rPr>
                <w:rFonts w:ascii="Times New Roman" w:cs="Times New Roman" w:eastAsia="Times New Roman" w:hAnsi="Times New Roman"/>
                <w:sz w:val="16"/>
                <w:szCs w:val="16"/>
                <w:color w:val="auto"/>
              </w:rPr>
              <w:t>. . . . . . . . . . . . . . . . . . . . . . . . . . . . . . . . . . . . . . . . . . . . . .</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47,732</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11,554</w:t>
            </w:r>
          </w:p>
        </w:tc>
        <w:tc>
          <w:tcPr>
            <w:tcW w:w="0" w:type="dxa"/>
            <w:vAlign w:val="bottom"/>
          </w:tcPr>
          <w:p>
            <w:pPr>
              <w:spacing w:after="0"/>
              <w:rPr>
                <w:sz w:val="1"/>
                <w:szCs w:val="1"/>
                <w:color w:val="auto"/>
              </w:rPr>
            </w:pPr>
          </w:p>
        </w:tc>
      </w:tr>
      <w:tr>
        <w:trPr>
          <w:trHeight w:val="354"/>
        </w:trPr>
        <w:tc>
          <w:tcPr>
            <w:tcW w:w="6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 xml:space="preserve">Cash and cash equivalents – Beginning of period </w:t>
            </w:r>
            <w:r>
              <w:rPr>
                <w:rFonts w:ascii="Times New Roman" w:cs="Times New Roman" w:eastAsia="Times New Roman" w:hAnsi="Times New Roman"/>
                <w:sz w:val="16"/>
                <w:szCs w:val="16"/>
                <w:color w:val="auto"/>
              </w:rPr>
              <w:t>. . . . . . . . . . . . . . . . . . . . . . . . . . . . . . . . . . . . . . . .</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25,314</w:t>
            </w:r>
          </w:p>
        </w:tc>
        <w:tc>
          <w:tcPr>
            <w:tcW w:w="2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13,760</w:t>
            </w:r>
          </w:p>
        </w:tc>
        <w:tc>
          <w:tcPr>
            <w:tcW w:w="0" w:type="dxa"/>
            <w:vAlign w:val="bottom"/>
          </w:tcPr>
          <w:p>
            <w:pPr>
              <w:spacing w:after="0"/>
              <w:rPr>
                <w:sz w:val="1"/>
                <w:szCs w:val="1"/>
                <w:color w:val="auto"/>
              </w:rPr>
            </w:pPr>
          </w:p>
        </w:tc>
      </w:tr>
      <w:tr>
        <w:trPr>
          <w:trHeight w:val="370"/>
        </w:trPr>
        <w:tc>
          <w:tcPr>
            <w:tcW w:w="684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 xml:space="preserve">Cash and cash equivalents – End of period </w:t>
            </w:r>
            <w:r>
              <w:rPr>
                <w:rFonts w:ascii="Times New Roman" w:cs="Times New Roman" w:eastAsia="Times New Roman" w:hAnsi="Times New Roman"/>
                <w:sz w:val="16"/>
                <w:szCs w:val="16"/>
                <w:color w:val="auto"/>
              </w:rPr>
              <w:t>. . . . . . . . . . . . . . . . . . . . . . . . . . . . . . . . . . . . . . . . . . . . .</w:t>
            </w: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73,046</w:t>
            </w:r>
          </w:p>
        </w:tc>
        <w:tc>
          <w:tcPr>
            <w:tcW w:w="280" w:type="dxa"/>
            <w:vAlign w:val="bottom"/>
          </w:tcPr>
          <w:p>
            <w:pPr>
              <w:spacing w:after="0"/>
              <w:rPr>
                <w:sz w:val="24"/>
                <w:szCs w:val="24"/>
                <w:color w:val="auto"/>
              </w:rPr>
            </w:pPr>
          </w:p>
        </w:tc>
        <w:tc>
          <w:tcPr>
            <w:tcW w:w="2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25,314</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480" w:orient="portrait"/>
          <w:cols w:equalWidth="0" w:num="1">
            <w:col w:w="9720"/>
          </w:cols>
          <w:pgMar w:left="1080" w:top="1061"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1880" w:h="15480" w:orient="portrait"/>
          <w:cols w:equalWidth="0" w:num="1">
            <w:col w:w="9720"/>
          </w:cols>
          <w:pgMar w:left="1080" w:top="1061" w:right="1080" w:bottom="544" w:gutter="0" w:footer="0" w:header="0"/>
          <w:type w:val="continuous"/>
        </w:sectPr>
      </w:pPr>
    </w:p>
    <w:bookmarkStart w:id="101" w:name="page102"/>
    <w:bookmarkEnd w:id="101"/>
    <w:p>
      <w:pPr>
        <w:jc w:val="center"/>
        <w:spacing w:after="0"/>
        <w:rPr>
          <w:sz w:val="20"/>
          <w:szCs w:val="20"/>
          <w:color w:val="auto"/>
        </w:rPr>
      </w:pPr>
      <w:r>
        <w:rPr>
          <w:rFonts w:ascii="Times New Roman" w:cs="Times New Roman" w:eastAsia="Times New Roman" w:hAnsi="Times New Roman"/>
          <w:sz w:val="20"/>
          <w:szCs w:val="20"/>
          <w:b w:val="1"/>
          <w:bCs w:val="1"/>
          <w:color w:val="auto"/>
        </w:rPr>
        <w:t>Milestone Pharmaceuticals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US dollars, except share and per share data)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Organization and Nature of Operations</w:t>
      </w:r>
    </w:p>
    <w:p>
      <w:pPr>
        <w:spacing w:after="0" w:line="12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Milestone Pharmaceuticals Inc., or “Milestone,” or the “Company,” is a biopharmaceutical company incorporated under the </w:t>
      </w:r>
      <w:r>
        <w:rPr>
          <w:rFonts w:ascii="Times New Roman" w:cs="Times New Roman" w:eastAsia="Times New Roman" w:hAnsi="Times New Roman"/>
          <w:sz w:val="20"/>
          <w:szCs w:val="20"/>
          <w:i w:val="1"/>
          <w:iCs w:val="1"/>
          <w:color w:val="auto"/>
        </w:rPr>
        <w:t>Business Corporations Act</w:t>
      </w:r>
      <w:r>
        <w:rPr>
          <w:rFonts w:ascii="Times New Roman" w:cs="Times New Roman" w:eastAsia="Times New Roman" w:hAnsi="Times New Roman"/>
          <w:sz w:val="20"/>
          <w:szCs w:val="20"/>
          <w:color w:val="auto"/>
        </w:rPr>
        <w:t xml:space="preserve"> (Québec). Milestone’s headquarters is currently located in Montréal (Québec), Canada. The Company’s common shares began trading on The Nasdaq Global Select Market on May 9, 2019, and trade under the symbol “MIST”. Milestone is focused on the development and commercialization of cardiovascular medicines. Milestone’s lead product candidate, etripamil, is a novel, potent rapid-onset calcium channel blocker that the Company designed and is developing as a rapid - onset nasal spray to be administered by patients. On December 12, 2025, CARDAMYST™ (etripamil) was approved by the U.S. Food and Drug Administration, or “FDA,” to treat paroxysmal supraventricular tachycardia, or “PSVT.” The Company is also developing etripamil for the treatment of atrial fibrillation, or “AFib,” and other cardiovascular indications.</w:t>
      </w:r>
    </w:p>
    <w:p>
      <w:pPr>
        <w:spacing w:after="0" w:line="184" w:lineRule="exact"/>
        <w:rPr>
          <w:sz w:val="20"/>
          <w:szCs w:val="20"/>
          <w:color w:val="auto"/>
        </w:rPr>
      </w:pPr>
    </w:p>
    <w:p>
      <w:pPr>
        <w:ind w:right="5760" w:firstLine="7"/>
        <w:spacing w:after="0" w:line="491" w:lineRule="auto"/>
        <w:tabs>
          <w:tab w:leader="none" w:pos="200" w:val="left"/>
        </w:tabs>
        <w:numPr>
          <w:ilvl w:val="0"/>
          <w:numId w:val="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Summary of Significant Accounting Policies a) Basis of consolidation</w:t>
      </w:r>
    </w:p>
    <w:p>
      <w:pPr>
        <w:spacing w:after="0" w:line="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The consolidated financial statements include the accounts of the Company and Milestone Pharmaceuticals USA, Inc. All intercompany transactions and balances have been eliminated.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 Basis of Presentation and Use of Accounting Estimates</w:t>
      </w:r>
    </w:p>
    <w:p>
      <w:pPr>
        <w:spacing w:after="0" w:line="24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These consolidated financial statements of the Company have been presented in United States dollars (USD) and have been prepared in accordance with accounting principles generally accepted in the United States of America, or “U.S. GAAP,” including the applicable rules and regulations of the Securities and Exchange Commission (SEC) regarding financial reporting.</w:t>
      </w:r>
    </w:p>
    <w:p>
      <w:pPr>
        <w:spacing w:after="0" w:line="18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The preparation of consolidated financial statements in conformity with U.S. GAAP requires the Company to make estimates and judgments that affect certain reported amounts of assets and liabilities and disclosure of contingent assets and liabilities at the date of the consolidated financial statements and the reported amounts of revenue and expenses during the year. The Company bases its estimates and assumptions on current facts, historical experience and various other factors that it believes are reasonable under the circumstances, to determine the carrying values of assets and liabilities that are not readily apparent from other sources. Significant estimates and judgments include, but are not limited to,</w:t>
      </w:r>
    </w:p>
    <w:p>
      <w:pPr>
        <w:spacing w:after="0" w:line="184" w:lineRule="exact"/>
        <w:rPr>
          <w:sz w:val="20"/>
          <w:szCs w:val="20"/>
          <w:color w:val="auto"/>
        </w:rPr>
      </w:pPr>
    </w:p>
    <w:p>
      <w:pPr>
        <w:ind w:left="1080"/>
        <w:spacing w:after="0" w:line="253" w:lineRule="auto"/>
        <w:rPr>
          <w:sz w:val="20"/>
          <w:szCs w:val="20"/>
          <w:color w:val="auto"/>
        </w:rPr>
      </w:pPr>
      <w:r>
        <w:rPr>
          <w:rFonts w:ascii="Times New Roman" w:cs="Times New Roman" w:eastAsia="Times New Roman" w:hAnsi="Times New Roman"/>
          <w:sz w:val="20"/>
          <w:szCs w:val="20"/>
          <w:color w:val="auto"/>
        </w:rPr>
        <w:t>Estimates of the percentage of work completed of the total work over the life of the individual trial in accordance with agreements established with clinical research organizations, or “CROs,” contract manufacturing organizations, or “CMOs,” and clinical trial sites which in turn impact the research &amp; development expenses.</w:t>
      </w:r>
    </w:p>
    <w:p>
      <w:pPr>
        <w:spacing w:after="0" w:line="190" w:lineRule="exact"/>
        <w:rPr>
          <w:sz w:val="20"/>
          <w:szCs w:val="20"/>
          <w:color w:val="auto"/>
        </w:rPr>
      </w:pPr>
    </w:p>
    <w:p>
      <w:pPr>
        <w:ind w:left="1080"/>
        <w:spacing w:after="0" w:line="280" w:lineRule="auto"/>
        <w:rPr>
          <w:sz w:val="20"/>
          <w:szCs w:val="20"/>
          <w:color w:val="auto"/>
        </w:rPr>
      </w:pPr>
      <w:r>
        <w:rPr>
          <w:rFonts w:ascii="Times New Roman" w:cs="Times New Roman" w:eastAsia="Times New Roman" w:hAnsi="Times New Roman"/>
          <w:sz w:val="20"/>
          <w:szCs w:val="20"/>
          <w:color w:val="auto"/>
        </w:rPr>
        <w:t>Estimate of the grant date fair value of share options granted to employees, consultants and directors, and the resulting share-based compensation expense, using the Black Scholes option pricing model.</w:t>
      </w:r>
    </w:p>
    <w:p>
      <w:pPr>
        <w:spacing w:after="0" w:line="16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Estimates and assumptions about future events and their effects cannot be determined with certainty and therefore require the exercise of judgment. As of the date of issuance of these consolidated financial statements, the Company is not aware of any specific event or circumstance that would require the Company to update its estimates, assumptions and judgments.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consolidated financial statements.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 Segment Information</w:t>
      </w:r>
    </w:p>
    <w:p>
      <w:pPr>
        <w:spacing w:after="0" w:line="24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Company manages its operations as a single operating segment for the purposes of assessing performance and making operating decisions. See Note 20, “Segment Reporting.”</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ectPr>
          <w:pgSz w:w="11880" w:h="15480" w:orient="portrait"/>
          <w:cols w:equalWidth="0" w:num="1">
            <w:col w:w="9720"/>
          </w:cols>
          <w:pgMar w:left="1080" w:top="456" w:right="1080" w:bottom="544"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20"/>
          <w:szCs w:val="20"/>
          <w:b w:val="1"/>
          <w:bCs w:val="1"/>
          <w:color w:val="auto"/>
        </w:rPr>
        <w:t>Milestone Pharmaceuticals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US dollars, except share and per share data)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 Revenue Recognition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Collaborative Arrangements</w:t>
      </w:r>
    </w:p>
    <w:p>
      <w:pPr>
        <w:spacing w:after="0" w:line="23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The Company considers the nature and contractual terms of arrangements and assesses whether an arrangement involves a joint operating activity pursuant to which the Company is an active participant and is exposed to significant risks and rewards dependent on the commercial success of the activity. If the Company is an active participant and is exposed to significant risks and rewards dependent on the commercial success of the activity, the Company accounts for such an arrangement as a collaborative arrangement under Accounting Standards Codification, or “ASC” 808, </w:t>
      </w:r>
      <w:r>
        <w:rPr>
          <w:rFonts w:ascii="Times New Roman" w:cs="Times New Roman" w:eastAsia="Times New Roman" w:hAnsi="Times New Roman"/>
          <w:sz w:val="20"/>
          <w:szCs w:val="20"/>
          <w:i w:val="1"/>
          <w:iCs w:val="1"/>
          <w:color w:val="auto"/>
        </w:rPr>
        <w:t>Collaborative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Arrangements</w:t>
      </w:r>
      <w:r>
        <w:rPr>
          <w:rFonts w:ascii="Times New Roman" w:cs="Times New Roman" w:eastAsia="Times New Roman" w:hAnsi="Times New Roman"/>
          <w:sz w:val="20"/>
          <w:szCs w:val="20"/>
          <w:color w:val="auto"/>
        </w:rPr>
        <w:t>, or “ASC 808,” which requires that certain transactions between the Company and collaborators be recorded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in its consolidated statements of loss on either a gross basis or net basis, depending on the characteristics of the collaborative relationship, and requires enhanced disclosure of collaborative relationships. The Company evaluates its collaboration agreements for proper classification in its consolidated statements of loss based on the nature of the underlying activity. If payments to and from collaborative partners are not within the scope of other authoritative accounting literature, the consolidated statements of loss classification for the payments is based on a reasonable, rational analogy to authoritative accounting literature that is applied in a consistent manner. If the Company concludes that it has a customer relationship with one of its collaborators, the Company follows the guidance in ASC Topic 606, </w:t>
      </w:r>
      <w:r>
        <w:rPr>
          <w:rFonts w:ascii="Times New Roman" w:cs="Times New Roman" w:eastAsia="Times New Roman" w:hAnsi="Times New Roman"/>
          <w:sz w:val="20"/>
          <w:szCs w:val="20"/>
          <w:i w:val="1"/>
          <w:iCs w:val="1"/>
          <w:color w:val="auto"/>
        </w:rPr>
        <w:t>Revenue From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Contracts With Customers</w:t>
      </w:r>
      <w:r>
        <w:rPr>
          <w:rFonts w:ascii="Times New Roman" w:cs="Times New Roman" w:eastAsia="Times New Roman" w:hAnsi="Times New Roman"/>
          <w:sz w:val="20"/>
          <w:szCs w:val="20"/>
          <w:color w:val="auto"/>
        </w:rPr>
        <w:t>, or “ASC 606.”</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 from Contracts with Customers</w:t>
      </w:r>
    </w:p>
    <w:p>
      <w:pPr>
        <w:spacing w:after="0" w:line="23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In accordance with ASC 606, revenue is recognized when a customer obtains control of promised goods or services. The amount of revenue recognized reflects the consideration to which the Company expects to be entitled in exchange for these goods and services. To achieve this core principle, the Company applies the following five steps: 1) identify the customer contract; 2) identify the contract’s performance obligations; 3) determine the transaction price; 4) allocate the transaction price to the performance obligations; and 5) recognize revenue when or as a performance obligation is satisfied. The Company evaluates all promised goods and services within a customer contract and determines which of such goods and services are separate performance obligations. This evaluation includes an assessment of whether the good or service is capable of being distinct and whether the good or service is separable from other promises in the contract.</w:t>
      </w:r>
    </w:p>
    <w:p>
      <w:pPr>
        <w:spacing w:after="0" w:line="18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In assessing whether promised goods or services in licensing arrangements are distinct, the Company considers factors such as the stage of development of the underlying intellectual property and the capabilities of the customer to develop the intellectual property on their own or whether the required expertise is readily available. Licensing arrangements are analyzed to determine whether the promised goods or services, which often include licenses, research and development services and governance committee services, are distinct or whether they must be accounted for as part of a combined performance obligation. If the license is considered not to be distinct, the license would then be combined with other promised goods or services as a combined performance obligation. If the Company is involved in a governance committee, it assesses whether its involvement constitutes a separate performance obligation. When governance committee services are determined to be separate performance obligations, the Company determines the fair value to be allocated to this promised service. Certain contracts contain optional and additional items, which are considered marketing offers and are accounted for as separate contracts with the customer if such option is elected by the customer, unless the option provides a material right which would not be provided without entering into the contract. An option that is considered a material right is accounted for as a separate performance obligation. The transaction price is determined based on the consideration to which the Company will be entitled in exchange for transferring goods and services to the customer. A contract may contain variable consideration, including potential payments for both milestone and research and development services. For certain potential milestone payments, the Company estimates the amount of variable consideration by using the most likely amount method. In making this assessment, the Company evaluates factors such as the clinical, regulatory, commercial and other risks that must be overcome to achieve the milestone. Each reporting period the Company re-evaluates the probability of achievement of such variable consideration and any related constraints. Milestone will include variable consideration, without constraint, in the transaction price to the extent it is probable that a significant reversal in the amount of cumulative revenue recognized will not occur when the uncertainty associated with the variable consideration is subsequently resolved.</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ectPr>
          <w:pgSz w:w="11880" w:h="15480" w:orient="portrait"/>
          <w:cols w:equalWidth="0" w:num="1">
            <w:col w:w="9720"/>
          </w:cols>
          <w:pgMar w:left="1080" w:top="456" w:right="1080" w:bottom="544"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20"/>
          <w:szCs w:val="20"/>
          <w:b w:val="1"/>
          <w:bCs w:val="1"/>
          <w:color w:val="auto"/>
        </w:rPr>
        <w:t>Milestone Pharmaceuticals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US dollars, except share and per share data)</w:t>
      </w:r>
    </w:p>
    <w:p>
      <w:pPr>
        <w:spacing w:after="0" w:line="22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If the contract contains a single performance obligation, the entire transaction price is allocated to the single performance obligation. Contracts that contain multiple performance obligations require an allocation of the transaction price among the performance obligations on a relative standalone selling price basis unless a portion of the transaction price is variable and meets the criteria to be allocated entirely to a performance obligation or to a distinct good or service that forms part of a single performance obligation.</w:t>
      </w:r>
    </w:p>
    <w:p>
      <w:pPr>
        <w:spacing w:after="0" w:line="19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 allocates the transaction price based on the estimated standalone selling price of the underlying performance obligations or in the case of certain variable consideration to one or more performance obligations. The Company must develop assumptions that require judgment to determine the stand-alone selling price for each performance obligation identified in the contract. The Company utilizes key assumptions to determine the stand-alone selling price, which may include other comparable transactions, pricing considered in negotiating the transaction and the estimated costs to complete the respective performance obligation. Certain variable consideration is allocated specifically to one or more performance obligations in a contract when the terms of the variable consideration relate to the satisfaction of the performance obligation and the resulting amounts allocated to each performance obligation are consistent with the amount the Company would expect to receive for each performance obligation.</w:t>
      </w:r>
    </w:p>
    <w:p>
      <w:pPr>
        <w:spacing w:after="0" w:line="19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When a performance obligation is satisfied, revenue is recognized for the amount of the transaction price, excluding estimates of variable consideration that are constrained, that is allocated to that performance obligation on a relative standalone selling price basis. Significant management judgment is required in determining the level of effort required under an arrangement and the period over which the Company is expected to complete its performance obligations under an arrangement.</w:t>
      </w:r>
    </w:p>
    <w:p>
      <w:pPr>
        <w:spacing w:after="0" w:line="19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For performance obligations consisting of licenses and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 refundable, up-front fees. The Company evaluates the measure of progress each reporting period and, if necessary, adjusts the measure of performance and related revenue recognition. If the license to the Company’s intellectual property is determined to be distinct from the other performance obligations identified in the arrangement, the Company will recognize revenue from non-refundable, up-front fees allocated to the license at the point in time when the license is transferred to the customer and the customer is able to use and benefit from the license.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 Cash and Cash Equivalents</w:t>
      </w:r>
    </w:p>
    <w:p>
      <w:pPr>
        <w:spacing w:after="0" w:line="24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Cash and cash equivalents consist of cash and highly liquid investments that are readily convertible into cash with original maturities of 90 days or less at acquisition date.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 Short-Term Investments</w:t>
      </w:r>
    </w:p>
    <w:p>
      <w:pPr>
        <w:spacing w:after="0" w:line="24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Short-term investments are classified as held-to-maturity, are initially recognized at fair value and are subsequently accounted for at amortized cost. They are comprised of guaranteed investment certificates with a maturity greater than 90 days but less than one year and, as such, are classified as current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 Concentration Risks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Concentration of Credit Risk</w:t>
      </w:r>
    </w:p>
    <w:p>
      <w:pPr>
        <w:spacing w:after="0" w:line="23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Financial instruments that potentially subject the Company to concentration of credit risk consist primarily of cash and cash equivalents and investment securities classified as held-to-maturity. The Company maintains deposits at major financial institutions and such amounts may exceed those amounts insured by the Federal Deposit Insurance Corporation, or the “FDIC.” The Company has not experienced any losses on its deposits since inception, and the Company believes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ectPr>
          <w:pgSz w:w="11880" w:h="15480" w:orient="portrait"/>
          <w:cols w:equalWidth="0" w:num="1">
            <w:col w:w="9720"/>
          </w:cols>
          <w:pgMar w:left="1080" w:top="456" w:right="1080" w:bottom="544"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20"/>
          <w:szCs w:val="20"/>
          <w:b w:val="1"/>
          <w:bCs w:val="1"/>
          <w:color w:val="auto"/>
        </w:rPr>
        <w:t>Milestone Pharmaceuticals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US dollars, except share and per share data)</w:t>
      </w:r>
    </w:p>
    <w:p>
      <w:pPr>
        <w:spacing w:after="0" w:line="22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that minimal credit risk exists with respect to these financial institutions. Additionally, the Company has adopted an investment policy that includes guidelines relative to credit quality, diversification of maturities and liquidity.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Concentration of Supplier Risk</w:t>
      </w:r>
    </w:p>
    <w:p>
      <w:pPr>
        <w:spacing w:after="0" w:line="23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The Company relies on a single source manufacturer for starting materials and active pharmaceutical ingredient, or “API,” packaging components, and packaged pharmaceutical product ready for commercial sale.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 Currency Risk</w:t>
      </w:r>
    </w:p>
    <w:p>
      <w:pPr>
        <w:spacing w:after="0" w:line="24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The Company is exposed to currency risk due to financial instruments denominated in foreign currencies. The Company is exposed to the Canadian dollar currency risk and does not enter into arrangements to hedge its currency risk exposure.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 Inventory</w:t>
      </w:r>
    </w:p>
    <w:p>
      <w:pPr>
        <w:spacing w:after="0" w:line="2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Inventory is stated at the lower of cost or net realizable value, with cost determined on a first - in, first - out, or “FIFO,” basis. Inventory costs include raw materials, work - in - process, finished goods, and applicable manufacturing overhead. Raw materials include starting materials used to manufacture the API. Work - in - process includes API, intermediate compounding steps, and bulk drug product. Finished goods include packaging components and the packaged pharmaceutical product ready for commercial sale.</w:t>
      </w:r>
    </w:p>
    <w:p>
      <w:pPr>
        <w:spacing w:after="0" w:line="19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Prior to the FDA’s approval of CARDAMYST on December 12, 2025, costs associated with manufacturing pre - approval commercial batches and clinical materials were expensed as research and development expenses in accordance with our accounting policy and SAB Topic 5A, as the product had not yet received regulatory approval and therefore did not meet the criteria for capitalization. Following FDA approval, we began capitalizing inventory related to CARDAMYST manufactured after the approval date. Inventory produced prior to approval and previously expensed as research and development remains recorded at a zero - cost basis and is excluded from the inventory balance.</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Because our inventory is subject to expiration, the Company evaluates its carrying value each reporting period and records allowances for any estimated excess, obsolete, short - dated, or otherwise unmarketable inventory. In accordance with regulatory requirements and current Good Manufacturing Practices, or “cGMP,” our inventory is also subject to strict quality control and monitoring throughout the manufacturing process. If certain batches or units do not meet quality specifications, we would write down the related inventory to its estimated net realizable value and record the expense as a cost of production in the Consolidated Statement of Loss. Inventory valuation adjustments require judgment and consideration of various factors, including forecasted demand, remaining shelf life, and quality assessments, among others.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j) Property and Equipment</w:t>
      </w:r>
    </w:p>
    <w:p>
      <w:pPr>
        <w:spacing w:after="0" w:line="24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Property and equipment is stated at historical cost less accumulated depreciation. Expenditures for maintenance and repairs are recorded to expense as incurred. The Company reviews its property and equipment whenever events or changes in circumstances indicate that the carrying value of certain assets might not be recoverable and recognizes an impairment loss when it is probable that an asset’s realizable value is less than the carrying value. To date, no such impairment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ectPr>
          <w:pgSz w:w="11880" w:h="15480" w:orient="portrait"/>
          <w:cols w:equalWidth="0" w:num="1">
            <w:col w:w="9720"/>
          </w:cols>
          <w:pgMar w:left="1080" w:top="456" w:right="1080" w:bottom="544"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20"/>
          <w:szCs w:val="20"/>
          <w:b w:val="1"/>
          <w:bCs w:val="1"/>
          <w:color w:val="auto"/>
        </w:rPr>
        <w:t>Milestone Pharmaceuticals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US dollars, except share and per share data)</w:t>
      </w:r>
    </w:p>
    <w:p>
      <w:pPr>
        <w:spacing w:after="0" w:line="226"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20"/>
          <w:szCs w:val="20"/>
          <w:color w:val="auto"/>
        </w:rPr>
        <w:t>have been recorded. Depreciation is calculated using the straight - line method over the following estimated useful lives of the assets:</w:t>
      </w:r>
    </w:p>
    <w:p>
      <w:pPr>
        <w:sectPr>
          <w:pgSz w:w="11880" w:h="15480" w:orient="portrait"/>
          <w:cols w:equalWidth="0" w:num="1">
            <w:col w:w="9720"/>
          </w:cols>
          <w:pgMar w:left="1080" w:top="456" w:right="1080" w:bottom="544" w:gutter="0" w:footer="0" w:header="0"/>
        </w:sectPr>
      </w:pP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Computer hardware and software . . . . . . . . . . . . . . . . . . . . . . . . . . . . . . . . . . . . . . . . . . . . . . . . . . . . .</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Office equipment. . . . . . . . . . . . . . . . . . . . . . . . . . . . . . . . . . . . . . . . . . . . . . . . . . . . . . . . . . . . . . . . . . .</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Furniture and fixtures . . . . . . . . . . . . . . . . . . . . . . . . . . . . . . . . . . . . . . . . . . . . . . . . . . . . . . . . . . . . . . .</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Leasehold improvements . . . . . . . . . . . . . . . . . . . . . . . . . . . . . . . . . . . . . . . . . . . . . . . . . . . . . . . . . . . .</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 years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 years</w:t>
      </w:r>
    </w:p>
    <w:p>
      <w:pPr>
        <w:spacing w:after="0"/>
        <w:rPr>
          <w:sz w:val="20"/>
          <w:szCs w:val="20"/>
          <w:color w:val="auto"/>
        </w:rPr>
      </w:pPr>
      <w:r>
        <w:rPr>
          <w:rFonts w:ascii="Times New Roman" w:cs="Times New Roman" w:eastAsia="Times New Roman" w:hAnsi="Times New Roman"/>
          <w:sz w:val="20"/>
          <w:szCs w:val="20"/>
          <w:color w:val="auto"/>
        </w:rPr>
        <w:t>5 years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over the lease term</w:t>
      </w:r>
    </w:p>
    <w:p>
      <w:pPr>
        <w:spacing w:after="0" w:line="200" w:lineRule="exact"/>
        <w:rPr>
          <w:sz w:val="20"/>
          <w:szCs w:val="20"/>
          <w:color w:val="auto"/>
        </w:rPr>
      </w:pPr>
    </w:p>
    <w:p>
      <w:pPr>
        <w:sectPr>
          <w:pgSz w:w="11880" w:h="15480" w:orient="portrait"/>
          <w:cols w:equalWidth="0" w:num="2">
            <w:col w:w="7820" w:space="300"/>
            <w:col w:w="1600"/>
          </w:cols>
          <w:pgMar w:left="1080" w:top="456" w:right="1080" w:bottom="544"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 Leases</w:t>
      </w:r>
    </w:p>
    <w:p>
      <w:pPr>
        <w:spacing w:after="0" w:line="24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At the inception of an arrangement, the Company determines whether the arrangement is or contains a lease based on the unique facts and circumstances present in the arrangement. Leases with a term greater than one year are recognized on the balance sheet as right-of-use assets and short-term and long-term lease liabilities, as applicable. The Company does not have financing leases.</w:t>
      </w:r>
    </w:p>
    <w:p>
      <w:pPr>
        <w:spacing w:after="0" w:line="19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Operating lease liabilities and their corresponding right-of-use assets are initially recorded based on the present value of lease payments over the expected remaining lease term. Right-out-use assets are subsequently accounted for as long-lived assets, including evaluating for indicators of impairment. Certain adjustments to the right-of-use asset may be required for items such as incentives received. The interest rate implicit in lease contracts is typically not readily determinable. As a result, the Company utilizes its incremental borrowing rate to discount lease payments, which reflects the fixed rate at which the Company could borrow on a collateralized basis the amount of the lease payments in the same currency, for a similar term, in a similar economic environment. Prospectively, the Company will adjust the right-of-use assets for straight-line rent expense, or any incentives received, and remeasure the lease liability at the net present value using the same incremental borrowing rate that was in effect as of the lease commencement or transition date.</w:t>
      </w:r>
    </w:p>
    <w:p>
      <w:pPr>
        <w:spacing w:after="0" w:line="18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Company has elected not to recognize leases with an original term of one year or less on the balance sheet. The Company typically only includes an initial lease term in its assessment of a lease arrangement. Options to renew a lease are not included in the Company’s assessment unless there is reasonable certainty that the Company will renew.</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 Pre-funded Warrants</w:t>
      </w:r>
    </w:p>
    <w:p>
      <w:pPr>
        <w:spacing w:after="0" w:line="2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Pre- funded warrants allow the holder to pay little or no consideration to receive the shares upon exercise of the warrant. The pre-funded warrants do not meet the definition of a derivative under ASC 815, </w:t>
      </w:r>
      <w:r>
        <w:rPr>
          <w:rFonts w:ascii="Times New Roman" w:cs="Times New Roman" w:eastAsia="Times New Roman" w:hAnsi="Times New Roman"/>
          <w:sz w:val="20"/>
          <w:szCs w:val="20"/>
          <w:i w:val="1"/>
          <w:iCs w:val="1"/>
          <w:color w:val="auto"/>
        </w:rPr>
        <w:t>Derivatives and Hedging,</w:t>
      </w:r>
      <w:r>
        <w:rPr>
          <w:rFonts w:ascii="Times New Roman" w:cs="Times New Roman" w:eastAsia="Times New Roman" w:hAnsi="Times New Roman"/>
          <w:sz w:val="20"/>
          <w:szCs w:val="20"/>
          <w:color w:val="auto"/>
        </w:rPr>
        <w:t xml:space="preserve"> because their fair value at issuance is equal to the fair value of the shares underlying the warrant. As such, they have the characteristics of a prepaid forward sale of equity. As a result, the pre-funded warrants are accounted for as equity instruments.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 Share and Debt Issuance Costs</w:t>
      </w:r>
    </w:p>
    <w:p>
      <w:pPr>
        <w:spacing w:after="0" w:line="24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Share issuance costs include legal fees, accounting fees, sales agent commissions, broker and underwriting fees, and other direct costs incurred in connection with the issuance of equity instruments. Share issuance costs are recorded as a reduction of the financing equity proceeds.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Debt issuance costs include legal fees, accounting fees, and other direct costs incurred in connection with the execution of our debt financing. Debt discounts represent costs paid to the lenders. Debt issuance costs and debt discounts are deducted from the carrying amount of the debt liability and are amortized to interest expense over the term of the related debt using the effective interest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ectPr>
          <w:pgSz w:w="11880" w:h="15480" w:orient="portrait"/>
          <w:cols w:equalWidth="0" w:num="1">
            <w:col w:w="9720"/>
          </w:cols>
          <w:pgMar w:left="1080" w:top="456" w:right="1080" w:bottom="544" w:gutter="0" w:footer="0" w:header="0"/>
          <w:type w:val="continuous"/>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0"/>
          <w:szCs w:val="20"/>
          <w:b w:val="1"/>
          <w:bCs w:val="1"/>
          <w:color w:val="auto"/>
        </w:rPr>
        <w:t>Milestone Pharmaceuticals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US dollars, except share and per share data)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 Research and Development and Investment Tax Credits</w:t>
      </w:r>
    </w:p>
    <w:p>
      <w:pPr>
        <w:spacing w:after="0" w:line="24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Research and development costs are charged to expense as costs are incurred in performing research and development activities. The Company’s research and development costs consist primarily of salaries and fees paid to contract research organizations, or “CROs” and non-capitalizable costs paid to contract manufacturing organizations, or “CMOs.”</w:t>
      </w:r>
    </w:p>
    <w:p>
      <w:pPr>
        <w:spacing w:after="0" w:line="18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Clinical trial expenses include direct costs associated with CROs, direct CMO costs for the formulation and packaging of clinical trial material, as well as investigator and patient related costs at sites at which the Company’s trials are being conducted. Direct costs associated with the Company’s CROs and CMOs are generally payable on a time and materials basis, or when milestones are achieved. The invoicing from clinical trial sites can lag several months. The Company records expenses for its clinical trial activities performed by third parties based upon estimates of the percentage of work completed of the total work over the life of the individual study in accordance with agreements established with CROs and clinical trial sites. The Company determines the estimates through discussions with internal clinical personnel, CROs and CMOs as to the progress or stage of completion of trials or services and the agreed upon fee to be paid for such services based on facts and circumstances known to the Company as of each consolidated balance sheet date. The actual costs and timing of clinical trials are highly uncertain, subject to risks and may change depending upon a number of factors, including the Company’s clinical development plan. If the actual timing of the performance of services of the level of effort varies from the estimate, the Company will adjust the accrual accordingly.</w:t>
      </w:r>
    </w:p>
    <w:p>
      <w:pPr>
        <w:spacing w:after="0" w:line="20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The Company recognizes the benefit of Canadian research and development tax credits as a reduction of research and development costs for fully refundable investment tax credits and as a reduction of income taxes for investment tax credits that can only be claimed against income taxes payable when there is reasonable assurance that the claim will be recovered.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 Income Taxes</w:t>
      </w:r>
    </w:p>
    <w:p>
      <w:pPr>
        <w:spacing w:after="0" w:line="2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The provision for income taxes is computed using the liability method. Under this method, deferred tax assets and liabilities are determined based on differences between financial reporting and tax bases of assets and liabilities. Deferred tax assets and liabilities are measured using enacted tax rates and laws that will be in effect when the differences are expected to reverse. A valuation allowance is recorded to reduce the carrying amount of deferred income tax assets until when it is more likely than not that these assets will be realized. Tax benefits related to tax positions not deemed to meet the “more likely than not” threshold are not permitted to be recognized in the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 Foreign Currency Translation and Transactions</w:t>
      </w:r>
    </w:p>
    <w:p>
      <w:pPr>
        <w:spacing w:after="0" w:line="24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functional currency of the Company is the U.S. dollar. Accordingly, transactions denominated in currencies other than the functional currency are measured and recorded in the functional currency at the exchange rate in effect on the date of the transactions. At each consolidated balance sheet date, monetary assets and liabilities denominated in currencies other than the functional currency are remeasured using the exchange rate in effect at that date. Non - monetary assets and liabilities and revenue and expense items denominated in foreign currencies are translated into the functional currency using the exchange rate prevailing at the dates of the respective transactions. Any gains or losses arising on remeasurement are included in the consolidated statement of loss.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q) Share-Based Compensation</w:t>
      </w:r>
    </w:p>
    <w:p>
      <w:pPr>
        <w:spacing w:after="0" w:line="24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Company has a share-based compensation plan which is described in detail in Note 9, “Shareholders’ Equity,” and records all share - based payments, including grants of employee share options, performance stock options, or “PSOs,” restricted stock units, or “RSUs,” and performance stock units, or “PSUs, based on the fair value of the awards as of the grant date. The fair value of share options granted to employees and non - employees is estimated at the date of grant using the Black - Scholes option pricing model. The fair value of RSUs and PSUs with performance-based vesting conditions is calculated using the closing price of the Company’s common stock on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ectPr>
          <w:pgSz w:w="11880" w:h="15480" w:orient="portrait"/>
          <w:cols w:equalWidth="0" w:num="1">
            <w:col w:w="9720"/>
          </w:cols>
          <w:pgMar w:left="1080" w:top="456" w:right="1080" w:bottom="544"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20"/>
          <w:szCs w:val="20"/>
          <w:b w:val="1"/>
          <w:bCs w:val="1"/>
          <w:color w:val="auto"/>
        </w:rPr>
        <w:t>Milestone Pharmaceuticals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US dollars, except share and per share data)</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Company recognizes share-based compensation expense over the requisite service period of the award, which equals the vesting period, using the straight - line method, with expense for PSUs and PSOs with performance-based vesting conditions, adjusted based on the likelihood of future achievement of the performance metrics.</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Forfeitures, if any, are recorded as they occur. Any consideration paid by employees on exercising share options and the corresponding portion previously credited to contributed surplus are credited to share capital. The Black - Scholes option pricing model used by the Company to calculate option values was developed to estimate fair value.</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approved an employee share purchase plan in April 2019, which became effective on May 8, 2019, and is described in Note 10, “Share-Based Compensation.” The plan provides a means by which eligible employees of the Company may be given an opportunity to purchase common shares. The plan permits the Company to grant a series of purchase rights to eligible employees under an employee stock purchase plan.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 Recent Accounting Pronouncements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New Accounting Pronouncements - Issued and Adopted</w:t>
      </w:r>
    </w:p>
    <w:p>
      <w:pPr>
        <w:spacing w:after="0" w:line="23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 December 2023, the FASB issued ASU 2023-09, Income Taxes (Topic 740): Improvements to Income Tax Disclosures, or “ASU 2023-09.” The amendments in this update require that public business entities on an annual basis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The amendments also require entities on an annual basis to disclose disaggregated amounts of income taxes paid. ASU 2023-09 is effective for annual periods beginning after December 15, 2024. The Company adopted ASU 2023-09 for the year ended December 31, 2025, as documented in Note 13, “Income Taxes.”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New Accounting Pronouncements - Issued but Not Yet Adopted</w:t>
      </w:r>
    </w:p>
    <w:p>
      <w:pPr>
        <w:spacing w:after="0" w:line="23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 November 2024, the FASB issued ASU 2024-03 “Income Statement: Reporting Comprehensive Income— Expense Disaggregation Disclosures,” which requires more detailed information about specified categories of expenses (purchases of inventory, employee compensation, depreciation, amortization, and depletion) included in certain expense captions presented on the face of the income statement, as well as disclosures about selling expenses. This ASU is effective for fiscal years beginning after December 15, 2026, and for interim periods within fiscal years beginning after December 15, 2027. Early adoption is permitted. The amendments may be applied either (1) prospectively to financial statements issued for reporting periods after the effective date of this ASU or (2) retrospectively to all prior periods presented in the financial statements. The Company is currently evaluating this guidance to determine the impact it may have on its financial statement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 Significant Risks and Uncertainties</w:t>
      </w:r>
    </w:p>
    <w:p>
      <w:pPr>
        <w:spacing w:after="0" w:line="24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 is subject to challenges and risks specific to its business and its ability to execute on its strategy, as well as risks and uncertainties common to companies in the pharmaceutical industry, including, without limitation, risks and uncertainties associated with: commercializing CARDAMYST; procuring inventory given our reliance on a concentrated supplier base, delays or problems in the supply of its study drug or failure to comply with manufacturing regulations; identifying, acquiring or in-licensing product candidates; pharmaceutical product development and the inherent uncertainty of clinical success; and the challenges of protecting and enhancing its intellectual property rights; and complying with applicable regulatory requirements.</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Further, the Company may be impacted by general economic, political, and market conditions, including deteriorating market conditions due to investor concerns regarding inflation, armed conflicts, and overall fluctuations in the financial markets in the U.S. and abroad.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ectPr>
          <w:pgSz w:w="11880" w:h="15480" w:orient="portrait"/>
          <w:cols w:equalWidth="0" w:num="1">
            <w:col w:w="9720"/>
          </w:cols>
          <w:pgMar w:left="1080" w:top="456" w:right="1080" w:bottom="544"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20"/>
          <w:szCs w:val="20"/>
          <w:b w:val="1"/>
          <w:bCs w:val="1"/>
          <w:color w:val="auto"/>
        </w:rPr>
        <w:t>Milestone Pharmaceuticals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US dollars, except share and per share data)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 Sources of Liquidity and Funding Requirements</w:t>
      </w:r>
    </w:p>
    <w:p>
      <w:pPr>
        <w:spacing w:after="0" w:line="24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 has incurred operating losses and experienced negative operating cash flows since its inception and expect to incur additional costs in connection with commercialization in 2026. The Company intends to finance its commercialization and working capital needs from existing cash, potential proceeds from the commercialization of CARDAMYST, royalty revenue, the exercise of outstanding common stock options and warrants to purchase common stock, and existing and future licensing and commercial partnership agreements. As of December 31, 2025, the Company had cash and cash equivalents and short-term investments of $106.0 million and an accumulated deficit of $430.6 million. The Company believes that its cash, cash equivalents and short-term investments as of December 31, 2025, will be sufficient to allow the Company to fund its planned operations for at least the next 12 months from the date of this Annual Report on Form 10-K.</w:t>
      </w:r>
    </w:p>
    <w:p>
      <w:pPr>
        <w:spacing w:after="0" w:line="18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 has historically financed its operations primarily through the sale of equity securities, convertible notes, short-term investments, and from cash received pursuant to its license agreement. To date, the Company has not generated any revenue from product sales. Management expects operating losses and negative cash flows from operations to continue for the foreseeable future. There can be no assurance that, in the event the Company requires additional financing, such financing will be available at terms acceptable to the Company, if at all. Failure to generate sufficient cash flows from operations, raise additional capital and reduce discretionary spending should additional capital not become available could have a material adverse effect on the Company’s ability to achieve its business objectives.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Revenue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 Company recorded license revenue of $1.5 million for the year ended December 31, 2025, and no revenue for the year ended December 31, 2024. The license revenue for the year ended December 31, 2025 was the result of having reached a milestone pursuant to our License and Collaboration Agreement, dated May 15, 2021, with Corxel Pharmaceuticals, or “Corxel,” formerly known as Ji Xing Pharmaceuticals Limited (such party “Ji Xing” and, such agreement, the “Ji Xing License Agreement”) due upon approval of the NDA for CARDAMYST by the FDA in the United States.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Strategic Partnerships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Corxel Pharmaceuticals</w:t>
      </w:r>
    </w:p>
    <w:p>
      <w:pPr>
        <w:spacing w:after="0" w:line="22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On May 15, 2021, the Company entered into the License Agreement with Corxel, which is an entity affiliated with RTW Investments, LP, or “RTW,” a beneficial owner of approximately 2.9% of the Company’s common shares, as of December 31, 2025. Under the License Agreement, the Company granted Corxel exclusive development and commercialization rights to any pharmaceutical product that uses a device to deliver etripamil by nasal spray for all prophylactic and therapeutic uses in humans in the People’s Republic of China, or the “Territory,” including mainland China, Hong Kong Special Administrative Region, Macau Special Administrative Region, and Taiwan. Corxel will be responsible for development and regulatory activities in the Territory, and the Company will remain responsible for certain manufacturing activities in the Territory, subject to the supply agreement subsequently entered into by the Company and Corxel as contemplated by the License Agreement (the Supply Agreement). The Company received a non-refundable upfront cash payment of $15 million and the right to future payments of up to $107.5 million in total development and sales milestone payments. In addition, the Company is entitled to receive tiered royalty payments ranging from a percentage in the low double digits to the high double digits of Net Sales (as defined in the License Agreement) of all products sold in the Territory.</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Management evaluated all of the promised goods or services within the contract and determined that such goods and services were separate performance obligations. The Company determined that the license granted was a separate performance obligation as Corxel can benefit from the license granted on its own after the transfer of the license, as it does not require any significant development, regulatory or commercialization activities from Milestone. Corxel is responsible for all development, regulatory and commercialization activities in the Territory, including the performance of clinical trials necessary for regulatory approval, and is responsible for all such related costs. Supply of the product can be provided by another entity, as the Company currently uses a CMO for the production of etripamil without subsequent significant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ectPr>
          <w:pgSz w:w="11880" w:h="15480" w:orient="portrait"/>
          <w:cols w:equalWidth="0" w:num="1">
            <w:col w:w="9720"/>
          </w:cols>
          <w:pgMar w:left="1080" w:top="456" w:right="1080" w:bottom="544"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20"/>
          <w:szCs w:val="20"/>
          <w:b w:val="1"/>
          <w:bCs w:val="1"/>
          <w:color w:val="auto"/>
        </w:rPr>
        <w:t>Milestone Pharmaceuticals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US dollars, except share and per share data)</w:t>
      </w:r>
    </w:p>
    <w:p>
      <w:pPr>
        <w:spacing w:after="0" w:line="22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modification or customization by the Company, therefore the Company determined the obligation to supply product is a separate and distinct obligation. The Company concluded that the obligation for participation on the various governance committees was distinct as the services could be performed by an outside party, however it was determined to be immaterial after estimating the stand-alone cost compared to the License Agreement as a whole. As a result, the Company concluded there were two material and distinct performance obligations to account for under ASC 606 at the inception of the License Agreement.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Short-term Investments</w:t>
      </w:r>
    </w:p>
    <w:p>
      <w:pPr>
        <w:spacing w:after="0" w:line="24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 xml:space="preserve">As of December 31, 2025, short-term investments of $32.9 million were comprised of term deposits issued in US currency, earning interest between 2.75% and 4.48%, maturing between March 10, 2026 and April 21, 2026. These short- term investments were in scope of ASC 320, </w:t>
      </w:r>
      <w:r>
        <w:rPr>
          <w:rFonts w:ascii="Times New Roman" w:cs="Times New Roman" w:eastAsia="Times New Roman" w:hAnsi="Times New Roman"/>
          <w:sz w:val="20"/>
          <w:szCs w:val="20"/>
          <w:i w:val="1"/>
          <w:iCs w:val="1"/>
          <w:color w:val="auto"/>
        </w:rPr>
        <w:t>Investments-Debt Securities</w:t>
      </w:r>
      <w:r>
        <w:rPr>
          <w:rFonts w:ascii="Times New Roman" w:cs="Times New Roman" w:eastAsia="Times New Roman" w:hAnsi="Times New Roman"/>
          <w:sz w:val="20"/>
          <w:szCs w:val="20"/>
          <w:color w:val="auto"/>
        </w:rPr>
        <w:t>. The short-term investments maturity is greater than 90 days but less than one year, and they were classified as held to maturity, recorded as current assets and were accounted for at amortized cost. Interest income earned on short-term investments is reported in interest income. The Company had short-term investments of $44.4 million as of December 31,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2025, $0.9 million in short-term investments were pledged as collateral for a letter of credit.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Inventory</w:t>
      </w:r>
    </w:p>
    <w:p>
      <w:pPr>
        <w:spacing w:after="0" w:line="24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Following FDA approval in December 2025, the Company began capitalizing inventory costs related to CARDAMYST manufactured after the approval date. The components of inventory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2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Raw materials</w:t>
            </w:r>
          </w:p>
        </w:tc>
        <w:tc>
          <w:tcPr>
            <w:tcW w:w="190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00"/>
        </w:trPr>
        <w:tc>
          <w:tcPr>
            <w:tcW w:w="6220" w:type="dxa"/>
            <w:vAlign w:val="bottom"/>
            <w:gridSpan w:val="2"/>
            <w:vMerge w:val="continue"/>
          </w:tcPr>
          <w:p>
            <w:pPr>
              <w:jc w:val="right"/>
              <w:ind w:right="22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w:t>
            </w:r>
          </w:p>
        </w:tc>
        <w:tc>
          <w:tcPr>
            <w:tcW w:w="680" w:type="dxa"/>
            <w:vAlign w:val="bottom"/>
            <w:tcBorders>
              <w:top w:val="single" w:sz="8" w:color="auto"/>
            </w:tcBorders>
          </w:tcPr>
          <w:p>
            <w:pPr>
              <w:jc w:val="right"/>
              <w:ind w:right="485"/>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600" w:type="dxa"/>
            <w:vAlign w:val="bottom"/>
            <w:tcBorders>
              <w:top w:val="single" w:sz="8" w:color="auto"/>
            </w:tcBorders>
          </w:tcPr>
          <w:p>
            <w:pPr>
              <w:ind w:left="1340"/>
              <w:spacing w:after="0" w:line="200"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62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w w:val="97"/>
              </w:rPr>
              <w:t>Work-in-process . . . . . . . . . . . . . . . . . . . . . . . . . . . . . . . . . . . . . . . . . . . . . . . .</w:t>
            </w:r>
          </w:p>
        </w:tc>
        <w:tc>
          <w:tcPr>
            <w:tcW w:w="6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ind w:left="13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2"/>
        </w:trPr>
        <w:tc>
          <w:tcPr>
            <w:tcW w:w="62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w w:val="97"/>
              </w:rPr>
              <w:t>Finished goods . . . . . . . . . . . . . . . . . . . . . . . . . . . . . . . . . . . . . . . . . . . . . . . . .</w:t>
            </w:r>
          </w:p>
        </w:tc>
        <w:tc>
          <w:tcPr>
            <w:tcW w:w="6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62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7"/>
              </w:rPr>
              <w:t>Total inventory . . . . . . . . . . . . . . . . . . . . . . . . . . . . . . . . . . . . . . . . . . . . . . . . .</w:t>
            </w: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648</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pacing w:after="0" w:line="23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Inventory manufactured prior to FDA approval was expensed through research and development costs, and therefore, this inventory has a zero-cost basis and is not included in the inventory balance.</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Leases</w:t>
      </w:r>
    </w:p>
    <w:p>
      <w:pPr>
        <w:spacing w:after="0" w:line="24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On May 20, 2022, the Company entered into a lease arrangement for a 62-month term for new office space located in Charlotte, NC. The Company recognized the operating lease right-of-use asset and operating lease liabilities at the lease commencement date on August 1, 2022. The interest rate implicit in lease contracts is not readily determinable and the Company does not have a public credit rating and carries no debt. As such, several factors were considered in the determination of the Company’s incremental borrowing rate used in determining the present value of lease payments. The Company’s examined credit ratings for similar companies, assumed equivalency between the Canadian and U.S. markets for collateralized debt and used rates near the 62-month period. This resulted in an incremental borrowing rate of 7.55%. Lease expenses are recognized on a straight-line basis over the lease term, which is accomplished by increasing the amortization of the right-of-use asset as interest expense on the lease liability declines over the lease term.</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On August 12, 2025, the Company entered into an arrangement for the lease renewal for its headquarters located in Ville Saint-Laurent, Quebec. The 2-year lease term is from December 1, 2025, expiring on November 30, 2027. The Company recorded the operating lease right-of-use asset and operating lease liabilities at the effective lease arrangement date of August 12, 2025. The Company’s examined credit ratings for similar companies, assumed equivalency between the Canadian and U.S. markets for collateralized debt and used rates for the remaining lease term of 28 months. This resulted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108</w:t>
      </w:r>
    </w:p>
    <w:p>
      <w:pPr>
        <w:sectPr>
          <w:pgSz w:w="11880" w:h="15480" w:orient="portrait"/>
          <w:cols w:equalWidth="0" w:num="1">
            <w:col w:w="9720"/>
          </w:cols>
          <w:pgMar w:left="1080" w:top="456" w:right="1080" w:bottom="544"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20"/>
          <w:szCs w:val="20"/>
          <w:b w:val="1"/>
          <w:bCs w:val="1"/>
          <w:color w:val="auto"/>
        </w:rPr>
        <w:t>Milestone Pharmaceuticals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US dollars, except share and per share data)</w:t>
      </w:r>
    </w:p>
    <w:p>
      <w:pPr>
        <w:spacing w:after="0" w:line="2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an incremental borrowing rate of 5.2%. Lease expenses are recognized on a straight-line basis over the lease term, which is accomplished by increasing the amortization of the right-of-use asset as interest expense on the lease liability declines over the lease term. The Company is not reasonably certain of renewing the lease following the current renewal option and recognized the right-of-use asset and operating lease liabilities to November 30, 2027.</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operating office leases right-of-use assets as at December 31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Opening balance</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6980" w:type="dxa"/>
            <w:vAlign w:val="bottom"/>
            <w:gridSpan w:val="2"/>
            <w:vMerge w:val="continue"/>
          </w:tcPr>
          <w:p>
            <w:pPr>
              <w:jc w:val="right"/>
              <w:ind w:right="340"/>
              <w:spacing w:after="0" w:line="159" w:lineRule="exact"/>
              <w:rPr>
                <w:sz w:val="20"/>
                <w:szCs w:val="20"/>
                <w:color w:val="auto"/>
              </w:rPr>
            </w:pPr>
            <w:r>
              <w:rPr>
                <w:rFonts w:ascii="Times New Roman" w:cs="Times New Roman" w:eastAsia="Times New Roman" w:hAnsi="Times New Roman"/>
                <w:sz w:val="18"/>
                <w:szCs w:val="18"/>
                <w:color w:val="auto"/>
              </w:rPr>
              <w:t>. . . . . . . . . . . . . . . . . . . . . . . . . . . . . . . . . . . . . . . . . . . . . . . . . . . . . . . . . . .</w:t>
            </w:r>
          </w:p>
        </w:tc>
        <w:tc>
          <w:tcPr>
            <w:tcW w:w="860" w:type="dxa"/>
            <w:vAlign w:val="bottom"/>
          </w:tcPr>
          <w:p>
            <w:pPr>
              <w:jc w:val="right"/>
              <w:ind w:right="693"/>
              <w:spacing w:after="0" w:line="180" w:lineRule="exact"/>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line="179" w:lineRule="exact"/>
              <w:rPr>
                <w:sz w:val="20"/>
                <w:szCs w:val="20"/>
                <w:color w:val="auto"/>
              </w:rPr>
            </w:pPr>
            <w:r>
              <w:rPr>
                <w:rFonts w:ascii="Times New Roman" w:cs="Times New Roman" w:eastAsia="Times New Roman" w:hAnsi="Times New Roman"/>
                <w:sz w:val="18"/>
                <w:szCs w:val="18"/>
                <w:color w:val="auto"/>
                <w:w w:val="98"/>
              </w:rPr>
              <w:t>1,376</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jc w:val="right"/>
              <w:ind w:right="75"/>
              <w:spacing w:after="0" w:line="180"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line="179" w:lineRule="exact"/>
              <w:rPr>
                <w:sz w:val="20"/>
                <w:szCs w:val="20"/>
                <w:color w:val="auto"/>
              </w:rPr>
            </w:pPr>
            <w:r>
              <w:rPr>
                <w:rFonts w:ascii="Times New Roman" w:cs="Times New Roman" w:eastAsia="Times New Roman" w:hAnsi="Times New Roman"/>
                <w:sz w:val="18"/>
                <w:szCs w:val="18"/>
                <w:color w:val="auto"/>
              </w:rPr>
              <w:t>1,917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Right-of-use adjustment, renewal August 2025 . . . . . . . . . . . . . . . . . . . . . . . . . . . . . . . . . . . .</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6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Amortization of right-of-use asset . . . . . . . . . . . . . . . . . . . . . . . . . . . . . . . . . . . . . . . . . . . . . .</w:t>
            </w:r>
          </w:p>
        </w:tc>
        <w:tc>
          <w:tcPr>
            <w:tcW w:w="8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17"/>
        </w:trPr>
        <w:tc>
          <w:tcPr>
            <w:tcW w:w="6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Closing balance  . . . . . . . . . . . . . . . . . . . . . . . . . . . . . . . . . . . . . . . . . . . . . . . . . . . . . . . . . . .</w:t>
            </w:r>
          </w:p>
        </w:tc>
        <w:tc>
          <w:tcPr>
            <w:tcW w:w="20" w:type="dxa"/>
            <w:vAlign w:val="bottom"/>
            <w:tcBorders>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693"/>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1,129</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Operating lease expenses of $668 and $697 are included in general and administrative operating expenses in the consolidated statement of loss, and within operating activities in the statement of cash flows for the years ended December 31, 2025 and 2024, respectively and are comprised of two operating lease right-of-use assets and one operating lease of less than 12 months.</w:t>
      </w:r>
    </w:p>
    <w:p>
      <w:pPr>
        <w:spacing w:after="0" w:line="19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The following table summarizes the future minimum lease payments of right-of-use assets operating leases as of December 31, 2025: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January 1, 2026 to December 31, 2026 . . . . . . . . . . . . . . . . . . . . . . . . . . . . . . . . . . . . . . . . . . . . . . . . . . . . . . . . . . . . .</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r>
      <w:tr>
        <w:trPr>
          <w:trHeight w:val="215"/>
        </w:trPr>
        <w:tc>
          <w:tcPr>
            <w:tcW w:w="8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January 1, 2027 to November 30, 2027 . . . . . . . . . . . . . . . . . . . . . . . . . . . . . . . . . . . . . . . . . . . . . . . . . . . . . . . . . . . . .</w:t>
            </w: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199"/>
        </w:trPr>
        <w:tc>
          <w:tcPr>
            <w:tcW w:w="8660" w:type="dxa"/>
            <w:vAlign w:val="bottom"/>
            <w:gridSpan w:val="2"/>
          </w:tcPr>
          <w:p>
            <w:pPr>
              <w:jc w:val="right"/>
              <w:ind w:right="300"/>
              <w:spacing w:after="0" w:line="199" w:lineRule="exact"/>
              <w:rPr>
                <w:sz w:val="20"/>
                <w:szCs w:val="20"/>
                <w:color w:val="auto"/>
              </w:rPr>
            </w:pPr>
            <w:r>
              <w:rPr>
                <w:rFonts w:ascii="Times New Roman" w:cs="Times New Roman" w:eastAsia="Times New Roman" w:hAnsi="Times New Roman"/>
                <w:sz w:val="18"/>
                <w:szCs w:val="18"/>
                <w:color w:val="auto"/>
              </w:rPr>
              <w:t>. . . . . . . . . . . . . . . . . . . . . . . . . . . . . . . . . . . . . . . . . . . . . . . . . . . . . . . . . . . . . . . . . . . . . . . . . . . . . . . . . . . . . . .</w:t>
            </w:r>
            <w:r>
              <w:rPr>
                <w:rFonts w:ascii="Times New Roman" w:cs="Times New Roman" w:eastAsia="Times New Roman" w:hAnsi="Times New Roman"/>
                <w:sz w:val="18"/>
                <w:szCs w:val="18"/>
                <w:b w:val="1"/>
                <w:bCs w:val="1"/>
                <w:color w:val="auto"/>
              </w:rPr>
              <w:t>Total</w:t>
            </w: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1,264</w:t>
            </w:r>
          </w:p>
        </w:tc>
      </w:tr>
      <w:tr>
        <w:trPr>
          <w:trHeight w:val="195"/>
        </w:trPr>
        <w:tc>
          <w:tcPr>
            <w:tcW w:w="8660" w:type="dxa"/>
            <w:vAlign w:val="bottom"/>
            <w:gridSpan w:val="2"/>
          </w:tcPr>
          <w:p>
            <w:pPr>
              <w:jc w:val="right"/>
              <w:ind w:right="300"/>
              <w:spacing w:after="0" w:line="193" w:lineRule="exact"/>
              <w:rPr>
                <w:sz w:val="20"/>
                <w:szCs w:val="20"/>
                <w:color w:val="auto"/>
              </w:rPr>
            </w:pPr>
            <w:r>
              <w:rPr>
                <w:rFonts w:ascii="Times New Roman" w:cs="Times New Roman" w:eastAsia="Times New Roman" w:hAnsi="Times New Roman"/>
                <w:sz w:val="18"/>
                <w:szCs w:val="18"/>
                <w:color w:val="auto"/>
              </w:rPr>
              <w:t>. . . . . . . . . . . . . . . . . . . . . . . . . . . . . . . . . . . . . . . . . . . . . . . . . . . . . . . . . . . . . . . . . . . . . . . . . . . . . . . . . .Lessinterest</w:t>
            </w: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(78)</w:t>
            </w:r>
          </w:p>
        </w:tc>
      </w:tr>
      <w:tr>
        <w:trPr>
          <w:trHeight w:val="218"/>
        </w:trPr>
        <w:tc>
          <w:tcPr>
            <w:tcW w:w="86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xml:space="preserve">Total net of interest </w:t>
            </w:r>
            <w:r>
              <w:rPr>
                <w:rFonts w:ascii="Times New Roman" w:cs="Times New Roman" w:eastAsia="Times New Roman" w:hAnsi="Times New Roman"/>
                <w:sz w:val="18"/>
                <w:szCs w:val="18"/>
                <w:color w:val="auto"/>
              </w:rPr>
              <w:t>. . . . . . . . . . . . . . . . . . . . . . . . . . . . . . . . . . . . . . . . . . . . . . . . . . . . . . . . . . . . . . . . . . . . . . . . . . .</w:t>
            </w: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Property and equipment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Property and equipment consist of the following at December 31:</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3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Computer hardware and software</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380" w:type="dxa"/>
            <w:vAlign w:val="bottom"/>
            <w:gridSpan w:val="2"/>
            <w:vMerge w:val="continue"/>
          </w:tcPr>
          <w:p>
            <w:pPr>
              <w:jc w:val="right"/>
              <w:ind w:right="34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660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jc w:val="right"/>
              <w:ind w:right="40"/>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238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6"/>
              </w:rPr>
              <w:t>Office equipment . . . . . . . . . . . . . . . . . . . . . . . . . . . . . . . . . . . . . . . . . . . . . . . . . . . . . . . . . . .</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3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7"/>
              </w:rPr>
              <w:t>Leasehold improvements . . . . . . . . . . . . . . . . . . . . . . . . . . . . . . . . . . . . . . . . . . . . . . . . . . . .</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7380" w:type="dxa"/>
            <w:vAlign w:val="bottom"/>
            <w:gridSpan w:val="2"/>
          </w:tcPr>
          <w:p>
            <w:pPr>
              <w:jc w:val="right"/>
              <w:ind w:right="340"/>
              <w:spacing w:after="0" w:line="209" w:lineRule="exact"/>
              <w:rPr>
                <w:sz w:val="20"/>
                <w:szCs w:val="20"/>
                <w:color w:val="auto"/>
              </w:rPr>
            </w:pPr>
            <w:r>
              <w:rPr>
                <w:rFonts w:ascii="Times New Roman" w:cs="Times New Roman" w:eastAsia="Times New Roman" w:hAnsi="Times New Roman"/>
                <w:sz w:val="20"/>
                <w:szCs w:val="20"/>
                <w:color w:val="auto"/>
                <w:w w:val="96"/>
              </w:rPr>
              <w:t>. . . . . . . . . . . . . . . . . . . . . . . . . . . . . . . . . . . . . . . . . . . . . . . . . . . . . . . . . . . . . . . . . . . . .Total</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917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ind w:right="40"/>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488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73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6"/>
              </w:rPr>
              <w:t>Less accumulated depreciation . . . . . . . . . . . . . . . . . . . . . . . . . . . . . . . . . . . . . . . . . . . . . . . .</w:t>
            </w: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(406)</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(291)</w:t>
            </w:r>
          </w:p>
        </w:tc>
        <w:tc>
          <w:tcPr>
            <w:tcW w:w="0" w:type="dxa"/>
            <w:vAlign w:val="bottom"/>
          </w:tcPr>
          <w:p>
            <w:pPr>
              <w:spacing w:after="0"/>
              <w:rPr>
                <w:sz w:val="1"/>
                <w:szCs w:val="1"/>
                <w:color w:val="auto"/>
              </w:rPr>
            </w:pPr>
          </w:p>
        </w:tc>
      </w:tr>
      <w:tr>
        <w:trPr>
          <w:trHeight w:val="242"/>
        </w:trPr>
        <w:tc>
          <w:tcPr>
            <w:tcW w:w="73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6"/>
              </w:rPr>
              <w:t>Property and equipment, net . . . . . . . . . . . . . . . . . . . . . . . . . . . . . . . . . . . . . . . . . . . . . . . . . .</w:t>
            </w:r>
          </w:p>
        </w:tc>
        <w:tc>
          <w:tcPr>
            <w:tcW w:w="20" w:type="dxa"/>
            <w:vAlign w:val="bottom"/>
            <w:tcBorders>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511</w:t>
            </w:r>
          </w:p>
        </w:tc>
        <w:tc>
          <w:tcPr>
            <w:tcW w:w="2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No disposal was recorded for the year ended December 31, 2025, and an immaterial amount of disposals and losses on disposals was recorded for the year ended December 31, 2024. For the years ended December 31, 2025 and 2024, depreciation expense was $114 and $105,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ectPr>
          <w:pgSz w:w="11880" w:h="15480" w:orient="portrait"/>
          <w:cols w:equalWidth="0" w:num="1">
            <w:col w:w="9720"/>
          </w:cols>
          <w:pgMar w:left="1080" w:top="456" w:right="1080" w:bottom="544"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20"/>
          <w:szCs w:val="20"/>
          <w:b w:val="1"/>
          <w:bCs w:val="1"/>
          <w:color w:val="auto"/>
        </w:rPr>
        <w:t>Milestone Pharmaceuticals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7"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US dollars, except share and per share data)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Accounts payable and accrued liabilities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Accounts payable and accrued liabilities comprised the following as of December 31:</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384"/>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accounts payable  . . . . . . . . . . . . . . . . . . . . . . . . . . . . . . . . . . . . . . . . . . . . . . . . . . . . . . . .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5,645</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w:t>
            </w:r>
          </w:p>
        </w:tc>
      </w:tr>
      <w:tr>
        <w:trPr>
          <w:trHeight w:val="207"/>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compensation and benefits payable . . . . . . . . . . . . . . . . . . . . . . . . . . . . . . . . . . . . . . . . . .</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w:t>
            </w:r>
          </w:p>
        </w:tc>
      </w:tr>
      <w:tr>
        <w:trPr>
          <w:trHeight w:val="208"/>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research and development liabilities . . . . . . . . . . . . . . . . . . . . . . . . . . . . . . . . . . . . . . . . .</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r>
      <w:tr>
        <w:trPr>
          <w:trHeight w:val="206"/>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commercial liabilities . . . . . . . . . . . . . . . . . . . . . . . . . . . . . . . . . . . . . . . . . . . . . . . . . . . .</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w:t>
            </w:r>
          </w:p>
        </w:tc>
      </w:tr>
      <w:tr>
        <w:trPr>
          <w:trHeight w:val="207"/>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underwriting fees . . . . . . . . . . . . . . . . . . . . . . . . . . . . . . . . . . . . . . . . . . . . . . . . . . . . . . . .</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7"/>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legal liabilities  . . . . . . . . . . . . . . . . . . . . . . . . . . . . . . . . . . . . . . . . . . . . . . . . . . . . . . . . .</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7"/>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accrued liabilities . . . . . . . . . . . . . . . . . . . . . . . . . . . . . . . . . . . . . . . . . . . . . . . . . . . . . . . . . .</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1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 . . . . . . . . . . . . . . . . . . . . . . . . . . . . . . . . . . . . . . . . . . . . . . . . . . . . . . . . . . . . . . . . . . . . . . . .</w:t>
            </w: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13,289</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7,555</w:t>
            </w:r>
          </w:p>
        </w:tc>
      </w:tr>
    </w:tbl>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Shareholders’ Equity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Authorized Share Capital</w:t>
      </w:r>
    </w:p>
    <w:p>
      <w:pPr>
        <w:spacing w:after="0" w:line="24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Company has authorized and issued common shares, voting and participating, without par value, of which unlimited shares were authorized, and 106,236,344 shares were issued and outstanding as of December 31, 2025.</w:t>
      </w:r>
    </w:p>
    <w:p>
      <w:pPr>
        <w:spacing w:after="0" w:line="15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As of December 31, 2025, there were 2,286,603 common shares available for issuance under the Employee Stock Purchase Plan, or the “ESPP,” of which 1,785,097 are available for future purchases.</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On July 11, 2025, the Company entered into an underwriting agreement, or the “Underwriting Agreement,” related to an underwritten public offering, or the “2025 Offering,” of (i) 31,500,000 of the Company’s common shares, without par value, accompanying Series A common warrants, or the “Series A Common Warrants,” to purchase an aggregate of 31,500,000 common shares and accompanying Series B common warrants, or the “Series B Common Warrants,” to purchase an aggregate of 31,500,000 common shares, at a combined public offering price of $1.50 per share and accompanying Series A Common Warrant and Series B Common Warrant and (ii) in lieu of common shares to certain investors that so chose, pre-funded warrants to purchase 3,502,335 common shares, or the “2025 Pre-Funded Warrants” and, together with the Series A Common Warrants and the Series B Common Warrants, the “Warrants,” accompanying Series A Common Warrants to purchase an aggregate of 3,502,335 common shares and accompanying Series B Common Warrants to purchase an aggregate of 3,502,335 common shares, at a combined public offering price of $1.499 per Pre-Funded Warrant and accompanying Series A Common Warrant and Series B Common Warrant, which represented the combined public offering price for the Shares and accompanying common warrants less the $0.001 per share exercise price for each such Pre-Funded Warrant. All the Securities sold in the 2025 Offering were sold by the Company.</w:t>
      </w:r>
    </w:p>
    <w:p>
      <w:pPr>
        <w:spacing w:after="0" w:line="19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The net proceeds to the Company from the 2025 Offering were $48.6 million after deducting underwriting commissions and other offering expenses payable by the Company, in the amount of $3.9 million.</w:t>
      </w:r>
    </w:p>
    <w:p>
      <w:pPr>
        <w:spacing w:after="0" w:line="15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On February 28, 2024, the Company entered into an underwriting agreement, or the “Underwriting Agreement,” related to an underwritten public offering, or the “February 2024 Offering,” of 16,666,667 of our common shares, without par value, at a public offering price of $1.50 per share and, in lieu of common shares to certain investors, pre-funded warrants to purchase 3,333,333 Shares at a public offering price of $1.499 per pre-funded warrant. Each pre-funded warrant has an exercise price of $0.001 per share. The pre-funded warrants were exercisable immediately upon issuance, subject to certain beneficial ownership limitations. Under the terms of the Underwriting Agreement, the Company granted the underwriters party thereto, or the “Underwriters,” an option to purchase up to an additional 3,000,000 common shares at the same price per share as the other common shares sold in the February 2024 Offering, which was exercised by the Underwriters in full on February 29,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ectPr>
          <w:pgSz w:w="11880" w:h="15480" w:orient="portrait"/>
          <w:cols w:equalWidth="0" w:num="1">
            <w:col w:w="9720"/>
          </w:cols>
          <w:pgMar w:left="1080" w:top="456" w:right="1080" w:bottom="544"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20"/>
          <w:szCs w:val="20"/>
          <w:b w:val="1"/>
          <w:bCs w:val="1"/>
          <w:color w:val="auto"/>
        </w:rPr>
        <w:t>Milestone Pharmaceuticals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US dollars, except share and per share data)</w:t>
      </w:r>
    </w:p>
    <w:p>
      <w:pPr>
        <w:spacing w:after="0" w:line="226"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0"/>
          <w:szCs w:val="20"/>
          <w:color w:val="auto"/>
        </w:rPr>
        <w:t>On July 29, 2020, the Company entered into an Open Market Sale Agreement</w:t>
      </w:r>
      <w:r>
        <w:rPr>
          <w:rFonts w:ascii="Times New Roman" w:cs="Times New Roman" w:eastAsia="Times New Roman" w:hAnsi="Times New Roman"/>
          <w:sz w:val="25"/>
          <w:szCs w:val="25"/>
          <w:color w:val="auto"/>
          <w:vertAlign w:val="superscript"/>
        </w:rPr>
        <w:t>SM</w:t>
      </w:r>
      <w:r>
        <w:rPr>
          <w:rFonts w:ascii="Times New Roman" w:cs="Times New Roman" w:eastAsia="Times New Roman" w:hAnsi="Times New Roman"/>
          <w:sz w:val="20"/>
          <w:szCs w:val="20"/>
          <w:color w:val="auto"/>
        </w:rPr>
        <w:t>, or the “Original Sale Agreement,” with respect to an at- the-market offering program, or the “ATM Program,” under which the Company could issue and sell its common shares having an aggregate offering price of up to $50.0 million. On March 18, 2025, the Company entered into an Amended and Restated Open Market Sale Agreement</w:t>
      </w:r>
      <w:r>
        <w:rPr>
          <w:rFonts w:ascii="Times New Roman" w:cs="Times New Roman" w:eastAsia="Times New Roman" w:hAnsi="Times New Roman"/>
          <w:sz w:val="25"/>
          <w:szCs w:val="25"/>
          <w:color w:val="auto"/>
          <w:vertAlign w:val="superscript"/>
        </w:rPr>
        <w:t>SM</w:t>
      </w:r>
      <w:r>
        <w:rPr>
          <w:rFonts w:ascii="Times New Roman" w:cs="Times New Roman" w:eastAsia="Times New Roman" w:hAnsi="Times New Roman"/>
          <w:sz w:val="20"/>
          <w:szCs w:val="20"/>
          <w:color w:val="auto"/>
        </w:rPr>
        <w:t>, or the “Amended Agreement.” Under the Amended Agreement, the Company may issue and sell its common shares, no par value per share, for an aggregate offering price of up to $77.8 million (which includes the approximately $ 2.8 million of sales previously made pursuant to the Original Sale Agreement through the date the Amended Agreement was entered into), or the “ATM Shares.” The Company issued 5,690,920 shares under the amended agreement resulting in net proceeds of $14.5 million, after deducting sales agent commissions payable by the Company of $0.4 million during the year ended December 31, 2025.</w:t>
      </w:r>
    </w:p>
    <w:p>
      <w:pPr>
        <w:spacing w:after="0" w:line="19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The Company determines the accounting classification of warrants that are issued, as either liability or equity, by first assessing whether the warrants meet liability classification in accordance with ASC 480-10, </w:t>
      </w:r>
      <w:r>
        <w:rPr>
          <w:rFonts w:ascii="Times New Roman" w:cs="Times New Roman" w:eastAsia="Times New Roman" w:hAnsi="Times New Roman"/>
          <w:sz w:val="20"/>
          <w:szCs w:val="20"/>
          <w:i w:val="1"/>
          <w:iCs w:val="1"/>
          <w:color w:val="auto"/>
        </w:rPr>
        <w:t>Accounting for Certain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Financial Instruments with Characteristics of both Liabilities and Equity</w:t>
      </w:r>
      <w:r>
        <w:rPr>
          <w:rFonts w:ascii="Times New Roman" w:cs="Times New Roman" w:eastAsia="Times New Roman" w:hAnsi="Times New Roman"/>
          <w:sz w:val="20"/>
          <w:szCs w:val="20"/>
          <w:color w:val="auto"/>
        </w:rPr>
        <w:t>, and then in accordance with ASC 815-40,</w:t>
      </w:r>
      <w:r>
        <w:rPr>
          <w:rFonts w:ascii="Times New Roman" w:cs="Times New Roman" w:eastAsia="Times New Roman" w:hAnsi="Times New Roman"/>
          <w:sz w:val="20"/>
          <w:szCs w:val="20"/>
          <w:i w:val="1"/>
          <w:iCs w:val="1"/>
          <w:color w:val="auto"/>
        </w:rPr>
        <w:t xml:space="preserve"> Accounting for Derivative Financial Instruments Indexed to, and Potentially Settled in, a Company’s Own Stock. </w:t>
      </w:r>
      <w:r>
        <w:rPr>
          <w:rFonts w:ascii="Times New Roman" w:cs="Times New Roman" w:eastAsia="Times New Roman" w:hAnsi="Times New Roman"/>
          <w:sz w:val="20"/>
          <w:szCs w:val="20"/>
          <w:color w:val="auto"/>
        </w:rPr>
        <w:t>Under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ASC 480, warrants are considered liability classified if the warrants are mandatorily redeemable, obligate the issuer to settle the warrants or the underlying shares by paying cash or other assets, or must or may require settlement by issuing a variable number of shares.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If warrants do not meet liability classification under ASC 480-10, the Company assesses the requirements under ASC 815-40, which states that contracts that require or may require the issuer to settle the contract for cash are liabilities recorded at fair value, irrespective of the likelihood of the transaction occurring that triggers the net cash settlement feature. If the warrants do not require liability classification under ASC 815-40, in order to conclude equity classification, the Company assesses whether the warrants are indexed to its common stock and whether the warrants are classified as equity under ASC 815-40 or other applicable U.S. GAAP. After all relevant assessments are made, the Company concludes whether the warrants are classified as liability or equity. The Company's outstanding common stock warrants are classified as equity and recorded in additional paid-in capital, or “APIC,” based on an allocation of the proceeds from the 2025 Offering, which was based on the relative fair value of the Series A and B Common Warrants at the issuance date and is not subject to change after the issuance date. The fair value used for the relative fair value allocation was calculated using the Black-Scholes Model for the Series A Warrants and the Monte-Carlo simulation method for the Series B Warrants.</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During the year ended December 31, 2025, 13,630,007 Series A and 666,666 Series B Warrants were exercised for net proceeds of $19.2 million and $1.2 million, respectively, after deducting underwriting commissions payable by the Company of $1.2 million and $0.01 million, respectively. As of December 31, 2025, 21,372,328 Series A Common Warrants and 34,335,669 Series B Common Warrants remained outstanding.</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Share-Based Compensation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Options</w:t>
      </w:r>
    </w:p>
    <w:p>
      <w:pPr>
        <w:spacing w:after="0" w:line="22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Under the Company’s 2019 Equity Incentive Plan, or the “2019 Plan,” and the Company’s Stock Option Plan, or the “2011 Plan,” unless otherwise decided by the Board of Directors, options vest and are exercisable as follows: 25% vest and are exercisable on the one year anniversary of the grant date and one thirty-sixth (1/36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of the remaining options vest and are exercisable each month thereafter, such that options are vested in full on four-year anniversary of the grant date.</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On January 1, 2025, the number of the Company’s common shares reserved for issuance under the 2019 Plan automatically increased by 2,134,159 common shares. Further, on June 10, 2025 at the Company’s 2025 annual meeting of shareholders, the Company’s shareholders approved an amendment to the 2019 Plan to (i) remove the evergreen provision, which previously triggered an automatic annual increase to the option pool equal to four percent of outstanding common shares at year-end, and (ii) increase the number of common shares authorized for issuance by 4,000,000 shares. In addition, 183,349 options have been forfeited or expired under the 2011 Plan since the adoption of the 2019 Plan and have become available for issuance under the 2019 Plan. Further, since the adoption of the plan, 561,000 of previously issued options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111</w:t>
      </w:r>
    </w:p>
    <w:p>
      <w:pPr>
        <w:sectPr>
          <w:pgSz w:w="11880" w:h="15480" w:orient="portrait"/>
          <w:cols w:equalWidth="0" w:num="1">
            <w:col w:w="9720"/>
          </w:cols>
          <w:pgMar w:left="1080" w:top="456" w:right="1080" w:bottom="544"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20"/>
          <w:szCs w:val="20"/>
          <w:b w:val="1"/>
          <w:bCs w:val="1"/>
          <w:color w:val="auto"/>
        </w:rPr>
        <w:t>Milestone Pharmaceuticals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US dollars, except share and per share data)</w:t>
      </w:r>
    </w:p>
    <w:p>
      <w:pPr>
        <w:spacing w:after="0" w:line="22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were cancelled and were made available for future grants. As of December 31, 2025, there were 15,714,455 common shares available for issuance under the 2019 Plan, of which 5,205,860 common shares were available for future grants.</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On November 10, 2021, the Company established a 2021 Inducement Plan, or the “Inducement Plan.” The Inducement Plan is intended to help the Company provide an inducement for certain individuals to enter employment with the Company, incentives for such persons to exert maximum efforts for the success of the Company and a means by which employees may benefit from increases in value of the common shares. As of December 31, 2025, there were 1,000,000 shares available for issuance under the 2021 Inducement Plan, of which 290,000 shares were available for future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ectPr>
          <w:pgSz w:w="11880" w:h="15480" w:orient="portrait"/>
          <w:cols w:equalWidth="0" w:num="1">
            <w:col w:w="9720"/>
          </w:cols>
          <w:pgMar w:left="1080" w:top="456" w:right="1080" w:bottom="544"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20"/>
          <w:szCs w:val="20"/>
          <w:b w:val="1"/>
          <w:bCs w:val="1"/>
          <w:color w:val="auto"/>
        </w:rPr>
        <w:t>Milestone Pharmaceuticals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US dollars, except share and per share data)</w:t>
      </w:r>
    </w:p>
    <w:p>
      <w:pPr>
        <w:spacing w:after="0" w:line="22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The total outstanding and exercisable options from the 2011 Plan, 2019 Plan, and Inducement Plan as of December 31 were as follows: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center"/>
              <w:spacing w:after="0" w:line="156"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0" w:type="dxa"/>
            <w:vAlign w:val="bottom"/>
          </w:tcPr>
          <w:p>
            <w:pPr>
              <w:spacing w:after="0"/>
              <w:rPr>
                <w:sz w:val="1"/>
                <w:szCs w:val="1"/>
                <w:color w:val="auto"/>
              </w:rPr>
            </w:pPr>
          </w:p>
        </w:tc>
      </w:tr>
      <w:tr>
        <w:trPr>
          <w:trHeight w:val="185"/>
        </w:trPr>
        <w:tc>
          <w:tcPr>
            <w:tcW w:w="3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7"/>
              </w:rPr>
              <w:t>average</w:t>
            </w:r>
          </w:p>
        </w:tc>
        <w:tc>
          <w:tcPr>
            <w:tcW w:w="0" w:type="dxa"/>
            <w:vAlign w:val="bottom"/>
          </w:tcPr>
          <w:p>
            <w:pPr>
              <w:spacing w:after="0"/>
              <w:rPr>
                <w:sz w:val="1"/>
                <w:szCs w:val="1"/>
                <w:color w:val="auto"/>
              </w:rPr>
            </w:pPr>
          </w:p>
        </w:tc>
      </w:tr>
      <w:tr>
        <w:trPr>
          <w:trHeight w:val="194"/>
        </w:trPr>
        <w:tc>
          <w:tcPr>
            <w:tcW w:w="3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w w:val="98"/>
              </w:rPr>
              <w:t>of shares</w:t>
            </w:r>
          </w:p>
        </w:tc>
        <w:tc>
          <w:tcPr>
            <w:tcW w:w="6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exercise</w:t>
            </w:r>
          </w:p>
        </w:tc>
        <w:tc>
          <w:tcPr>
            <w:tcW w:w="0" w:type="dxa"/>
            <w:vAlign w:val="bottom"/>
          </w:tcPr>
          <w:p>
            <w:pPr>
              <w:spacing w:after="0"/>
              <w:rPr>
                <w:sz w:val="1"/>
                <w:szCs w:val="1"/>
                <w:color w:val="auto"/>
              </w:rPr>
            </w:pPr>
          </w:p>
        </w:tc>
      </w:tr>
      <w:tr>
        <w:trPr>
          <w:trHeight w:val="185"/>
        </w:trPr>
        <w:tc>
          <w:tcPr>
            <w:tcW w:w="36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Outstanding at beginning of year - 2011 Plan</w:t>
            </w:r>
          </w:p>
        </w:tc>
        <w:tc>
          <w:tcPr>
            <w:tcW w:w="220" w:type="dxa"/>
            <w:vAlign w:val="bottom"/>
          </w:tcPr>
          <w:p>
            <w:pPr>
              <w:spacing w:after="0"/>
              <w:rPr>
                <w:sz w:val="16"/>
                <w:szCs w:val="16"/>
                <w:color w:val="auto"/>
              </w:rPr>
            </w:pPr>
          </w:p>
        </w:tc>
        <w:tc>
          <w:tcPr>
            <w:tcW w:w="1460" w:type="dxa"/>
            <w:vAlign w:val="bottom"/>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2019 Plan</w:t>
            </w:r>
          </w:p>
        </w:tc>
        <w:tc>
          <w:tcPr>
            <w:tcW w:w="154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Inducement Plan</w:t>
            </w:r>
          </w:p>
        </w:tc>
        <w:tc>
          <w:tcPr>
            <w:tcW w:w="100" w:type="dxa"/>
            <w:vAlign w:val="bottom"/>
          </w:tcPr>
          <w:p>
            <w:pPr>
              <w:spacing w:after="0"/>
              <w:rPr>
                <w:sz w:val="16"/>
                <w:szCs w:val="16"/>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8"/>
              </w:rPr>
              <w:t>2011 Plan</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6"/>
                <w:szCs w:val="16"/>
                <w:color w:val="auto"/>
              </w:rPr>
            </w:pPr>
          </w:p>
        </w:tc>
        <w:tc>
          <w:tcPr>
            <w:tcW w:w="68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0" w:type="dxa"/>
            <w:vAlign w:val="bottom"/>
          </w:tcPr>
          <w:p>
            <w:pPr>
              <w:spacing w:after="0"/>
              <w:rPr>
                <w:sz w:val="1"/>
                <w:szCs w:val="1"/>
                <w:color w:val="auto"/>
              </w:rPr>
            </w:pPr>
          </w:p>
        </w:tc>
      </w:tr>
      <w:tr>
        <w:trPr>
          <w:trHeight w:val="169"/>
        </w:trPr>
        <w:tc>
          <w:tcPr>
            <w:tcW w:w="3620" w:type="dxa"/>
            <w:vAlign w:val="bottom"/>
            <w:gridSpan w:val="2"/>
            <w:vMerge w:val="continue"/>
          </w:tcPr>
          <w:p>
            <w:pPr>
              <w:jc w:val="right"/>
              <w:ind w:right="320"/>
              <w:spacing w:after="0" w:line="151" w:lineRule="exact"/>
              <w:rPr>
                <w:sz w:val="20"/>
                <w:szCs w:val="20"/>
                <w:color w:val="auto"/>
              </w:rPr>
            </w:pPr>
            <w:r>
              <w:rPr>
                <w:rFonts w:ascii="Times New Roman" w:cs="Times New Roman" w:eastAsia="Times New Roman" w:hAnsi="Times New Roman"/>
                <w:sz w:val="16"/>
                <w:szCs w:val="16"/>
                <w:color w:val="auto"/>
              </w:rPr>
              <w:t>. . . . .</w:t>
            </w: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1,632,485</w:t>
            </w:r>
          </w:p>
        </w:tc>
        <w:tc>
          <w:tcPr>
            <w:tcW w:w="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top w:val="single" w:sz="8" w:color="auto"/>
            </w:tcBorders>
            <w:gridSpan w:val="2"/>
          </w:tcPr>
          <w:p>
            <w:pPr>
              <w:jc w:val="right"/>
              <w:spacing w:after="0" w:line="169" w:lineRule="exact"/>
              <w:rPr>
                <w:sz w:val="20"/>
                <w:szCs w:val="20"/>
                <w:color w:val="auto"/>
              </w:rPr>
            </w:pPr>
            <w:r>
              <w:rPr>
                <w:rFonts w:ascii="Times New Roman" w:cs="Times New Roman" w:eastAsia="Times New Roman" w:hAnsi="Times New Roman"/>
                <w:sz w:val="16"/>
                <w:szCs w:val="16"/>
                <w:color w:val="auto"/>
              </w:rPr>
              <w:t>1,632,485</w:t>
            </w:r>
          </w:p>
        </w:tc>
        <w:tc>
          <w:tcPr>
            <w:tcW w:w="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186"/>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Outstanding at beginning of year - 2019 Plan . . . . .</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7,604,606</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7,604,606</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0" w:type="dxa"/>
            <w:vAlign w:val="bottom"/>
          </w:tcPr>
          <w:p>
            <w:pPr>
              <w:spacing w:after="0"/>
              <w:rPr>
                <w:sz w:val="1"/>
                <w:szCs w:val="1"/>
                <w:color w:val="auto"/>
              </w:rPr>
            </w:pPr>
          </w:p>
        </w:tc>
      </w:tr>
      <w:tr>
        <w:trPr>
          <w:trHeight w:val="185"/>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Outstanding at beginning of year - Inducement Plan</w:t>
            </w:r>
          </w:p>
        </w:tc>
        <w:tc>
          <w:tcPr>
            <w:tcW w:w="220" w:type="dxa"/>
            <w:vAlign w:val="bottom"/>
          </w:tcPr>
          <w:p>
            <w:pPr>
              <w:spacing w:after="0"/>
              <w:rPr>
                <w:sz w:val="16"/>
                <w:szCs w:val="16"/>
                <w:color w:val="auto"/>
              </w:rPr>
            </w:pPr>
          </w:p>
        </w:tc>
        <w:tc>
          <w:tcPr>
            <w:tcW w:w="1460" w:type="dxa"/>
            <w:vAlign w:val="bottom"/>
            <w:gridSpan w:val="4"/>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496,000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496,000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0" w:type="dxa"/>
            <w:vAlign w:val="bottom"/>
          </w:tcPr>
          <w:p>
            <w:pPr>
              <w:spacing w:after="0"/>
              <w:rPr>
                <w:sz w:val="1"/>
                <w:szCs w:val="1"/>
                <w:color w:val="auto"/>
              </w:rPr>
            </w:pPr>
          </w:p>
        </w:tc>
      </w:tr>
      <w:tr>
        <w:trPr>
          <w:trHeight w:val="185"/>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Granted - 2019 Plan . . . . . . . . . . . . . . . . . . . . . . .</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1,526,900</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1,526,900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185"/>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Granted - Inducement Plan . . . . . . . . . . . . . . . . . .</w:t>
            </w:r>
          </w:p>
        </w:tc>
        <w:tc>
          <w:tcPr>
            <w:tcW w:w="220" w:type="dxa"/>
            <w:vAlign w:val="bottom"/>
          </w:tcPr>
          <w:p>
            <w:pPr>
              <w:spacing w:after="0"/>
              <w:rPr>
                <w:sz w:val="16"/>
                <w:szCs w:val="16"/>
                <w:color w:val="auto"/>
              </w:rPr>
            </w:pPr>
          </w:p>
        </w:tc>
        <w:tc>
          <w:tcPr>
            <w:tcW w:w="1460" w:type="dxa"/>
            <w:vAlign w:val="bottom"/>
            <w:gridSpan w:val="4"/>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339,000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339,000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185"/>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Exercised - 2011 Plan . . . . . . . . . . . . . . . . . . . . . .</w:t>
            </w:r>
          </w:p>
        </w:tc>
        <w:tc>
          <w:tcPr>
            <w:tcW w:w="220" w:type="dxa"/>
            <w:vAlign w:val="bottom"/>
          </w:tcPr>
          <w:p>
            <w:pPr>
              <w:spacing w:after="0"/>
              <w:rPr>
                <w:sz w:val="16"/>
                <w:szCs w:val="16"/>
                <w:color w:val="auto"/>
              </w:rPr>
            </w:pPr>
          </w:p>
        </w:tc>
        <w:tc>
          <w:tcPr>
            <w:tcW w:w="1460" w:type="dxa"/>
            <w:vAlign w:val="bottom"/>
            <w:gridSpan w:val="4"/>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6"/>
                <w:szCs w:val="16"/>
                <w:color w:val="auto"/>
              </w:rPr>
            </w:pPr>
          </w:p>
        </w:tc>
        <w:tc>
          <w:tcPr>
            <w:tcW w:w="86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(293,497)</w:t>
            </w:r>
          </w:p>
        </w:tc>
        <w:tc>
          <w:tcPr>
            <w:tcW w:w="160" w:type="dxa"/>
            <w:vAlign w:val="bottom"/>
          </w:tcPr>
          <w:p>
            <w:pPr>
              <w:spacing w:after="0"/>
              <w:rPr>
                <w:sz w:val="16"/>
                <w:szCs w:val="16"/>
                <w:color w:val="auto"/>
              </w:rPr>
            </w:pP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(293,497)</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185"/>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Forfeited - Inducement Plan . . . . . . . . . . . . . . . . .</w:t>
            </w:r>
          </w:p>
        </w:tc>
        <w:tc>
          <w:tcPr>
            <w:tcW w:w="220" w:type="dxa"/>
            <w:vAlign w:val="bottom"/>
          </w:tcPr>
          <w:p>
            <w:pPr>
              <w:spacing w:after="0"/>
              <w:rPr>
                <w:sz w:val="16"/>
                <w:szCs w:val="16"/>
                <w:color w:val="auto"/>
              </w:rPr>
            </w:pPr>
          </w:p>
        </w:tc>
        <w:tc>
          <w:tcPr>
            <w:tcW w:w="1460" w:type="dxa"/>
            <w:vAlign w:val="bottom"/>
            <w:gridSpan w:val="4"/>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8"/>
              </w:rPr>
              <w:t>(125,000)</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(125,000)</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185"/>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Forfeited - 2019 Plan . . . . . . . . . . . . . . . . . . . . . . .</w:t>
            </w:r>
          </w:p>
        </w:tc>
        <w:tc>
          <w:tcPr>
            <w:tcW w:w="220" w:type="dxa"/>
            <w:vAlign w:val="bottom"/>
          </w:tcPr>
          <w:p>
            <w:pPr>
              <w:spacing w:after="0"/>
              <w:rPr>
                <w:sz w:val="16"/>
                <w:szCs w:val="16"/>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(101,516)</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(101,516)</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186"/>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Expired - 2019 Plan . . . . . . . . . . . . . . . . . . . . . . . .</w:t>
            </w:r>
          </w:p>
        </w:tc>
        <w:tc>
          <w:tcPr>
            <w:tcW w:w="220" w:type="dxa"/>
            <w:vAlign w:val="bottom"/>
          </w:tcPr>
          <w:p>
            <w:pPr>
              <w:spacing w:after="0"/>
              <w:rPr>
                <w:sz w:val="16"/>
                <w:szCs w:val="16"/>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(438,684)</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(438,684)</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0" w:type="dxa"/>
            <w:vAlign w:val="bottom"/>
          </w:tcPr>
          <w:p>
            <w:pPr>
              <w:spacing w:after="0"/>
              <w:rPr>
                <w:sz w:val="1"/>
                <w:szCs w:val="1"/>
                <w:color w:val="auto"/>
              </w:rPr>
            </w:pPr>
          </w:p>
        </w:tc>
      </w:tr>
      <w:tr>
        <w:trPr>
          <w:trHeight w:val="194"/>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Expired - 2011 Plan . . . . . . . . . . . . . . . . . . . . . . . .</w:t>
            </w:r>
          </w:p>
        </w:tc>
        <w:tc>
          <w:tcPr>
            <w:tcW w:w="220" w:type="dxa"/>
            <w:vAlign w:val="bottom"/>
          </w:tcPr>
          <w:p>
            <w:pPr>
              <w:spacing w:after="0"/>
              <w:rPr>
                <w:sz w:val="16"/>
                <w:szCs w:val="16"/>
                <w:color w:val="auto"/>
              </w:rPr>
            </w:pPr>
          </w:p>
        </w:tc>
        <w:tc>
          <w:tcPr>
            <w:tcW w:w="1460" w:type="dxa"/>
            <w:vAlign w:val="bottom"/>
            <w:gridSpan w:val="4"/>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6"/>
                <w:szCs w:val="16"/>
                <w:color w:val="auto"/>
              </w:rPr>
            </w:pPr>
          </w:p>
        </w:tc>
        <w:tc>
          <w:tcPr>
            <w:tcW w:w="86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(44,297)</w:t>
            </w:r>
          </w:p>
        </w:tc>
        <w:tc>
          <w:tcPr>
            <w:tcW w:w="1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(44,297)</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0" w:type="dxa"/>
            <w:vAlign w:val="bottom"/>
          </w:tcPr>
          <w:p>
            <w:pPr>
              <w:spacing w:after="0"/>
              <w:rPr>
                <w:sz w:val="1"/>
                <w:szCs w:val="1"/>
                <w:color w:val="auto"/>
              </w:rPr>
            </w:pPr>
          </w:p>
        </w:tc>
      </w:tr>
      <w:tr>
        <w:trPr>
          <w:trHeight w:val="191"/>
        </w:trPr>
        <w:tc>
          <w:tcPr>
            <w:tcW w:w="3620" w:type="dxa"/>
            <w:vAlign w:val="bottom"/>
            <w:gridSpan w:val="2"/>
          </w:tcPr>
          <w:p>
            <w:pPr>
              <w:jc w:val="right"/>
              <w:ind w:right="320"/>
              <w:spacing w:after="0" w:line="182" w:lineRule="exact"/>
              <w:rPr>
                <w:sz w:val="20"/>
                <w:szCs w:val="20"/>
                <w:color w:val="auto"/>
              </w:rPr>
            </w:pPr>
            <w:r>
              <w:rPr>
                <w:rFonts w:ascii="Times New Roman" w:cs="Times New Roman" w:eastAsia="Times New Roman" w:hAnsi="Times New Roman"/>
                <w:sz w:val="16"/>
                <w:szCs w:val="16"/>
                <w:color w:val="auto"/>
              </w:rPr>
              <w:t>. . . . . . . . . . . . . . . . . . .Outstandingatendofyear</w:t>
            </w:r>
          </w:p>
        </w:tc>
        <w:tc>
          <w:tcPr>
            <w:tcW w:w="22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8,591,306</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710,000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1,294,691</w:t>
            </w:r>
          </w:p>
        </w:tc>
        <w:tc>
          <w:tcPr>
            <w:tcW w:w="20" w:type="dxa"/>
            <w:vAlign w:val="bottom"/>
            <w:tcBorders>
              <w:top w:val="single" w:sz="8" w:color="auto"/>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Borders>
              <w:top w:val="single" w:sz="8" w:color="auto"/>
              <w:bottom w:val="single" w:sz="8" w:color="auto"/>
            </w:tcBorders>
            <w:gridSpan w:val="2"/>
          </w:tcPr>
          <w:p>
            <w:pPr>
              <w:jc w:val="right"/>
              <w:spacing w:after="0" w:line="182" w:lineRule="exact"/>
              <w:rPr>
                <w:sz w:val="20"/>
                <w:szCs w:val="20"/>
                <w:color w:val="auto"/>
              </w:rPr>
            </w:pPr>
            <w:r>
              <w:rPr>
                <w:rFonts w:ascii="Times New Roman" w:cs="Times New Roman" w:eastAsia="Times New Roman" w:hAnsi="Times New Roman"/>
                <w:sz w:val="16"/>
                <w:szCs w:val="16"/>
                <w:color w:val="auto"/>
              </w:rPr>
              <w:t>10,595,997</w:t>
            </w:r>
          </w:p>
        </w:tc>
        <w:tc>
          <w:tcPr>
            <w:tcW w:w="20" w:type="dxa"/>
            <w:vAlign w:val="bottom"/>
            <w:tcBorders>
              <w:top w:val="single" w:sz="8" w:color="auto"/>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4.00</w:t>
            </w:r>
          </w:p>
        </w:tc>
        <w:tc>
          <w:tcPr>
            <w:tcW w:w="0" w:type="dxa"/>
            <w:vAlign w:val="bottom"/>
          </w:tcPr>
          <w:p>
            <w:pPr>
              <w:spacing w:after="0"/>
              <w:rPr>
                <w:sz w:val="1"/>
                <w:szCs w:val="1"/>
                <w:color w:val="auto"/>
              </w:rPr>
            </w:pPr>
          </w:p>
        </w:tc>
      </w:tr>
      <w:tr>
        <w:trPr>
          <w:trHeight w:val="169"/>
        </w:trPr>
        <w:tc>
          <w:tcPr>
            <w:tcW w:w="362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color w:val="auto"/>
              </w:rPr>
              <w:t>Outstanding at end of year - Weighted average</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exercise price . . . . . . . . . . . . . . . . . . . . . . . . . . . .</w:t>
            </w:r>
          </w:p>
        </w:tc>
        <w:tc>
          <w:tcPr>
            <w:tcW w:w="2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 . . . . . . . . . . . . . . . . . .Exercisableatendofyear</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5,759,369</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408,083</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1,294,691</w:t>
            </w:r>
          </w:p>
        </w:tc>
        <w:tc>
          <w:tcPr>
            <w:tcW w:w="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7,462,143</w:t>
            </w:r>
          </w:p>
        </w:tc>
        <w:tc>
          <w:tcPr>
            <w:tcW w:w="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0" w:type="dxa"/>
            <w:vAlign w:val="bottom"/>
          </w:tcPr>
          <w:p>
            <w:pPr>
              <w:spacing w:after="0"/>
              <w:rPr>
                <w:sz w:val="1"/>
                <w:szCs w:val="1"/>
                <w:color w:val="auto"/>
              </w:rPr>
            </w:pPr>
          </w:p>
        </w:tc>
      </w:tr>
      <w:tr>
        <w:trPr>
          <w:trHeight w:val="168"/>
        </w:trPr>
        <w:tc>
          <w:tcPr>
            <w:tcW w:w="362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Exercisable at end of year - Weighted average</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exercise price . . . . . . . . . . . . . . . . . . . . . . . . . . . .</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2"/>
          </w:tcPr>
          <w:p>
            <w:pPr>
              <w:spacing w:after="0"/>
              <w:rPr>
                <w:sz w:val="21"/>
                <w:szCs w:val="21"/>
                <w:color w:val="auto"/>
              </w:rPr>
            </w:pPr>
          </w:p>
        </w:tc>
        <w:tc>
          <w:tcPr>
            <w:tcW w:w="200" w:type="dxa"/>
            <w:vAlign w:val="bottom"/>
            <w:tcBorders>
              <w:bottom w:val="single" w:sz="8" w:color="auto"/>
            </w:tcBorders>
            <w:gridSpan w:val="2"/>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3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4"/>
          </w:tcPr>
          <w:p>
            <w:pPr>
              <w:jc w:val="right"/>
              <w:ind w:right="20"/>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center"/>
              <w:spacing w:after="0" w:line="156"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0" w:type="dxa"/>
            <w:vAlign w:val="bottom"/>
          </w:tcPr>
          <w:p>
            <w:pPr>
              <w:spacing w:after="0"/>
              <w:rPr>
                <w:sz w:val="1"/>
                <w:szCs w:val="1"/>
                <w:color w:val="auto"/>
              </w:rPr>
            </w:pPr>
          </w:p>
        </w:tc>
      </w:tr>
      <w:tr>
        <w:trPr>
          <w:trHeight w:val="185"/>
        </w:trPr>
        <w:tc>
          <w:tcPr>
            <w:tcW w:w="3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7"/>
              </w:rPr>
              <w:t>average</w:t>
            </w:r>
          </w:p>
        </w:tc>
        <w:tc>
          <w:tcPr>
            <w:tcW w:w="0" w:type="dxa"/>
            <w:vAlign w:val="bottom"/>
          </w:tcPr>
          <w:p>
            <w:pPr>
              <w:spacing w:after="0"/>
              <w:rPr>
                <w:sz w:val="1"/>
                <w:szCs w:val="1"/>
                <w:color w:val="auto"/>
              </w:rPr>
            </w:pPr>
          </w:p>
        </w:tc>
      </w:tr>
      <w:tr>
        <w:trPr>
          <w:trHeight w:val="194"/>
        </w:trPr>
        <w:tc>
          <w:tcPr>
            <w:tcW w:w="3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w w:val="95"/>
              </w:rPr>
              <w:t>of shares</w:t>
            </w:r>
          </w:p>
        </w:tc>
        <w:tc>
          <w:tcPr>
            <w:tcW w:w="6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exercise</w:t>
            </w:r>
          </w:p>
        </w:tc>
        <w:tc>
          <w:tcPr>
            <w:tcW w:w="0" w:type="dxa"/>
            <w:vAlign w:val="bottom"/>
          </w:tcPr>
          <w:p>
            <w:pPr>
              <w:spacing w:after="0"/>
              <w:rPr>
                <w:sz w:val="1"/>
                <w:szCs w:val="1"/>
                <w:color w:val="auto"/>
              </w:rPr>
            </w:pPr>
          </w:p>
        </w:tc>
      </w:tr>
      <w:tr>
        <w:trPr>
          <w:trHeight w:val="185"/>
        </w:trPr>
        <w:tc>
          <w:tcPr>
            <w:tcW w:w="36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Outstanding at beginning of year - 2011 Plan</w:t>
            </w:r>
          </w:p>
        </w:tc>
        <w:tc>
          <w:tcPr>
            <w:tcW w:w="220" w:type="dxa"/>
            <w:vAlign w:val="bottom"/>
          </w:tcPr>
          <w:p>
            <w:pPr>
              <w:spacing w:after="0"/>
              <w:rPr>
                <w:sz w:val="16"/>
                <w:szCs w:val="16"/>
                <w:color w:val="auto"/>
              </w:rPr>
            </w:pPr>
          </w:p>
        </w:tc>
        <w:tc>
          <w:tcPr>
            <w:tcW w:w="146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2019 Plan</w:t>
            </w:r>
          </w:p>
        </w:tc>
        <w:tc>
          <w:tcPr>
            <w:tcW w:w="154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Inducement Plan</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8"/>
              </w:rPr>
              <w:t>2011 Plan</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6"/>
                <w:szCs w:val="16"/>
                <w:color w:val="auto"/>
              </w:rPr>
            </w:pPr>
          </w:p>
        </w:tc>
        <w:tc>
          <w:tcPr>
            <w:tcW w:w="68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0" w:type="dxa"/>
            <w:vAlign w:val="bottom"/>
          </w:tcPr>
          <w:p>
            <w:pPr>
              <w:spacing w:after="0"/>
              <w:rPr>
                <w:sz w:val="1"/>
                <w:szCs w:val="1"/>
                <w:color w:val="auto"/>
              </w:rPr>
            </w:pPr>
          </w:p>
        </w:tc>
      </w:tr>
      <w:tr>
        <w:trPr>
          <w:trHeight w:val="169"/>
        </w:trPr>
        <w:tc>
          <w:tcPr>
            <w:tcW w:w="3620" w:type="dxa"/>
            <w:vAlign w:val="bottom"/>
            <w:gridSpan w:val="2"/>
            <w:vMerge w:val="continue"/>
          </w:tcPr>
          <w:p>
            <w:pPr>
              <w:jc w:val="right"/>
              <w:ind w:right="320"/>
              <w:spacing w:after="0" w:line="140" w:lineRule="exact"/>
              <w:rPr>
                <w:sz w:val="20"/>
                <w:szCs w:val="20"/>
                <w:color w:val="auto"/>
              </w:rPr>
            </w:pPr>
            <w:r>
              <w:rPr>
                <w:rFonts w:ascii="Times New Roman" w:cs="Times New Roman" w:eastAsia="Times New Roman" w:hAnsi="Times New Roman"/>
                <w:sz w:val="16"/>
                <w:szCs w:val="16"/>
                <w:color w:val="auto"/>
              </w:rPr>
              <w:t>. . . . .</w:t>
            </w:r>
          </w:p>
        </w:tc>
        <w:tc>
          <w:tcPr>
            <w:tcW w:w="2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right"/>
              <w:ind w:right="80"/>
              <w:spacing w:after="0" w:line="169"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gridSpan w:val="2"/>
          </w:tcPr>
          <w:p>
            <w:pPr>
              <w:jc w:val="right"/>
              <w:ind w:right="80"/>
              <w:spacing w:after="0" w:line="169"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1,694,233</w:t>
            </w:r>
          </w:p>
        </w:tc>
        <w:tc>
          <w:tcPr>
            <w:tcW w:w="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1,694,233</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2.09</w:t>
            </w:r>
          </w:p>
        </w:tc>
        <w:tc>
          <w:tcPr>
            <w:tcW w:w="0" w:type="dxa"/>
            <w:vAlign w:val="bottom"/>
          </w:tcPr>
          <w:p>
            <w:pPr>
              <w:spacing w:after="0"/>
              <w:rPr>
                <w:sz w:val="1"/>
                <w:szCs w:val="1"/>
                <w:color w:val="auto"/>
              </w:rPr>
            </w:pPr>
          </w:p>
        </w:tc>
      </w:tr>
      <w:tr>
        <w:trPr>
          <w:trHeight w:val="197"/>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Outstanding at beginning of year - 2019 Plan . . . . .</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6,406,897</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6,406,897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0" w:type="dxa"/>
            <w:vAlign w:val="bottom"/>
          </w:tcPr>
          <w:p>
            <w:pPr>
              <w:spacing w:after="0"/>
              <w:rPr>
                <w:sz w:val="1"/>
                <w:szCs w:val="1"/>
                <w:color w:val="auto"/>
              </w:rPr>
            </w:pPr>
          </w:p>
        </w:tc>
      </w:tr>
      <w:tr>
        <w:trPr>
          <w:trHeight w:val="185"/>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Outstanding at beginning of year - Inducement Plan</w:t>
            </w:r>
          </w:p>
        </w:tc>
        <w:tc>
          <w:tcPr>
            <w:tcW w:w="220" w:type="dxa"/>
            <w:vAlign w:val="bottom"/>
          </w:tcPr>
          <w:p>
            <w:pPr>
              <w:spacing w:after="0"/>
              <w:rPr>
                <w:sz w:val="16"/>
                <w:szCs w:val="16"/>
                <w:color w:val="auto"/>
              </w:rPr>
            </w:pPr>
          </w:p>
        </w:tc>
        <w:tc>
          <w:tcPr>
            <w:tcW w:w="1460" w:type="dxa"/>
            <w:vAlign w:val="bottom"/>
            <w:gridSpan w:val="4"/>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625,000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625,000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0" w:type="dxa"/>
            <w:vAlign w:val="bottom"/>
          </w:tcPr>
          <w:p>
            <w:pPr>
              <w:spacing w:after="0"/>
              <w:rPr>
                <w:sz w:val="1"/>
                <w:szCs w:val="1"/>
                <w:color w:val="auto"/>
              </w:rPr>
            </w:pPr>
          </w:p>
        </w:tc>
      </w:tr>
      <w:tr>
        <w:trPr>
          <w:trHeight w:val="185"/>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Granted - 2019 Plan . . . . . . . . . . . . . . . . . . . . . . .</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1,652,000</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1,652,000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185"/>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Exercised - 2011 Plan . . . . . . . . . . . . . . . . . . . . . .</w:t>
            </w:r>
          </w:p>
        </w:tc>
        <w:tc>
          <w:tcPr>
            <w:tcW w:w="220" w:type="dxa"/>
            <w:vAlign w:val="bottom"/>
          </w:tcPr>
          <w:p>
            <w:pPr>
              <w:spacing w:after="0"/>
              <w:rPr>
                <w:sz w:val="16"/>
                <w:szCs w:val="16"/>
                <w:color w:val="auto"/>
              </w:rPr>
            </w:pPr>
          </w:p>
        </w:tc>
        <w:tc>
          <w:tcPr>
            <w:tcW w:w="1460" w:type="dxa"/>
            <w:vAlign w:val="bottom"/>
            <w:gridSpan w:val="4"/>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6"/>
                <w:szCs w:val="16"/>
                <w:color w:val="auto"/>
              </w:rPr>
            </w:pPr>
          </w:p>
        </w:tc>
        <w:tc>
          <w:tcPr>
            <w:tcW w:w="86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(50,476)</w:t>
            </w: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(50,476)</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186"/>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Forfeited - Inducement Plan . . . . . . . . . . . . . . . . .</w:t>
            </w:r>
          </w:p>
        </w:tc>
        <w:tc>
          <w:tcPr>
            <w:tcW w:w="220" w:type="dxa"/>
            <w:vAlign w:val="bottom"/>
          </w:tcPr>
          <w:p>
            <w:pPr>
              <w:spacing w:after="0"/>
              <w:rPr>
                <w:sz w:val="16"/>
                <w:szCs w:val="16"/>
                <w:color w:val="auto"/>
              </w:rPr>
            </w:pPr>
          </w:p>
        </w:tc>
        <w:tc>
          <w:tcPr>
            <w:tcW w:w="1460" w:type="dxa"/>
            <w:vAlign w:val="bottom"/>
            <w:gridSpan w:val="4"/>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6"/>
                <w:szCs w:val="16"/>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(98,250)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(98,250)</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0" w:type="dxa"/>
            <w:vAlign w:val="bottom"/>
          </w:tcPr>
          <w:p>
            <w:pPr>
              <w:spacing w:after="0"/>
              <w:rPr>
                <w:sz w:val="1"/>
                <w:szCs w:val="1"/>
                <w:color w:val="auto"/>
              </w:rPr>
            </w:pPr>
          </w:p>
        </w:tc>
      </w:tr>
      <w:tr>
        <w:trPr>
          <w:trHeight w:val="185"/>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Forfeited - 2019 Plan . . . . . . . . . . . . . . . . . . . . . . .</w:t>
            </w:r>
          </w:p>
        </w:tc>
        <w:tc>
          <w:tcPr>
            <w:tcW w:w="220" w:type="dxa"/>
            <w:vAlign w:val="bottom"/>
          </w:tcPr>
          <w:p>
            <w:pPr>
              <w:spacing w:after="0"/>
              <w:rPr>
                <w:sz w:val="16"/>
                <w:szCs w:val="16"/>
                <w:color w:val="auto"/>
              </w:rPr>
            </w:pPr>
          </w:p>
        </w:tc>
        <w:tc>
          <w:tcPr>
            <w:tcW w:w="14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(386,053)</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(386,053)</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0" w:type="dxa"/>
            <w:vAlign w:val="bottom"/>
          </w:tcPr>
          <w:p>
            <w:pPr>
              <w:spacing w:after="0"/>
              <w:rPr>
                <w:sz w:val="1"/>
                <w:szCs w:val="1"/>
                <w:color w:val="auto"/>
              </w:rPr>
            </w:pPr>
          </w:p>
        </w:tc>
      </w:tr>
      <w:tr>
        <w:trPr>
          <w:trHeight w:val="185"/>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Expired - 2019 Plan . . . . . . . . . . . . . . . . . . . . . . . .</w:t>
            </w:r>
          </w:p>
        </w:tc>
        <w:tc>
          <w:tcPr>
            <w:tcW w:w="220" w:type="dxa"/>
            <w:vAlign w:val="bottom"/>
          </w:tcPr>
          <w:p>
            <w:pPr>
              <w:spacing w:after="0"/>
              <w:rPr>
                <w:sz w:val="16"/>
                <w:szCs w:val="16"/>
                <w:color w:val="auto"/>
              </w:rPr>
            </w:pPr>
          </w:p>
        </w:tc>
        <w:tc>
          <w:tcPr>
            <w:tcW w:w="14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(68,238)</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(68,238)</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0" w:type="dxa"/>
            <w:vAlign w:val="bottom"/>
          </w:tcPr>
          <w:p>
            <w:pPr>
              <w:spacing w:after="0"/>
              <w:rPr>
                <w:sz w:val="1"/>
                <w:szCs w:val="1"/>
                <w:color w:val="auto"/>
              </w:rPr>
            </w:pPr>
          </w:p>
        </w:tc>
      </w:tr>
      <w:tr>
        <w:trPr>
          <w:trHeight w:val="185"/>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Expired - 2011 Plan . . . . . . . . . . . . . . . . . . . . . . . .</w:t>
            </w:r>
          </w:p>
        </w:tc>
        <w:tc>
          <w:tcPr>
            <w:tcW w:w="220" w:type="dxa"/>
            <w:vAlign w:val="bottom"/>
          </w:tcPr>
          <w:p>
            <w:pPr>
              <w:spacing w:after="0"/>
              <w:rPr>
                <w:sz w:val="16"/>
                <w:szCs w:val="16"/>
                <w:color w:val="auto"/>
              </w:rPr>
            </w:pPr>
          </w:p>
        </w:tc>
        <w:tc>
          <w:tcPr>
            <w:tcW w:w="1460" w:type="dxa"/>
            <w:vAlign w:val="bottom"/>
            <w:gridSpan w:val="4"/>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6"/>
                <w:szCs w:val="16"/>
                <w:color w:val="auto"/>
              </w:rPr>
            </w:pPr>
          </w:p>
        </w:tc>
        <w:tc>
          <w:tcPr>
            <w:tcW w:w="86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(11,272)</w:t>
            </w: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(11,272)</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0" w:type="dxa"/>
            <w:vAlign w:val="bottom"/>
          </w:tcPr>
          <w:p>
            <w:pPr>
              <w:spacing w:after="0"/>
              <w:rPr>
                <w:sz w:val="1"/>
                <w:szCs w:val="1"/>
                <w:color w:val="auto"/>
              </w:rPr>
            </w:pPr>
          </w:p>
        </w:tc>
      </w:tr>
      <w:tr>
        <w:trPr>
          <w:trHeight w:val="196"/>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Expired - Inducement Plan . . . . . . . . . . . . . . . . . .</w:t>
            </w:r>
          </w:p>
        </w:tc>
        <w:tc>
          <w:tcPr>
            <w:tcW w:w="220" w:type="dxa"/>
            <w:vAlign w:val="bottom"/>
          </w:tcPr>
          <w:p>
            <w:pPr>
              <w:spacing w:after="0"/>
              <w:rPr>
                <w:sz w:val="17"/>
                <w:szCs w:val="17"/>
                <w:color w:val="auto"/>
              </w:rPr>
            </w:pPr>
          </w:p>
        </w:tc>
        <w:tc>
          <w:tcPr>
            <w:tcW w:w="1460" w:type="dxa"/>
            <w:vAlign w:val="bottom"/>
            <w:gridSpan w:val="4"/>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7"/>
                <w:szCs w:val="17"/>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(30,750)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(30,750)</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0" w:type="dxa"/>
            <w:vAlign w:val="bottom"/>
          </w:tcPr>
          <w:p>
            <w:pPr>
              <w:spacing w:after="0"/>
              <w:rPr>
                <w:sz w:val="1"/>
                <w:szCs w:val="1"/>
                <w:color w:val="auto"/>
              </w:rPr>
            </w:pPr>
          </w:p>
        </w:tc>
      </w:tr>
      <w:tr>
        <w:trPr>
          <w:trHeight w:val="191"/>
        </w:trPr>
        <w:tc>
          <w:tcPr>
            <w:tcW w:w="3620" w:type="dxa"/>
            <w:vAlign w:val="bottom"/>
            <w:gridSpan w:val="2"/>
          </w:tcPr>
          <w:p>
            <w:pPr>
              <w:jc w:val="right"/>
              <w:ind w:right="320"/>
              <w:spacing w:after="0" w:line="182" w:lineRule="exact"/>
              <w:rPr>
                <w:sz w:val="20"/>
                <w:szCs w:val="20"/>
                <w:color w:val="auto"/>
              </w:rPr>
            </w:pPr>
            <w:r>
              <w:rPr>
                <w:rFonts w:ascii="Times New Roman" w:cs="Times New Roman" w:eastAsia="Times New Roman" w:hAnsi="Times New Roman"/>
                <w:sz w:val="16"/>
                <w:szCs w:val="16"/>
                <w:color w:val="auto"/>
              </w:rPr>
              <w:t>. . . . . . . . . . . . . . . . .Outstandingatendofperiod</w:t>
            </w:r>
          </w:p>
        </w:tc>
        <w:tc>
          <w:tcPr>
            <w:tcW w:w="22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7,604,606</w:t>
            </w:r>
          </w:p>
        </w:tc>
        <w:tc>
          <w:tcPr>
            <w:tcW w:w="20" w:type="dxa"/>
            <w:vAlign w:val="bottom"/>
            <w:tcBorders>
              <w:top w:val="single" w:sz="8" w:color="auto"/>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496,000</w:t>
            </w:r>
          </w:p>
        </w:tc>
        <w:tc>
          <w:tcPr>
            <w:tcW w:w="20" w:type="dxa"/>
            <w:vAlign w:val="bottom"/>
            <w:tcBorders>
              <w:top w:val="single" w:sz="8" w:color="auto"/>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1,632,485</w:t>
            </w:r>
          </w:p>
        </w:tc>
        <w:tc>
          <w:tcPr>
            <w:tcW w:w="20" w:type="dxa"/>
            <w:vAlign w:val="bottom"/>
            <w:tcBorders>
              <w:top w:val="single" w:sz="8" w:color="auto"/>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9,733,091</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4.54</w:t>
            </w:r>
          </w:p>
        </w:tc>
        <w:tc>
          <w:tcPr>
            <w:tcW w:w="0" w:type="dxa"/>
            <w:vAlign w:val="bottom"/>
          </w:tcPr>
          <w:p>
            <w:pPr>
              <w:spacing w:after="0"/>
              <w:rPr>
                <w:sz w:val="1"/>
                <w:szCs w:val="1"/>
                <w:color w:val="auto"/>
              </w:rPr>
            </w:pPr>
          </w:p>
        </w:tc>
      </w:tr>
      <w:tr>
        <w:trPr>
          <w:trHeight w:val="168"/>
        </w:trPr>
        <w:tc>
          <w:tcPr>
            <w:tcW w:w="362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Outstanding at end of year - Weighted average</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exercise price . . . . . . . . . . . . . . . . . . . . . . . . . . . .</w:t>
            </w:r>
          </w:p>
        </w:tc>
        <w:tc>
          <w:tcPr>
            <w:tcW w:w="2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 . . . . . . . . . . . . . . . . . .Exercisableatendofyear</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4,850,552</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319,291</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1,632,485</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6,802,328</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0" w:type="dxa"/>
            <w:vAlign w:val="bottom"/>
          </w:tcPr>
          <w:p>
            <w:pPr>
              <w:spacing w:after="0"/>
              <w:rPr>
                <w:sz w:val="1"/>
                <w:szCs w:val="1"/>
                <w:color w:val="auto"/>
              </w:rPr>
            </w:pPr>
          </w:p>
        </w:tc>
      </w:tr>
      <w:tr>
        <w:trPr>
          <w:trHeight w:val="169"/>
        </w:trPr>
        <w:tc>
          <w:tcPr>
            <w:tcW w:w="3620" w:type="dxa"/>
            <w:vAlign w:val="bottom"/>
            <w:gridSpan w:val="2"/>
          </w:tcPr>
          <w:p>
            <w:pPr>
              <w:spacing w:after="0" w:line="169" w:lineRule="exact"/>
              <w:rPr>
                <w:sz w:val="20"/>
                <w:szCs w:val="20"/>
                <w:color w:val="auto"/>
              </w:rPr>
            </w:pPr>
            <w:r>
              <w:rPr>
                <w:rFonts w:ascii="Times New Roman" w:cs="Times New Roman" w:eastAsia="Times New Roman" w:hAnsi="Times New Roman"/>
                <w:sz w:val="16"/>
                <w:szCs w:val="16"/>
                <w:color w:val="auto"/>
              </w:rPr>
              <w:t>Exercisable at end of year - Weighted average</w:t>
            </w: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exercise price . . . . . . . . . . . . . . . . . . . . . . . . . . . .</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weighted average remaining contractual life was 6.43 and 6.71 years for outstanding options as of December 31, 2025 and 2024, respectively. The weighted average remaining contractual life was 5.54 and 5.92 years for vested options, as of December 31, 2025 and 2024, respectively.</w:t>
      </w:r>
    </w:p>
    <w:p>
      <w:pPr>
        <w:spacing w:after="0" w:line="1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There was $3.8 million and $5.1 million of total unrecognized compensation cost related to non - vested share options as of December 31, 2025 and 2024, respectively. The share options are expected to be recognized over a remaining weighted average vesting period of 1.88 years and 1.48 years as of December 31, 2025 and 2024, respectively.</w:t>
      </w:r>
    </w:p>
    <w:p>
      <w:pPr>
        <w:spacing w:after="0" w:line="183" w:lineRule="exact"/>
        <w:rPr>
          <w:sz w:val="20"/>
          <w:szCs w:val="20"/>
          <w:color w:val="auto"/>
        </w:rPr>
      </w:pPr>
    </w:p>
    <w:p>
      <w:pPr>
        <w:jc w:val="both"/>
        <w:spacing w:after="0" w:line="308" w:lineRule="auto"/>
        <w:rPr>
          <w:sz w:val="20"/>
          <w:szCs w:val="20"/>
          <w:color w:val="auto"/>
        </w:rPr>
      </w:pPr>
      <w:r>
        <w:rPr>
          <w:rFonts w:ascii="Times New Roman" w:cs="Times New Roman" w:eastAsia="Times New Roman" w:hAnsi="Times New Roman"/>
          <w:sz w:val="19"/>
          <w:szCs w:val="19"/>
          <w:color w:val="auto"/>
        </w:rPr>
        <w:t>Options granted are valued using the Black-Scholes option pricing model. This model also requires assumptions, including expected option life, volatility, risk-free interest rate and dividend yield, which greatly affect the calculated values.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113</w:t>
      </w:r>
    </w:p>
    <w:p>
      <w:pPr>
        <w:sectPr>
          <w:pgSz w:w="11880" w:h="15480" w:orient="portrait"/>
          <w:cols w:equalWidth="0" w:num="1">
            <w:col w:w="9720"/>
          </w:cols>
          <w:pgMar w:left="1080" w:top="456" w:right="1080" w:bottom="544"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20"/>
          <w:szCs w:val="20"/>
          <w:b w:val="1"/>
          <w:bCs w:val="1"/>
          <w:color w:val="auto"/>
        </w:rPr>
        <w:t>Milestone Pharmaceuticals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US dollars, except share and per share data)</w:t>
      </w:r>
    </w:p>
    <w:p>
      <w:pPr>
        <w:spacing w:after="0" w:line="226"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20"/>
          <w:szCs w:val="20"/>
          <w:color w:val="auto"/>
        </w:rPr>
        <w:t>Amortization of the fair value of the options over vesting years has been expensed and credited to additional paid-in capital in shareholders’ equity. The non-vested options as of December 31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4"/>
          </w:tcPr>
          <w:p>
            <w:pPr>
              <w:jc w:val="center"/>
              <w:ind w:right="360"/>
              <w:spacing w:after="0" w:line="155"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center"/>
              <w:ind w:right="20"/>
              <w:spacing w:after="0" w:line="155"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96"/>
        </w:trPr>
        <w:tc>
          <w:tcPr>
            <w:tcW w:w="4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of options</w:t>
            </w: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84"/>
        </w:trPr>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Non-vested share options at beginning of year - 2019 Plan</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w w:val="98"/>
              </w:rPr>
              <w:t>2019 Plan</w:t>
            </w:r>
          </w:p>
        </w:tc>
        <w:tc>
          <w:tcPr>
            <w:tcW w:w="1360" w:type="dxa"/>
            <w:vAlign w:val="bottom"/>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rPr>
              <w:t>Inducement Plan</w:t>
            </w:r>
          </w:p>
        </w:tc>
        <w:tc>
          <w:tcPr>
            <w:tcW w:w="100" w:type="dxa"/>
            <w:vAlign w:val="bottom"/>
          </w:tcPr>
          <w:p>
            <w:pPr>
              <w:spacing w:after="0"/>
              <w:rPr>
                <w:sz w:val="16"/>
                <w:szCs w:val="16"/>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2011 Plan</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7"/>
              </w:rPr>
              <w:t>fair value</w:t>
            </w:r>
          </w:p>
        </w:tc>
        <w:tc>
          <w:tcPr>
            <w:tcW w:w="0" w:type="dxa"/>
            <w:vAlign w:val="bottom"/>
          </w:tcPr>
          <w:p>
            <w:pPr>
              <w:spacing w:after="0"/>
              <w:rPr>
                <w:sz w:val="1"/>
                <w:szCs w:val="1"/>
                <w:color w:val="auto"/>
              </w:rPr>
            </w:pPr>
          </w:p>
        </w:tc>
      </w:tr>
      <w:tr>
        <w:trPr>
          <w:trHeight w:val="157"/>
        </w:trPr>
        <w:tc>
          <w:tcPr>
            <w:tcW w:w="4180" w:type="dxa"/>
            <w:vAlign w:val="bottom"/>
            <w:gridSpan w:val="2"/>
            <w:vMerge w:val="continue"/>
          </w:tcPr>
          <w:p>
            <w:pPr>
              <w:jc w:val="right"/>
              <w:ind w:right="200"/>
              <w:spacing w:after="0" w:line="138" w:lineRule="exact"/>
              <w:rPr>
                <w:sz w:val="20"/>
                <w:szCs w:val="20"/>
                <w:color w:val="auto"/>
              </w:rPr>
            </w:pPr>
            <w:r>
              <w:rPr>
                <w:rFonts w:ascii="Times New Roman" w:cs="Times New Roman" w:eastAsia="Times New Roman" w:hAnsi="Times New Roman"/>
                <w:sz w:val="16"/>
                <w:szCs w:val="16"/>
                <w:color w:val="auto"/>
              </w:rPr>
              <w:t>. . .</w:t>
            </w: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rPr>
              <w:t>2,754,054</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ind w:left="620"/>
              <w:spacing w:after="0" w:line="158"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Borders>
              <w:top w:val="single" w:sz="8" w:color="auto"/>
            </w:tcBorders>
            <w:gridSpan w:val="2"/>
          </w:tcPr>
          <w:p>
            <w:pPr>
              <w:jc w:val="right"/>
              <w:spacing w:after="0" w:line="158" w:lineRule="exact"/>
              <w:rPr>
                <w:sz w:val="20"/>
                <w:szCs w:val="20"/>
                <w:color w:val="auto"/>
              </w:rPr>
            </w:pPr>
            <w:r>
              <w:rPr>
                <w:rFonts w:ascii="Times New Roman" w:cs="Times New Roman" w:eastAsia="Times New Roman" w:hAnsi="Times New Roman"/>
                <w:sz w:val="16"/>
                <w:szCs w:val="16"/>
                <w:color w:val="auto"/>
              </w:rPr>
              <w:t>2,754,054</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gridSpan w:val="2"/>
          </w:tcPr>
          <w:p>
            <w:pPr>
              <w:jc w:val="right"/>
              <w:spacing w:after="0" w:line="158"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184"/>
        </w:trPr>
        <w:tc>
          <w:tcPr>
            <w:tcW w:w="4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Non-vested share options at beginning of year - Inducement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Plan . . . . . . . . . . . . . . . . . . . . . . . . . . . . . . . . . . . . . . . . . .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176,709</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176,709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0" w:type="dxa"/>
            <w:vAlign w:val="bottom"/>
          </w:tcPr>
          <w:p>
            <w:pPr>
              <w:spacing w:after="0"/>
              <w:rPr>
                <w:sz w:val="1"/>
                <w:szCs w:val="1"/>
                <w:color w:val="auto"/>
              </w:rPr>
            </w:pPr>
          </w:p>
        </w:tc>
      </w:tr>
      <w:tr>
        <w:trPr>
          <w:trHeight w:val="185"/>
        </w:trPr>
        <w:tc>
          <w:tcPr>
            <w:tcW w:w="4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Granted - 2019 Plan . . . . . . . . . . . . . . . . . . . . . . . . . . . . . .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1,526,900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8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1,526,900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185"/>
        </w:trPr>
        <w:tc>
          <w:tcPr>
            <w:tcW w:w="4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Granted - Inducement Plan . . . . . . . . . . . . . . . . . . . . . . . . .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339,000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339,000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185"/>
        </w:trPr>
        <w:tc>
          <w:tcPr>
            <w:tcW w:w="4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Vested, outstanding - 2019 Plan . . . . . . . . . . . . . . . . . . . . . .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(1,347,501)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8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(1,347,501)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0" w:type="dxa"/>
            <w:vAlign w:val="bottom"/>
          </w:tcPr>
          <w:p>
            <w:pPr>
              <w:spacing w:after="0"/>
              <w:rPr>
                <w:sz w:val="1"/>
                <w:szCs w:val="1"/>
                <w:color w:val="auto"/>
              </w:rPr>
            </w:pPr>
          </w:p>
        </w:tc>
      </w:tr>
      <w:tr>
        <w:trPr>
          <w:trHeight w:val="185"/>
        </w:trPr>
        <w:tc>
          <w:tcPr>
            <w:tcW w:w="4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Vested, outstanding - Inducement Plan . . . . . . . . . . . . . . . .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(115,875)</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(115,875)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0" w:type="dxa"/>
            <w:vAlign w:val="bottom"/>
          </w:tcPr>
          <w:p>
            <w:pPr>
              <w:spacing w:after="0"/>
              <w:rPr>
                <w:sz w:val="1"/>
                <w:szCs w:val="1"/>
                <w:color w:val="auto"/>
              </w:rPr>
            </w:pPr>
          </w:p>
        </w:tc>
      </w:tr>
      <w:tr>
        <w:trPr>
          <w:trHeight w:val="185"/>
        </w:trPr>
        <w:tc>
          <w:tcPr>
            <w:tcW w:w="4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Forfeited - Inducement Plan. . . . . . . . . . . . . . . . . . . . . . . . .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(97,917)</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(97,917)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0" w:type="dxa"/>
            <w:vAlign w:val="bottom"/>
          </w:tcPr>
          <w:p>
            <w:pPr>
              <w:spacing w:after="0"/>
              <w:rPr>
                <w:sz w:val="1"/>
                <w:szCs w:val="1"/>
                <w:color w:val="auto"/>
              </w:rPr>
            </w:pPr>
          </w:p>
        </w:tc>
      </w:tr>
      <w:tr>
        <w:trPr>
          <w:trHeight w:val="196"/>
        </w:trPr>
        <w:tc>
          <w:tcPr>
            <w:tcW w:w="4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Forfeited - 2019 Plan . . . . . . . . . . . . . . . . . . . . . . . . . . . . . .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(101,516)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(101,516)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r>
        <w:trPr>
          <w:trHeight w:val="191"/>
        </w:trPr>
        <w:tc>
          <w:tcPr>
            <w:tcW w:w="4180" w:type="dxa"/>
            <w:vAlign w:val="bottom"/>
            <w:gridSpan w:val="2"/>
          </w:tcPr>
          <w:p>
            <w:pPr>
              <w:jc w:val="right"/>
              <w:ind w:right="200"/>
              <w:spacing w:after="0" w:line="182" w:lineRule="exact"/>
              <w:rPr>
                <w:sz w:val="20"/>
                <w:szCs w:val="20"/>
                <w:color w:val="auto"/>
              </w:rPr>
            </w:pPr>
            <w:r>
              <w:rPr>
                <w:rFonts w:ascii="Times New Roman" w:cs="Times New Roman" w:eastAsia="Times New Roman" w:hAnsi="Times New Roman"/>
                <w:sz w:val="16"/>
                <w:szCs w:val="16"/>
                <w:color w:val="auto"/>
              </w:rPr>
              <w:t>. . . . . . . . . . . . . . . . .Non-vestedshareoptionsatendofyear</w:t>
            </w: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2,831,937</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301,917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ind w:left="620"/>
              <w:spacing w:after="0" w:line="182"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Borders>
              <w:top w:val="single" w:sz="8" w:color="auto"/>
              <w:bottom w:val="single" w:sz="8" w:color="auto"/>
            </w:tcBorders>
            <w:gridSpan w:val="2"/>
          </w:tcPr>
          <w:p>
            <w:pPr>
              <w:jc w:val="right"/>
              <w:spacing w:after="0" w:line="182" w:lineRule="exact"/>
              <w:rPr>
                <w:sz w:val="20"/>
                <w:szCs w:val="20"/>
                <w:color w:val="auto"/>
              </w:rPr>
            </w:pPr>
            <w:r>
              <w:rPr>
                <w:rFonts w:ascii="Times New Roman" w:cs="Times New Roman" w:eastAsia="Times New Roman" w:hAnsi="Times New Roman"/>
                <w:sz w:val="16"/>
                <w:szCs w:val="16"/>
                <w:color w:val="auto"/>
              </w:rPr>
              <w:t>3,133,854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gridSpan w:val="2"/>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1.82</w:t>
            </w:r>
          </w:p>
        </w:tc>
        <w:tc>
          <w:tcPr>
            <w:tcW w:w="0" w:type="dxa"/>
            <w:vAlign w:val="bottom"/>
          </w:tcPr>
          <w:p>
            <w:pPr>
              <w:spacing w:after="0"/>
              <w:rPr>
                <w:sz w:val="1"/>
                <w:szCs w:val="1"/>
                <w:color w:val="auto"/>
              </w:rPr>
            </w:pPr>
          </w:p>
        </w:tc>
      </w:tr>
      <w:tr>
        <w:trPr>
          <w:trHeight w:val="168"/>
        </w:trPr>
        <w:tc>
          <w:tcPr>
            <w:tcW w:w="418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Non-vested share options at end of period - Weighted average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fair value . . . . . . . . . . . . . . . . . . . . . . . . . . . . . . . . . . . . . . .</w:t>
            </w:r>
          </w:p>
        </w:tc>
        <w:tc>
          <w:tcPr>
            <w:tcW w:w="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16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4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80"/>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4"/>
          </w:tcPr>
          <w:p>
            <w:pPr>
              <w:jc w:val="center"/>
              <w:ind w:right="320"/>
              <w:spacing w:after="0" w:line="156"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center"/>
              <w:ind w:right="20"/>
              <w:spacing w:after="0" w:line="156"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94"/>
        </w:trPr>
        <w:tc>
          <w:tcPr>
            <w:tcW w:w="4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of options</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85"/>
        </w:trPr>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Non-vested share options at beginning of year - 2019 Plan</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2019 Plan</w:t>
            </w:r>
          </w:p>
        </w:tc>
        <w:tc>
          <w:tcPr>
            <w:tcW w:w="20" w:type="dxa"/>
            <w:vAlign w:val="bottom"/>
          </w:tcPr>
          <w:p>
            <w:pPr>
              <w:spacing w:after="0"/>
              <w:rPr>
                <w:sz w:val="16"/>
                <w:szCs w:val="16"/>
                <w:color w:val="auto"/>
              </w:rPr>
            </w:pPr>
          </w:p>
        </w:tc>
        <w:tc>
          <w:tcPr>
            <w:tcW w:w="1340" w:type="dxa"/>
            <w:vAlign w:val="bottom"/>
            <w:gridSpan w:val="6"/>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Inducement Plan</w:t>
            </w:r>
          </w:p>
        </w:tc>
        <w:tc>
          <w:tcPr>
            <w:tcW w:w="100" w:type="dxa"/>
            <w:vAlign w:val="bottom"/>
          </w:tcPr>
          <w:p>
            <w:pPr>
              <w:spacing w:after="0"/>
              <w:rPr>
                <w:sz w:val="16"/>
                <w:szCs w:val="16"/>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2011 Plan</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158"/>
        </w:trPr>
        <w:tc>
          <w:tcPr>
            <w:tcW w:w="4180" w:type="dxa"/>
            <w:vAlign w:val="bottom"/>
            <w:gridSpan w:val="2"/>
            <w:vMerge w:val="continue"/>
          </w:tcPr>
          <w:p>
            <w:pPr>
              <w:jc w:val="right"/>
              <w:ind w:right="200"/>
              <w:spacing w:after="0" w:line="140" w:lineRule="exact"/>
              <w:rPr>
                <w:sz w:val="20"/>
                <w:szCs w:val="20"/>
                <w:color w:val="auto"/>
              </w:rPr>
            </w:pPr>
            <w:r>
              <w:rPr>
                <w:rFonts w:ascii="Times New Roman" w:cs="Times New Roman" w:eastAsia="Times New Roman" w:hAnsi="Times New Roman"/>
                <w:sz w:val="16"/>
                <w:szCs w:val="16"/>
                <w:color w:val="auto"/>
              </w:rPr>
              <w:t>. . .</w:t>
            </w: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rPr>
              <w:t>3,178,475</w:t>
            </w:r>
          </w:p>
        </w:tc>
        <w:tc>
          <w:tcPr>
            <w:tcW w:w="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right"/>
              <w:ind w:right="60"/>
              <w:spacing w:after="0" w:line="158"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ind w:left="640"/>
              <w:spacing w:after="0" w:line="158"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auto"/>
            </w:tcBorders>
          </w:tcPr>
          <w:p>
            <w:pPr>
              <w:spacing w:after="0"/>
              <w:rPr>
                <w:sz w:val="13"/>
                <w:szCs w:val="13"/>
                <w:color w:val="auto"/>
              </w:rPr>
            </w:pPr>
          </w:p>
        </w:tc>
        <w:tc>
          <w:tcPr>
            <w:tcW w:w="200" w:type="dxa"/>
            <w:vAlign w:val="bottom"/>
            <w:gridSpan w:val="2"/>
          </w:tcPr>
          <w:p>
            <w:pPr>
              <w:spacing w:after="0"/>
              <w:rPr>
                <w:sz w:val="13"/>
                <w:szCs w:val="13"/>
                <w:color w:val="auto"/>
              </w:rPr>
            </w:pPr>
          </w:p>
        </w:tc>
        <w:tc>
          <w:tcPr>
            <w:tcW w:w="78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rPr>
              <w:t>3,178,475</w:t>
            </w: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rPr>
              <w:t>3.64</w:t>
            </w:r>
          </w:p>
        </w:tc>
        <w:tc>
          <w:tcPr>
            <w:tcW w:w="0" w:type="dxa"/>
            <w:vAlign w:val="bottom"/>
          </w:tcPr>
          <w:p>
            <w:pPr>
              <w:spacing w:after="0"/>
              <w:rPr>
                <w:sz w:val="1"/>
                <w:szCs w:val="1"/>
                <w:color w:val="auto"/>
              </w:rPr>
            </w:pPr>
          </w:p>
        </w:tc>
      </w:tr>
      <w:tr>
        <w:trPr>
          <w:trHeight w:val="184"/>
        </w:trPr>
        <w:tc>
          <w:tcPr>
            <w:tcW w:w="4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Non-vested share options at beginning of year - Inducement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Plan . . . . . . . . . . . . . . . . . . . . . . . . . . . . . . . . . . . . . . . . . .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403,167</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403,167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0" w:type="dxa"/>
            <w:vAlign w:val="bottom"/>
          </w:tcPr>
          <w:p>
            <w:pPr>
              <w:spacing w:after="0"/>
              <w:rPr>
                <w:sz w:val="1"/>
                <w:szCs w:val="1"/>
                <w:color w:val="auto"/>
              </w:rPr>
            </w:pPr>
          </w:p>
        </w:tc>
      </w:tr>
      <w:tr>
        <w:trPr>
          <w:trHeight w:val="186"/>
        </w:trPr>
        <w:tc>
          <w:tcPr>
            <w:tcW w:w="4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Granted - 2019 Plan . . . . . . . . . . . . . . . . . . . . . . . . . . . . . .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1,652,000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1,652,000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185"/>
        </w:trPr>
        <w:tc>
          <w:tcPr>
            <w:tcW w:w="4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Vested, outstanding - 2019 Plan . . . . . . . . . . . . . . . . . . . . . .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(1,690,368)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6"/>
          </w:tcPr>
          <w:p>
            <w:pPr>
              <w:jc w:val="right"/>
              <w:ind w:right="100"/>
              <w:spacing w:after="0"/>
              <w:rPr>
                <w:sz w:val="20"/>
                <w:szCs w:val="20"/>
                <w:color w:val="auto"/>
              </w:rPr>
            </w:pPr>
            <w:r>
              <w:rPr>
                <w:rFonts w:ascii="Times New Roman" w:cs="Times New Roman" w:eastAsia="Times New Roman" w:hAnsi="Times New Roman"/>
                <w:sz w:val="16"/>
                <w:szCs w:val="16"/>
                <w:color w:val="auto"/>
              </w:rPr>
              <w:t>(1,690,368)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0" w:type="dxa"/>
            <w:vAlign w:val="bottom"/>
          </w:tcPr>
          <w:p>
            <w:pPr>
              <w:spacing w:after="0"/>
              <w:rPr>
                <w:sz w:val="1"/>
                <w:szCs w:val="1"/>
                <w:color w:val="auto"/>
              </w:rPr>
            </w:pPr>
          </w:p>
        </w:tc>
      </w:tr>
      <w:tr>
        <w:trPr>
          <w:trHeight w:val="185"/>
        </w:trPr>
        <w:tc>
          <w:tcPr>
            <w:tcW w:w="4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Vested, outstanding - Inducement Plan . . . . . . . . . . . . . . . .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(128,208)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6"/>
          </w:tcPr>
          <w:p>
            <w:pPr>
              <w:jc w:val="right"/>
              <w:ind w:right="100"/>
              <w:spacing w:after="0"/>
              <w:rPr>
                <w:sz w:val="20"/>
                <w:szCs w:val="20"/>
                <w:color w:val="auto"/>
              </w:rPr>
            </w:pPr>
            <w:r>
              <w:rPr>
                <w:rFonts w:ascii="Times New Roman" w:cs="Times New Roman" w:eastAsia="Times New Roman" w:hAnsi="Times New Roman"/>
                <w:sz w:val="16"/>
                <w:szCs w:val="16"/>
                <w:color w:val="auto"/>
              </w:rPr>
              <w:t>(128,208)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0" w:type="dxa"/>
            <w:vAlign w:val="bottom"/>
          </w:tcPr>
          <w:p>
            <w:pPr>
              <w:spacing w:after="0"/>
              <w:rPr>
                <w:sz w:val="1"/>
                <w:szCs w:val="1"/>
                <w:color w:val="auto"/>
              </w:rPr>
            </w:pPr>
          </w:p>
        </w:tc>
      </w:tr>
      <w:tr>
        <w:trPr>
          <w:trHeight w:val="185"/>
        </w:trPr>
        <w:tc>
          <w:tcPr>
            <w:tcW w:w="4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Forfeited - Inducement Plan. . . . . . . . . . . . . . . . . . . . . . . . .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(98,250)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(98,250)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0" w:type="dxa"/>
            <w:vAlign w:val="bottom"/>
          </w:tcPr>
          <w:p>
            <w:pPr>
              <w:spacing w:after="0"/>
              <w:rPr>
                <w:sz w:val="1"/>
                <w:szCs w:val="1"/>
                <w:color w:val="auto"/>
              </w:rPr>
            </w:pPr>
          </w:p>
        </w:tc>
      </w:tr>
      <w:tr>
        <w:trPr>
          <w:trHeight w:val="196"/>
        </w:trPr>
        <w:tc>
          <w:tcPr>
            <w:tcW w:w="4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Forfeited - 2019 Plan . . . . . . . . . . . . . . . . . . . . . . . . . . . . . .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(386,053)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6"/>
          </w:tcPr>
          <w:p>
            <w:pPr>
              <w:jc w:val="right"/>
              <w:ind w:right="100"/>
              <w:spacing w:after="0"/>
              <w:rPr>
                <w:sz w:val="20"/>
                <w:szCs w:val="20"/>
                <w:color w:val="auto"/>
              </w:rPr>
            </w:pPr>
            <w:r>
              <w:rPr>
                <w:rFonts w:ascii="Times New Roman" w:cs="Times New Roman" w:eastAsia="Times New Roman" w:hAnsi="Times New Roman"/>
                <w:sz w:val="16"/>
                <w:szCs w:val="16"/>
                <w:color w:val="auto"/>
              </w:rPr>
              <w:t>(386,053)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0" w:type="dxa"/>
            <w:vAlign w:val="bottom"/>
          </w:tcPr>
          <w:p>
            <w:pPr>
              <w:spacing w:after="0"/>
              <w:rPr>
                <w:sz w:val="1"/>
                <w:szCs w:val="1"/>
                <w:color w:val="auto"/>
              </w:rPr>
            </w:pPr>
          </w:p>
        </w:tc>
      </w:tr>
      <w:tr>
        <w:trPr>
          <w:trHeight w:val="191"/>
        </w:trPr>
        <w:tc>
          <w:tcPr>
            <w:tcW w:w="4180" w:type="dxa"/>
            <w:vAlign w:val="bottom"/>
            <w:gridSpan w:val="2"/>
          </w:tcPr>
          <w:p>
            <w:pPr>
              <w:jc w:val="right"/>
              <w:ind w:right="200"/>
              <w:spacing w:after="0" w:line="182" w:lineRule="exact"/>
              <w:rPr>
                <w:sz w:val="20"/>
                <w:szCs w:val="20"/>
                <w:color w:val="auto"/>
              </w:rPr>
            </w:pPr>
            <w:r>
              <w:rPr>
                <w:rFonts w:ascii="Times New Roman" w:cs="Times New Roman" w:eastAsia="Times New Roman" w:hAnsi="Times New Roman"/>
                <w:sz w:val="16"/>
                <w:szCs w:val="16"/>
                <w:color w:val="auto"/>
              </w:rPr>
              <w:t>. . . . . . . . . . . . . . . . .Non-vestedshareoptionsatendofyear</w:t>
            </w:r>
          </w:p>
        </w:tc>
        <w:tc>
          <w:tcPr>
            <w:tcW w:w="2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2,754,054</w:t>
            </w: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176,709</w:t>
            </w:r>
          </w:p>
        </w:tc>
        <w:tc>
          <w:tcPr>
            <w:tcW w:w="20" w:type="dxa"/>
            <w:vAlign w:val="bottom"/>
            <w:tcBorders>
              <w:top w:val="single" w:sz="8" w:color="auto"/>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ind w:left="640"/>
              <w:spacing w:after="0" w:line="182"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auto"/>
              <w:bottom w:val="single" w:sz="8" w:color="auto"/>
            </w:tcBorders>
          </w:tcPr>
          <w:p>
            <w:pPr>
              <w:spacing w:after="0"/>
              <w:rPr>
                <w:sz w:val="16"/>
                <w:szCs w:val="16"/>
                <w:color w:val="auto"/>
              </w:rPr>
            </w:pPr>
          </w:p>
        </w:tc>
        <w:tc>
          <w:tcPr>
            <w:tcW w:w="200" w:type="dxa"/>
            <w:vAlign w:val="bottom"/>
            <w:gridSpan w:val="2"/>
          </w:tcPr>
          <w:p>
            <w:pPr>
              <w:spacing w:after="0"/>
              <w:rPr>
                <w:sz w:val="16"/>
                <w:szCs w:val="16"/>
                <w:color w:val="auto"/>
              </w:rPr>
            </w:pPr>
          </w:p>
        </w:tc>
        <w:tc>
          <w:tcPr>
            <w:tcW w:w="7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2,930,763</w:t>
            </w: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gridSpan w:val="2"/>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rPr>
              <w:t>2.45</w:t>
            </w:r>
          </w:p>
        </w:tc>
        <w:tc>
          <w:tcPr>
            <w:tcW w:w="0" w:type="dxa"/>
            <w:vAlign w:val="bottom"/>
          </w:tcPr>
          <w:p>
            <w:pPr>
              <w:spacing w:after="0"/>
              <w:rPr>
                <w:sz w:val="1"/>
                <w:szCs w:val="1"/>
                <w:color w:val="auto"/>
              </w:rPr>
            </w:pPr>
          </w:p>
        </w:tc>
      </w:tr>
      <w:tr>
        <w:trPr>
          <w:trHeight w:val="168"/>
        </w:trPr>
        <w:tc>
          <w:tcPr>
            <w:tcW w:w="418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Non-vested share options at end of year - Weighted average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fair value . . . . . . . . . . . . . . . . . . . . . . . . . . . . . . . . . . . . . . .</w:t>
            </w:r>
          </w:p>
        </w:tc>
        <w:tc>
          <w:tcPr>
            <w:tcW w:w="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information with respect to share options outstanding as of December 31, 2025:</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6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8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exercisable</w:t>
            </w:r>
          </w:p>
        </w:tc>
      </w:tr>
      <w:tr>
        <w:trPr>
          <w:trHeight w:val="176"/>
        </w:trPr>
        <w:tc>
          <w:tcPr>
            <w:tcW w:w="3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08"/>
        </w:trPr>
        <w:tc>
          <w:tcPr>
            <w:tcW w:w="3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09"/>
        </w:trPr>
        <w:tc>
          <w:tcPr>
            <w:tcW w:w="3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remaining</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08"/>
        </w:trPr>
        <w:tc>
          <w:tcPr>
            <w:tcW w:w="3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30"/>
        </w:trPr>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of options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life (years)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price</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of options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life (years)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price</w:t>
            </w:r>
          </w:p>
        </w:tc>
      </w:tr>
      <w:tr>
        <w:trPr>
          <w:trHeight w:val="179"/>
        </w:trPr>
        <w:tc>
          <w:tcPr>
            <w:tcW w:w="3460" w:type="dxa"/>
            <w:vAlign w:val="bottom"/>
            <w:tcBorders>
              <w:top w:val="single" w:sz="8" w:color="auto"/>
            </w:tcBorders>
          </w:tcPr>
          <w:p>
            <w:pPr>
              <w:spacing w:after="0" w:line="179" w:lineRule="exact"/>
              <w:rPr>
                <w:sz w:val="20"/>
                <w:szCs w:val="20"/>
                <w:color w:val="auto"/>
              </w:rPr>
            </w:pPr>
            <w:r>
              <w:rPr>
                <w:rFonts w:ascii="Times New Roman" w:cs="Times New Roman" w:eastAsia="Times New Roman" w:hAnsi="Times New Roman"/>
                <w:sz w:val="18"/>
                <w:szCs w:val="18"/>
                <w:color w:val="auto"/>
              </w:rPr>
              <w:t>$1.12-$1.98 . . . . . . . . . . . . . . . . . . . . . . . . . . .</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Borders>
              <w:top w:val="single" w:sz="8" w:color="auto"/>
            </w:tcBorders>
          </w:tcPr>
          <w:p>
            <w:pPr>
              <w:jc w:val="right"/>
              <w:spacing w:after="0" w:line="179" w:lineRule="exact"/>
              <w:rPr>
                <w:sz w:val="20"/>
                <w:szCs w:val="20"/>
                <w:color w:val="auto"/>
              </w:rPr>
            </w:pPr>
            <w:r>
              <w:rPr>
                <w:rFonts w:ascii="Times New Roman" w:cs="Times New Roman" w:eastAsia="Times New Roman" w:hAnsi="Times New Roman"/>
                <w:sz w:val="18"/>
                <w:szCs w:val="18"/>
                <w:color w:val="auto"/>
              </w:rPr>
              <w:t>2,677,321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top w:val="single" w:sz="8" w:color="auto"/>
            </w:tcBorders>
          </w:tcPr>
          <w:p>
            <w:pPr>
              <w:jc w:val="right"/>
              <w:spacing w:after="0" w:line="179" w:lineRule="exact"/>
              <w:rPr>
                <w:sz w:val="20"/>
                <w:szCs w:val="20"/>
                <w:color w:val="auto"/>
              </w:rPr>
            </w:pPr>
            <w:r>
              <w:rPr>
                <w:rFonts w:ascii="Times New Roman" w:cs="Times New Roman" w:eastAsia="Times New Roman" w:hAnsi="Times New Roman"/>
                <w:sz w:val="18"/>
                <w:szCs w:val="18"/>
                <w:color w:val="auto"/>
              </w:rPr>
              <w:t>6.92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line="179" w:lineRule="exact"/>
              <w:rPr>
                <w:sz w:val="20"/>
                <w:szCs w:val="20"/>
                <w:color w:val="auto"/>
              </w:rPr>
            </w:pPr>
            <w:r>
              <w:rPr>
                <w:rFonts w:ascii="Times New Roman" w:cs="Times New Roman" w:eastAsia="Times New Roman" w:hAnsi="Times New Roman"/>
                <w:sz w:val="18"/>
                <w:szCs w:val="18"/>
                <w:color w:val="auto"/>
              </w:rPr>
              <w:t>1.61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Borders>
              <w:top w:val="single" w:sz="8" w:color="auto"/>
            </w:tcBorders>
          </w:tcPr>
          <w:p>
            <w:pPr>
              <w:jc w:val="right"/>
              <w:spacing w:after="0" w:line="179" w:lineRule="exact"/>
              <w:rPr>
                <w:sz w:val="20"/>
                <w:szCs w:val="20"/>
                <w:color w:val="auto"/>
              </w:rPr>
            </w:pPr>
            <w:r>
              <w:rPr>
                <w:rFonts w:ascii="Times New Roman" w:cs="Times New Roman" w:eastAsia="Times New Roman" w:hAnsi="Times New Roman"/>
                <w:sz w:val="18"/>
                <w:szCs w:val="18"/>
                <w:color w:val="auto"/>
              </w:rPr>
              <w:t>1,417,226</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Borders>
              <w:top w:val="single" w:sz="8" w:color="auto"/>
            </w:tcBorders>
          </w:tcPr>
          <w:p>
            <w:pPr>
              <w:jc w:val="right"/>
              <w:spacing w:after="0" w:line="179" w:lineRule="exact"/>
              <w:rPr>
                <w:sz w:val="20"/>
                <w:szCs w:val="20"/>
                <w:color w:val="auto"/>
              </w:rPr>
            </w:pPr>
            <w:r>
              <w:rPr>
                <w:rFonts w:ascii="Times New Roman" w:cs="Times New Roman" w:eastAsia="Times New Roman" w:hAnsi="Times New Roman"/>
                <w:sz w:val="18"/>
                <w:szCs w:val="18"/>
                <w:color w:val="auto"/>
              </w:rPr>
              <w:t>5.44</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line="179" w:lineRule="exact"/>
              <w:rPr>
                <w:sz w:val="20"/>
                <w:szCs w:val="20"/>
                <w:color w:val="auto"/>
              </w:rPr>
            </w:pPr>
            <w:r>
              <w:rPr>
                <w:rFonts w:ascii="Times New Roman" w:cs="Times New Roman" w:eastAsia="Times New Roman" w:hAnsi="Times New Roman"/>
                <w:sz w:val="18"/>
                <w:szCs w:val="18"/>
                <w:color w:val="auto"/>
              </w:rPr>
              <w:t>1.51</w:t>
            </w:r>
          </w:p>
        </w:tc>
      </w:tr>
      <w:tr>
        <w:trPr>
          <w:trHeight w:val="20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$1.99-$2.53 . . . . . . . . . . . . . . . . . . . . . . . . . . .</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1,341,100</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$2.54-$3.61 . . . . . . . . . . . . . . . . . . . . . . . . . . .</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1,853,234</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1,471,420</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0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$3.62-$5.47 . . . . . . . . . . . . . . . . . . . . . . . . . . .</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2,050,846</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1,938,335</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0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$5.48-$8.92 . . . . . . . . . . . . . . . . . . . . . . . . . . .</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2,463,060</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2,424,726</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0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$8.93-$15.42 . . . . . . . . . . . . . . . . . . . . . . . . . .</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33,086</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33,086</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r>
      <w:tr>
        <w:trPr>
          <w:trHeight w:val="20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$15.43-$17.01 . . . . . . . . . . . . . . . . . . . . . . . . .</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14,100</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14,100</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w:t>
            </w:r>
          </w:p>
        </w:tc>
      </w:tr>
      <w:tr>
        <w:trPr>
          <w:trHeight w:val="21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$17.02-$21.48 . . . . . . . . . . . . . . . . . . . . . . . . .</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163,250</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163,250</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w:t>
            </w:r>
          </w:p>
        </w:tc>
      </w:tr>
      <w:tr>
        <w:trPr>
          <w:trHeight w:val="217"/>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 . . . . . . . . . . . . . . . . . . . . . . . . . . . . . . .</w:t>
            </w:r>
          </w:p>
        </w:tc>
        <w:tc>
          <w:tcPr>
            <w:tcW w:w="20" w:type="dxa"/>
            <w:vAlign w:val="bottom"/>
            <w:tcBorders>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10,595,997</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7,462,143</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114</w:t>
      </w:r>
    </w:p>
    <w:p>
      <w:pPr>
        <w:sectPr>
          <w:pgSz w:w="11880" w:h="15480" w:orient="portrait"/>
          <w:cols w:equalWidth="0" w:num="1">
            <w:col w:w="9720"/>
          </w:cols>
          <w:pgMar w:left="1080" w:top="456" w:right="1080" w:bottom="544"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20"/>
          <w:szCs w:val="20"/>
          <w:b w:val="1"/>
          <w:bCs w:val="1"/>
          <w:color w:val="auto"/>
        </w:rPr>
        <w:t>Milestone Pharmaceuticals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US dollars, except share and per share data)</w:t>
      </w:r>
    </w:p>
    <w:p>
      <w:pPr>
        <w:spacing w:after="0" w:line="22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The fair value of options granted for the 2011 Plan, 2019 Plan, and Inducement Plan were estimated using Black - Scholes option pricing model, resulting in the following weighted average assumptions for the options granted: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4"/>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660" w:type="dxa"/>
            <w:vAlign w:val="bottom"/>
            <w:vMerge w:val="restart"/>
          </w:tcPr>
          <w:p>
            <w:pPr>
              <w:jc w:val="right"/>
              <w:ind w:right="5530"/>
              <w:spacing w:after="0"/>
              <w:rPr>
                <w:sz w:val="20"/>
                <w:szCs w:val="20"/>
                <w:color w:val="auto"/>
              </w:rPr>
            </w:pPr>
            <w:r>
              <w:rPr>
                <w:rFonts w:ascii="Times New Roman" w:cs="Times New Roman" w:eastAsia="Times New Roman" w:hAnsi="Times New Roman"/>
                <w:sz w:val="18"/>
                <w:szCs w:val="18"/>
                <w:color w:val="auto"/>
                <w:w w:val="99"/>
              </w:rPr>
              <w:t>Exercise price</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6660" w:type="dxa"/>
            <w:vAlign w:val="bottom"/>
            <w:vMerge w:val="continue"/>
          </w:tcPr>
          <w:p>
            <w:pPr>
              <w:jc w:val="right"/>
              <w:ind w:right="210"/>
              <w:spacing w:after="0" w:line="159" w:lineRule="exact"/>
              <w:rPr>
                <w:sz w:val="20"/>
                <w:szCs w:val="20"/>
                <w:color w:val="auto"/>
              </w:rPr>
            </w:pPr>
            <w:r>
              <w:rPr>
                <w:rFonts w:ascii="Times New Roman" w:cs="Times New Roman" w:eastAsia="Times New Roman" w:hAnsi="Times New Roman"/>
                <w:sz w:val="18"/>
                <w:szCs w:val="18"/>
                <w:color w:val="auto"/>
              </w:rPr>
              <w:t>. . . . . . . . . . . . . . . . . . . . . . . . . . . . . . . . . . . . . . . . . . . . . . . . . . . . . . . . . .</w:t>
            </w:r>
          </w:p>
        </w:tc>
        <w:tc>
          <w:tcPr>
            <w:tcW w:w="260" w:type="dxa"/>
            <w:vAlign w:val="bottom"/>
          </w:tcPr>
          <w:p>
            <w:pPr>
              <w:jc w:val="right"/>
              <w:ind w:right="100"/>
              <w:spacing w:after="0" w:line="179"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line="179" w:lineRule="exact"/>
              <w:rPr>
                <w:sz w:val="20"/>
                <w:szCs w:val="20"/>
                <w:color w:val="auto"/>
              </w:rPr>
            </w:pPr>
            <w:r>
              <w:rPr>
                <w:rFonts w:ascii="Times New Roman" w:cs="Times New Roman" w:eastAsia="Times New Roman" w:hAnsi="Times New Roman"/>
                <w:sz w:val="18"/>
                <w:szCs w:val="18"/>
                <w:color w:val="auto"/>
              </w:rPr>
              <w:t>1.98</w:t>
            </w:r>
          </w:p>
        </w:tc>
        <w:tc>
          <w:tcPr>
            <w:tcW w:w="600" w:type="dxa"/>
            <w:vAlign w:val="bottom"/>
            <w:gridSpan w:val="2"/>
          </w:tcPr>
          <w:p>
            <w:pPr>
              <w:jc w:val="right"/>
              <w:ind w:right="200"/>
              <w:spacing w:after="0" w:line="179"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line="179" w:lineRule="exact"/>
              <w:rPr>
                <w:sz w:val="20"/>
                <w:szCs w:val="20"/>
                <w:color w:val="auto"/>
              </w:rPr>
            </w:pPr>
            <w:r>
              <w:rPr>
                <w:rFonts w:ascii="Times New Roman" w:cs="Times New Roman" w:eastAsia="Times New Roman" w:hAnsi="Times New Roman"/>
                <w:sz w:val="18"/>
                <w:szCs w:val="18"/>
                <w:color w:val="auto"/>
              </w:rPr>
              <w:t>1.62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Share price. . . . . . . . . . . . . . . . . . . . . . . . . . . . . . . . . . . . . . . . . . . . . . . . . . . . . . . . . . . . .</w:t>
            </w: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Volatility . . . . . . . . . . . . . . . . . . . . . . . . . . . . . . . . . . . . . . . . . . . . . . . . . . . . . . . . . . . . . .</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89"/>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08"/>
        </w:trPr>
        <w:tc>
          <w:tcPr>
            <w:tcW w:w="6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Risk-free interest rate. . . . . . . . . . . . . . . . . . . . . . . . . . . . . . . . . . . . . . . . . . . . . . . . . . . . .</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89"/>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08"/>
        </w:trPr>
        <w:tc>
          <w:tcPr>
            <w:tcW w:w="6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Expected life . . . . . . . . . . . . . . . . . . . . . . . . . . . . . . . . . . . . . . . . . . . . . . . . . . . . . . . . . . .</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 years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5.66 years</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Dividend . . . . . . . . . . . . . . . . . . . . . . . . . . . . . . . . . . . . . . . . . . . . . . . . . . . . . . . . . . . . . .</w:t>
            </w: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xml:space="preserve">0 </w:t>
            </w:r>
            <w:r>
              <w:rPr>
                <w:rFonts w:ascii="Times New Roman" w:cs="Times New Roman" w:eastAsia="Times New Roman" w:hAnsi="Times New Roman"/>
                <w:sz w:val="15"/>
                <w:szCs w:val="15"/>
                <w:color w:val="auto"/>
              </w:rPr>
              <w:t>%</w:t>
            </w:r>
          </w:p>
        </w:tc>
        <w:tc>
          <w:tcPr>
            <w:tcW w:w="2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0 </w:t>
            </w: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Expected volatility is determined using the Company’s historical volatility. Prior to establishing sufficient historical volatility, the Company used comparable companies for which the information is publicly available. The risk-free interest rate is determined based on the U.S. sovereign rates benchmark in effect at the time of grant with a remaining term equal to the expected life of the option. Expected option life is determined based on the simplified method as the Company does not have sufficient historical exercise data to provide a reasonable basis upon which to estimate expected term. The simplified method is an average of the contractual term of the options and its ordinary vesting period. Dividend yield is based on the share option’s exercise price and expected annual dividend rate at the time of grant. The total grant date fair value for options granted during the year ended December 31, 2025 and 2024 was $3.1 million and $2.1 million,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Performance Stock Options</w:t>
      </w:r>
    </w:p>
    <w:p>
      <w:pPr>
        <w:spacing w:after="0" w:line="23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On May 6, 2024, the Company, pursuant to the 2019 Plan, awarded 924,000 performance stock options to employees. The performance stock options were granted “at-the-money” and have a term of 10 years.</w:t>
      </w:r>
    </w:p>
    <w:p>
      <w:pPr>
        <w:spacing w:after="0" w:line="16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The original grant-date fair value of each option was estimated on the date of grant using the same option valuation model used for the options outlined above. The original grant-date fair value of $1.3 million was determined using an expected volatility of 98.5%, term of 5.82 years, strike price of $1.74, and risk-free rate of 4.43%. Compensation expense for performance-based stock options is only recognized when management determines it is probable that the awards will vest.</w:t>
      </w:r>
    </w:p>
    <w:p>
      <w:pPr>
        <w:spacing w:after="0" w:line="17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vesting of the performance-based stock options is conditional upon the FDA approval of etripamil for the treatment of PSVT. Subject to the option holders continuous service as of each such date, 50% of the option shares will vest on the six-month anniversary of the approval date and the remaining 50% of the option shares will vest on the one-year anniversary of such approval date. The Company recorded $0.8 million of expense related to the performance-based stock options during the year ended December 31, 2025, as the performance conditions were met with FDA approval of etripamil for the treatment of PSVT on December 12, 2025. The weighted average grant date fair value of the performance stock options awarded during the year ended December 31, 2025, was $1.38 per option.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 Stock Purchase Plan</w:t>
      </w:r>
    </w:p>
    <w:p>
      <w:pPr>
        <w:spacing w:after="0" w:line="23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July 15, 2022, the Company offered an employee stock purchase plan, or “ESPP,” in which participation is available to our employees in the United States and Canada who meet certain service eligibility requirements. Eligible employees may authorize an amount up to 15% of their salary to purchase common stock at the lower of a 15% discount to the beginning price of the participation period or a 15% discount to the ending price of each six-month purchase interval. The ESPP also provides for an automatic reset feature to start participants on a new twelve-month participation period in the event that the common stock market value on a purchase date is less than the common stock value on the first day of the twelve-month offering period.</w:t>
      </w:r>
    </w:p>
    <w:p>
      <w:pPr>
        <w:spacing w:after="0" w:line="2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On January 1, 2025, the number of common shares reserved for issuance under the ESPP automatically increased by 533,539 shares. As of December 31, 2025, the Company has 2,332,305 common shares available for issuance under the ESPP, of which 501,506 shares of common stock have been issued. Compensation expense for purchase rights under the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115</w:t>
      </w:r>
    </w:p>
    <w:p>
      <w:pPr>
        <w:sectPr>
          <w:pgSz w:w="11880" w:h="15480" w:orient="portrait"/>
          <w:cols w:equalWidth="0" w:num="1">
            <w:col w:w="9720"/>
          </w:cols>
          <w:pgMar w:left="1080" w:top="456" w:right="1080" w:bottom="544"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20"/>
          <w:szCs w:val="20"/>
          <w:b w:val="1"/>
          <w:bCs w:val="1"/>
          <w:color w:val="auto"/>
        </w:rPr>
        <w:t>Milestone Pharmaceuticals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US dollars, except share and per share data)</w:t>
      </w:r>
    </w:p>
    <w:p>
      <w:pPr>
        <w:spacing w:after="0" w:line="22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ESPP related to the purchase discount and the “look-back” option was determined using a Black-Scholes option pricing model.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Performance Share Units</w:t>
      </w:r>
    </w:p>
    <w:p>
      <w:pPr>
        <w:spacing w:after="0" w:line="2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 May 6, 2024, the Company, pursuant to the 2019 Plan, awarded 924,000 Performance Stock Units, or “PSUs,” to employees. The PSUs vest subject to the satisfaction of certain performance conditions established by the Company’s Compensation Committee. The FDA approval of etripamil represents the performance condition for the vesting of these PSUs.</w:t>
      </w:r>
    </w:p>
    <w:p>
      <w:pPr>
        <w:spacing w:after="0" w:line="19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number of PSUs granted represents the total number of common shares that may be earned. However, the actual number of shares earned will be based on the satisfaction of the performance criteria. Upon satisfaction of the performance criteria, 100% of the earned shares will vest. Stock-based compensation costs associated with these PSUs are reassessed each reporting period based on estimated performance achievement. As a result of the FDA approval on December 12, 2025, 100% of the outstanding PSUs vested at a grant date fair value of $1.74 per share. The Company recorded $1.6 million of expense related to the PSUs during the year ended December 31,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 Units</w:t>
      </w:r>
    </w:p>
    <w:p>
      <w:pPr>
        <w:spacing w:after="0" w:line="23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Pursuant to the 2019 Plan, the Company issues Restricted Stock Units, or “RSUs,” to employees which vest based on a service criteria. When vested, the RSUs represent the right to be issued a number of shares of the Company’s common stock equal to the number of RSUs granted. The grant date fair value for RSUs is based on the market price of the Company’s common stock on the date of the grant. The fair value is then amortized to compensation expense over the requisite service period or vesting term. The Company issued 988,850 RSUs for the year ended December 31, 2025. The weighted average grant date fair value for the RSUs issued during the year ended December 31, 2025, was $2.02 per share. No RSUs were issued for the year ended December 31, 2024.</w:t>
      </w:r>
    </w:p>
    <w:p>
      <w:pPr>
        <w:spacing w:after="0" w:line="20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The total unrecognized compensation cost related to the non-vested RSUs as of December 31, 2025, was $1.5 million and will be recognized over a weighted average period of approximately 3.07 years.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Share-Based Compensation Expense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recognized share-based compensation expense for all plans as follows for the years ended December 31: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Administration</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78"/>
        </w:trPr>
        <w:tc>
          <w:tcPr>
            <w:tcW w:w="6260" w:type="dxa"/>
            <w:vAlign w:val="bottom"/>
            <w:gridSpan w:val="2"/>
            <w:vMerge w:val="continue"/>
          </w:tcPr>
          <w:p>
            <w:pPr>
              <w:jc w:val="right"/>
              <w:ind w:right="260"/>
              <w:spacing w:after="0" w:line="157" w:lineRule="exact"/>
              <w:rPr>
                <w:sz w:val="20"/>
                <w:szCs w:val="20"/>
                <w:color w:val="auto"/>
              </w:rPr>
            </w:pPr>
            <w:r>
              <w:rPr>
                <w:rFonts w:ascii="Times New Roman" w:cs="Times New Roman" w:eastAsia="Times New Roman" w:hAnsi="Times New Roman"/>
                <w:sz w:val="18"/>
                <w:szCs w:val="18"/>
                <w:color w:val="auto"/>
              </w:rPr>
              <w:t>. . . . . . . . . . . . . . . . . . . . . . . . . . . . . . . . . . . . . . . . . . . . . . . . . . . . . .</w:t>
            </w:r>
          </w:p>
        </w:tc>
        <w:tc>
          <w:tcPr>
            <w:tcW w:w="1060" w:type="dxa"/>
            <w:vAlign w:val="bottom"/>
          </w:tcPr>
          <w:p>
            <w:pPr>
              <w:jc w:val="right"/>
              <w:ind w:right="893"/>
              <w:spacing w:after="0" w:line="178" w:lineRule="exact"/>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3,833</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jc w:val="right"/>
              <w:ind w:right="175"/>
              <w:spacing w:after="0" w:line="178"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3,171</w:t>
            </w:r>
          </w:p>
        </w:tc>
        <w:tc>
          <w:tcPr>
            <w:tcW w:w="0" w:type="dxa"/>
            <w:vAlign w:val="bottom"/>
          </w:tcPr>
          <w:p>
            <w:pPr>
              <w:spacing w:after="0"/>
              <w:rPr>
                <w:sz w:val="1"/>
                <w:szCs w:val="1"/>
                <w:color w:val="auto"/>
              </w:rPr>
            </w:pPr>
          </w:p>
        </w:tc>
      </w:tr>
      <w:tr>
        <w:trPr>
          <w:trHeight w:val="209"/>
        </w:trPr>
        <w:tc>
          <w:tcPr>
            <w:tcW w:w="6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Research and development . . . . . . . . . . . . . . . . . . . . . . . . . . . . . . . . . . . . . . . . . . . .</w:t>
            </w:r>
          </w:p>
        </w:tc>
        <w:tc>
          <w:tcPr>
            <w:tcW w:w="10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0" w:type="dxa"/>
            <w:vAlign w:val="bottom"/>
          </w:tcPr>
          <w:p>
            <w:pPr>
              <w:spacing w:after="0"/>
              <w:rPr>
                <w:sz w:val="1"/>
                <w:szCs w:val="1"/>
                <w:color w:val="auto"/>
              </w:rPr>
            </w:pPr>
          </w:p>
        </w:tc>
      </w:tr>
      <w:tr>
        <w:trPr>
          <w:trHeight w:val="217"/>
        </w:trPr>
        <w:tc>
          <w:tcPr>
            <w:tcW w:w="6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Commercial activities . . . . . . . . . . . . . . . . . . . . . . . . . . . . . . . . . . . . . . . . . . . . . . . .</w:t>
            </w:r>
          </w:p>
        </w:tc>
        <w:tc>
          <w:tcPr>
            <w:tcW w:w="10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18"/>
        </w:trPr>
        <w:tc>
          <w:tcPr>
            <w:tcW w:w="62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Total . . . . . . . . . . . . . . . . . . . . . . . . . . . . . . . . . . . . . . . . . . . . . . . . . . . . . . . . . . . . .</w:t>
            </w:r>
          </w:p>
        </w:tc>
        <w:tc>
          <w:tcPr>
            <w:tcW w:w="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89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7,461</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5,776</w:t>
            </w: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Debt</w:t>
      </w:r>
    </w:p>
    <w:p>
      <w:pPr>
        <w:spacing w:after="0" w:line="23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On March 27, 2023, the Company entered into a note purchase agreement, or the “Note Purchase Agreement,” with RTW Investments LP and certain of its affiliates, or collectively, “RTW.”</w:t>
      </w:r>
    </w:p>
    <w:p>
      <w:pPr>
        <w:spacing w:after="0" w:line="1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On March 29, 2023, the Company closed the transactions contemplated by the Note Purchase Agreement, and issued and sold $50.0 million principal amount of 6.0% Convertible Senior Notes due 2029, or the “2029 Convertible Notes,” to the holders.</w:t>
      </w:r>
    </w:p>
    <w:p>
      <w:pPr>
        <w:spacing w:after="0" w:line="186"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9"/>
          <w:szCs w:val="19"/>
          <w:color w:val="auto"/>
        </w:rPr>
        <w:t>The 2029 Convertible Notes are senior secured obligations and are guaranteed on a senior secured basis by the Company’s wholly owned subsidiary, Milestone Pharmaceuticals USA, Inc. Interest at the annual rate of 6.0% is payable quarterly in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116</w:t>
      </w:r>
    </w:p>
    <w:p>
      <w:pPr>
        <w:sectPr>
          <w:pgSz w:w="11880" w:h="15480" w:orient="portrait"/>
          <w:cols w:equalWidth="0" w:num="1">
            <w:col w:w="9720"/>
          </w:cols>
          <w:pgMar w:left="1080" w:top="456" w:right="1080" w:bottom="544"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20"/>
          <w:szCs w:val="20"/>
          <w:b w:val="1"/>
          <w:bCs w:val="1"/>
          <w:color w:val="auto"/>
        </w:rPr>
        <w:t>Milestone Pharmaceuticals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US dollars, except share and per share data)</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cash or, at our option, payable in kind for the first three years. The maturity date for the 2029 Convertible Notes is March 31, 2029, the “Maturity Date”. The obligations under the 2029 Convertible Notes are secured by substantially all of the Company’s and the Company’s subsidiary guarantor’s assets.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Each $1,000 of principal of the 2029 Convertible Notes (including any interest added thereto as payment in kind) is convertible into 191.0548 common shares, equivalent to an initial conversion price of approximately $5.23 per share, subject to customary anti-dilution and other adjustments. In addition, following a notice of redemption or certain corporate events that occur prior to the Maturity Date, the Company will, in certain circumstances, increase the conversion rate for a holder who elects to convert its 2029 Convertible Notes in connection with such notice of redemption or corporate event.</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or after March 27, 2027, the 2029 Convertible Notes are redeemable by the Company, subject to certain conditions, if the closing sale price of the common shares exceeds 150% of the conversion price then in effect for at least 20 trading days (whether or not consecutive), including the trading day immediately preceding the date on which the Company provides notice of redemption, during any 30 consecutive trading day period ending on, and including, the trading day immediately preceding the date on which the Company provides notice of redemption, at a redemption price equal to 100% of the principal amount of the 2029 Convertible Notes to be redeemed, plus accrued and unpaid interest to, but excluding, the redemption date.</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accounting for the issuance of the 2029 Convertible Notes, the Company determined there were no embedded features, which require bifurcation between debt and equity components. As a result, the 2029 Convertible Notes are accounted for as a liability. As of December 31, 2025, the estimated fair value of the 2029 Convertible Notes was approximately $62.3 million based on level 2 inputs, including volatility and credit spread.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net carrying amount of the 2029 Convertible Note were as follows: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Original principal</w:t>
            </w:r>
          </w:p>
        </w:tc>
        <w:tc>
          <w:tcPr>
            <w:tcW w:w="240" w:type="dxa"/>
            <w:vAlign w:val="bottom"/>
          </w:tcPr>
          <w:p>
            <w:pPr>
              <w:spacing w:after="0"/>
              <w:rPr>
                <w:sz w:val="19"/>
                <w:szCs w:val="19"/>
                <w:color w:val="auto"/>
              </w:rPr>
            </w:pPr>
          </w:p>
        </w:tc>
        <w:tc>
          <w:tcPr>
            <w:tcW w:w="2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78"/>
        </w:trPr>
        <w:tc>
          <w:tcPr>
            <w:tcW w:w="4980" w:type="dxa"/>
            <w:vAlign w:val="bottom"/>
            <w:gridSpan w:val="2"/>
            <w:vMerge w:val="continue"/>
          </w:tcPr>
          <w:p>
            <w:pPr>
              <w:jc w:val="right"/>
              <w:ind w:right="260"/>
              <w:spacing w:after="0" w:line="159" w:lineRule="exact"/>
              <w:rPr>
                <w:sz w:val="20"/>
                <w:szCs w:val="20"/>
                <w:color w:val="auto"/>
              </w:rPr>
            </w:pPr>
            <w:r>
              <w:rPr>
                <w:rFonts w:ascii="Times New Roman" w:cs="Times New Roman" w:eastAsia="Times New Roman" w:hAnsi="Times New Roman"/>
                <w:sz w:val="18"/>
                <w:szCs w:val="18"/>
                <w:color w:val="auto"/>
              </w:rPr>
              <w:t>. . . . . . . . . . . . . . . . . . . . . . . . . . . . . . . . . . . . .</w:t>
            </w:r>
          </w:p>
        </w:tc>
        <w:tc>
          <w:tcPr>
            <w:tcW w:w="240" w:type="dxa"/>
            <w:vAlign w:val="bottom"/>
            <w:tcBorders>
              <w:top w:val="single" w:sz="8" w:color="auto"/>
            </w:tcBorders>
          </w:tcPr>
          <w:p>
            <w:pPr>
              <w:jc w:val="right"/>
              <w:ind w:right="75"/>
              <w:spacing w:after="0" w:line="178" w:lineRule="exact"/>
              <w:rPr>
                <w:sz w:val="20"/>
                <w:szCs w:val="20"/>
                <w:color w:val="auto"/>
              </w:rPr>
            </w:pPr>
            <w:r>
              <w:rPr>
                <w:rFonts w:ascii="Times New Roman" w:cs="Times New Roman" w:eastAsia="Times New Roman" w:hAnsi="Times New Roman"/>
                <w:sz w:val="17"/>
                <w:szCs w:val="17"/>
                <w:color w:val="auto"/>
                <w:w w:val="70"/>
              </w:rPr>
              <w:t>$</w:t>
            </w:r>
          </w:p>
        </w:tc>
        <w:tc>
          <w:tcPr>
            <w:tcW w:w="2020" w:type="dxa"/>
            <w:vAlign w:val="bottom"/>
            <w:tcBorders>
              <w:top w:val="single" w:sz="8" w:color="auto"/>
            </w:tcBorders>
          </w:tcPr>
          <w:p>
            <w:pPr>
              <w:jc w:val="right"/>
              <w:spacing w:after="0" w:line="178" w:lineRule="exact"/>
              <w:rPr>
                <w:sz w:val="20"/>
                <w:szCs w:val="20"/>
                <w:color w:val="auto"/>
              </w:rPr>
            </w:pPr>
            <w:r>
              <w:rPr>
                <w:rFonts w:ascii="Times New Roman" w:cs="Times New Roman" w:eastAsia="Times New Roman" w:hAnsi="Times New Roman"/>
                <w:sz w:val="18"/>
                <w:szCs w:val="18"/>
                <w:color w:val="auto"/>
              </w:rPr>
              <w:t>50,000</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auto"/>
            </w:tcBorders>
          </w:tcPr>
          <w:p>
            <w:pPr>
              <w:jc w:val="right"/>
              <w:ind w:right="50"/>
              <w:spacing w:after="0" w:line="178" w:lineRule="exact"/>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tcPr>
          <w:p>
            <w:pPr>
              <w:jc w:val="right"/>
              <w:spacing w:after="0" w:line="178" w:lineRule="exact"/>
              <w:rPr>
                <w:sz w:val="20"/>
                <w:szCs w:val="20"/>
                <w:color w:val="auto"/>
              </w:rPr>
            </w:pPr>
            <w:r>
              <w:rPr>
                <w:rFonts w:ascii="Times New Roman" w:cs="Times New Roman" w:eastAsia="Times New Roman" w:hAnsi="Times New Roman"/>
                <w:sz w:val="18"/>
                <w:szCs w:val="18"/>
                <w:color w:val="auto"/>
              </w:rPr>
              <w:t>50,000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4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Paid in kind (PIK) interest  . . . . . . . . . . . . . . . . . . . . . . . . . . . . . .</w:t>
            </w:r>
          </w:p>
        </w:tc>
        <w:tc>
          <w:tcPr>
            <w:tcW w:w="24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8,927</w:t>
            </w: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4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Unamortized debt discount . . . . . . . . . . . . . . . . . . . . . . . . . . . . . .</w:t>
            </w:r>
          </w:p>
        </w:tc>
        <w:tc>
          <w:tcPr>
            <w:tcW w:w="24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Unamortized debt issuance costs . . . . . . . . . . . . . . . . . . . . . . . . . .</w:t>
            </w:r>
          </w:p>
        </w:tc>
        <w:tc>
          <w:tcPr>
            <w:tcW w:w="240" w:type="dxa"/>
            <w:vAlign w:val="bottom"/>
          </w:tcPr>
          <w:p>
            <w:pPr>
              <w:spacing w:after="0"/>
              <w:rPr>
                <w:sz w:val="18"/>
                <w:szCs w:val="18"/>
                <w:color w:val="auto"/>
              </w:rPr>
            </w:pPr>
          </w:p>
        </w:tc>
        <w:tc>
          <w:tcPr>
            <w:tcW w:w="2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(1,362)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17"/>
        </w:trPr>
        <w:tc>
          <w:tcPr>
            <w:tcW w:w="4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Total . . . . . . . . . . . . . . . . . . . . . . . . . . . . . . . . . . . . . . . . . . . . . . .</w:t>
            </w: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57,191</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total amount of interest cost recognized relating to the 2029 Convertible Notes: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80" w:type="dxa"/>
            <w:vAlign w:val="bottom"/>
            <w:tcBorders>
              <w:bottom w:val="single" w:sz="8" w:color="auto"/>
            </w:tcBorders>
            <w:gridSpan w:val="5"/>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Pr>
          <w:p>
            <w:pPr>
              <w:spacing w:after="0"/>
              <w:rPr>
                <w:sz w:val="18"/>
                <w:szCs w:val="18"/>
                <w:color w:val="auto"/>
              </w:rPr>
            </w:pPr>
          </w:p>
        </w:tc>
        <w:tc>
          <w:tcPr>
            <w:tcW w:w="1460" w:type="dxa"/>
            <w:vAlign w:val="bottom"/>
            <w:gridSpan w:val="3"/>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6280" w:type="dxa"/>
            <w:vAlign w:val="bottom"/>
            <w:gridSpan w:val="2"/>
            <w:vMerge w:val="continue"/>
          </w:tcPr>
          <w:p>
            <w:pPr>
              <w:jc w:val="right"/>
              <w:ind w:right="200"/>
              <w:spacing w:after="0" w:line="157" w:lineRule="exact"/>
              <w:rPr>
                <w:sz w:val="20"/>
                <w:szCs w:val="20"/>
                <w:color w:val="auto"/>
              </w:rPr>
            </w:pPr>
            <w:r>
              <w:rPr>
                <w:rFonts w:ascii="Times New Roman" w:cs="Times New Roman" w:eastAsia="Times New Roman" w:hAnsi="Times New Roman"/>
                <w:sz w:val="18"/>
                <w:szCs w:val="18"/>
                <w:color w:val="auto"/>
              </w:rPr>
              <w:t>. . . . . . . . . . . . . . . . . . . . . . . . . . . . . . . . . . . . . . . . . . . .</w:t>
            </w:r>
          </w:p>
        </w:tc>
        <w:tc>
          <w:tcPr>
            <w:tcW w:w="920" w:type="dxa"/>
            <w:vAlign w:val="bottom"/>
            <w:tcBorders>
              <w:top w:val="single" w:sz="8" w:color="auto"/>
            </w:tcBorders>
          </w:tcPr>
          <w:p>
            <w:pPr>
              <w:jc w:val="right"/>
              <w:ind w:right="753"/>
              <w:spacing w:after="0" w:line="178" w:lineRule="exact"/>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tcPr>
          <w:p>
            <w:pPr>
              <w:jc w:val="right"/>
              <w:spacing w:after="0" w:line="178" w:lineRule="exact"/>
              <w:rPr>
                <w:sz w:val="20"/>
                <w:szCs w:val="20"/>
                <w:color w:val="auto"/>
              </w:rPr>
            </w:pPr>
            <w:r>
              <w:rPr>
                <w:rFonts w:ascii="Times New Roman" w:cs="Times New Roman" w:eastAsia="Times New Roman" w:hAnsi="Times New Roman"/>
                <w:sz w:val="18"/>
                <w:szCs w:val="18"/>
                <w:color w:val="auto"/>
              </w:rPr>
              <w:t>3,407</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Borders>
              <w:top w:val="single" w:sz="8" w:color="auto"/>
            </w:tcBorders>
          </w:tcPr>
          <w:p>
            <w:pPr>
              <w:jc w:val="right"/>
              <w:ind w:right="915"/>
              <w:spacing w:after="0" w:line="178" w:lineRule="exact"/>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line="178" w:lineRule="exact"/>
              <w:rPr>
                <w:sz w:val="20"/>
                <w:szCs w:val="20"/>
                <w:color w:val="auto"/>
              </w:rPr>
            </w:pPr>
            <w:r>
              <w:rPr>
                <w:rFonts w:ascii="Times New Roman" w:cs="Times New Roman" w:eastAsia="Times New Roman" w:hAnsi="Times New Roman"/>
                <w:sz w:val="18"/>
                <w:szCs w:val="18"/>
                <w:color w:val="auto"/>
              </w:rPr>
              <w:t>3,210</w:t>
            </w:r>
          </w:p>
        </w:tc>
        <w:tc>
          <w:tcPr>
            <w:tcW w:w="0" w:type="dxa"/>
            <w:vAlign w:val="bottom"/>
          </w:tcPr>
          <w:p>
            <w:pPr>
              <w:spacing w:after="0"/>
              <w:rPr>
                <w:sz w:val="1"/>
                <w:szCs w:val="1"/>
                <w:color w:val="auto"/>
              </w:rPr>
            </w:pPr>
          </w:p>
        </w:tc>
      </w:tr>
      <w:tr>
        <w:trPr>
          <w:trHeight w:val="209"/>
        </w:trPr>
        <w:tc>
          <w:tcPr>
            <w:tcW w:w="6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Amortization of debt discount . . . . . . . . . . . . . . . . . . . . . . . . . . . . . . . . . . . . . . . . . . .</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7"/>
        </w:trPr>
        <w:tc>
          <w:tcPr>
            <w:tcW w:w="6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Amortization of debt issuance costs . . . . . . . . . . . . . . . . . . . . . . . . . . . . . . . . . . . . . .</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8"/>
        </w:trPr>
        <w:tc>
          <w:tcPr>
            <w:tcW w:w="6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Total interest expense . . . . . . . . . . . . . . . . . . . . . . . . . . . . . . . . . . . . . . . . . . . . . . . . .</w:t>
            </w:r>
          </w:p>
        </w:tc>
        <w:tc>
          <w:tcPr>
            <w:tcW w:w="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3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91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117</w:t>
      </w:r>
    </w:p>
    <w:p>
      <w:pPr>
        <w:sectPr>
          <w:pgSz w:w="11880" w:h="15480" w:orient="portrait"/>
          <w:cols w:equalWidth="0" w:num="1">
            <w:col w:w="9720"/>
          </w:cols>
          <w:pgMar w:left="1080" w:top="456" w:right="1080" w:bottom="544" w:gutter="0" w:footer="0" w:header="0"/>
        </w:sectPr>
      </w:pPr>
    </w:p>
    <w:bookmarkStart w:id="119" w:name="page120"/>
    <w:bookmarkEnd w:id="119"/>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Milestone Pharmaceuticals Inc.</w:t>
      </w: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US dollars, except share and per share data)</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Net loss per share</w:t>
      </w:r>
    </w:p>
    <w:p>
      <w:pPr>
        <w:spacing w:after="0" w:line="242" w:lineRule="exact"/>
        <w:rPr>
          <w:sz w:val="20"/>
          <w:szCs w:val="20"/>
          <w:color w:val="auto"/>
        </w:rPr>
      </w:pPr>
    </w:p>
    <w:p>
      <w:pPr>
        <w:jc w:val="both"/>
        <w:ind w:right="80"/>
        <w:spacing w:after="0" w:line="248" w:lineRule="auto"/>
        <w:rPr>
          <w:sz w:val="20"/>
          <w:szCs w:val="20"/>
          <w:color w:val="auto"/>
        </w:rPr>
      </w:pPr>
      <w:r>
        <w:rPr>
          <w:rFonts w:ascii="Times New Roman" w:cs="Times New Roman" w:eastAsia="Times New Roman" w:hAnsi="Times New Roman"/>
          <w:sz w:val="20"/>
          <w:szCs w:val="20"/>
          <w:color w:val="auto"/>
        </w:rPr>
        <w:t>Basic and diluted net loss per common share is determined by dividing net loss applicable to common shareholders by the weighted average number of common shares and pre-funded warrants outstanding during the period. In addition to the conversion feature on the 2029 Convertible Notes described above, which the Company reviewed and concluded that if-converted would be anti-dilutive due to the facts surrounding the feature, the following potentially dilutive securities have also been excluded from the computation of diluted weighted average shares outstanding as of December 31, as they would be anti-dilutive: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vMerge w:val="restart"/>
          </w:tcPr>
          <w:p>
            <w:pPr>
              <w:jc w:val="right"/>
              <w:ind w:right="5810"/>
              <w:spacing w:after="0"/>
              <w:rPr>
                <w:sz w:val="20"/>
                <w:szCs w:val="20"/>
                <w:color w:val="auto"/>
              </w:rPr>
            </w:pPr>
            <w:r>
              <w:rPr>
                <w:rFonts w:ascii="Times New Roman" w:cs="Times New Roman" w:eastAsia="Times New Roman" w:hAnsi="Times New Roman"/>
                <w:sz w:val="18"/>
                <w:szCs w:val="18"/>
                <w:color w:val="auto"/>
                <w:w w:val="99"/>
              </w:rPr>
              <w:t>Stock options and RSUs</w:t>
            </w: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31"/>
        </w:trPr>
        <w:tc>
          <w:tcPr>
            <w:tcW w:w="7660" w:type="dxa"/>
            <w:vAlign w:val="bottom"/>
            <w:vMerge w:val="continue"/>
          </w:tcPr>
          <w:p>
            <w:pPr>
              <w:jc w:val="right"/>
              <w:ind w:right="210"/>
              <w:spacing w:after="0" w:line="159" w:lineRule="exact"/>
              <w:rPr>
                <w:sz w:val="20"/>
                <w:szCs w:val="20"/>
                <w:color w:val="auto"/>
              </w:rPr>
            </w:pPr>
            <w:r>
              <w:rPr>
                <w:rFonts w:ascii="Times New Roman" w:cs="Times New Roman" w:eastAsia="Times New Roman" w:hAnsi="Times New Roman"/>
                <w:sz w:val="18"/>
                <w:szCs w:val="18"/>
                <w:color w:val="auto"/>
              </w:rPr>
              <w:t>. . . . . . . . . . . . . . . . . . . . . . . . . . . . . . . . . . . . . . . . . . . . . . . . . . . . . . . . . . . . .</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11,546,697</w:t>
            </w:r>
          </w:p>
        </w:tc>
        <w:tc>
          <w:tcPr>
            <w:tcW w:w="220" w:type="dxa"/>
            <w:vAlign w:val="bottom"/>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10,657,091</w:t>
            </w: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Amounts in the table above reflect the common share equivalents of the noted instruments.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Income taxes</w:t>
      </w:r>
    </w:p>
    <w:p>
      <w:pPr>
        <w:spacing w:after="0" w:line="242" w:lineRule="exact"/>
        <w:rPr>
          <w:sz w:val="20"/>
          <w:szCs w:val="20"/>
          <w:color w:val="auto"/>
        </w:rPr>
      </w:pPr>
    </w:p>
    <w:p>
      <w:pPr>
        <w:jc w:val="both"/>
        <w:ind w:right="80"/>
        <w:spacing w:after="0" w:line="308" w:lineRule="auto"/>
        <w:rPr>
          <w:sz w:val="20"/>
          <w:szCs w:val="20"/>
          <w:color w:val="auto"/>
        </w:rPr>
      </w:pPr>
      <w:r>
        <w:rPr>
          <w:rFonts w:ascii="Times New Roman" w:cs="Times New Roman" w:eastAsia="Times New Roman" w:hAnsi="Times New Roman"/>
          <w:sz w:val="19"/>
          <w:szCs w:val="19"/>
          <w:color w:val="auto"/>
        </w:rPr>
        <w:t>Upon adoption of ASU No. 2023-09, for the year ended December 31, 2025, the provision for income taxes differs from the expense that would be obtained by applying the Canadian federal statutory income tax rate as a result of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1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35"/>
        </w:trPr>
        <w:tc>
          <w:tcPr>
            <w:tcW w:w="7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 . . . . . . . . . . . . . . . . . . . . . . . . . . . . . . . . . . . . . . . .</w:t>
            </w:r>
            <w:r>
              <w:rPr>
                <w:rFonts w:ascii="Times New Roman" w:cs="Times New Roman" w:eastAsia="Times New Roman" w:hAnsi="Times New Roman"/>
                <w:sz w:val="18"/>
                <w:szCs w:val="18"/>
                <w:b w:val="1"/>
                <w:bCs w:val="1"/>
                <w:color w:val="auto"/>
              </w:rPr>
              <w:t>Lossbeforeincometaxes</w:t>
            </w: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(63,058)</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15.0 </w:t>
            </w: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0"/>
        </w:trPr>
        <w:tc>
          <w:tcPr>
            <w:tcW w:w="7260" w:type="dxa"/>
            <w:vAlign w:val="bottom"/>
          </w:tcPr>
          <w:p>
            <w:pPr>
              <w:jc w:val="right"/>
              <w:ind w:right="90"/>
              <w:spacing w:after="0" w:line="210" w:lineRule="exact"/>
              <w:rPr>
                <w:sz w:val="20"/>
                <w:szCs w:val="20"/>
                <w:color w:val="auto"/>
              </w:rPr>
            </w:pPr>
            <w:r>
              <w:rPr>
                <w:rFonts w:ascii="Times New Roman" w:cs="Times New Roman" w:eastAsia="Times New Roman" w:hAnsi="Times New Roman"/>
                <w:sz w:val="18"/>
                <w:szCs w:val="18"/>
                <w:b w:val="1"/>
                <w:bCs w:val="1"/>
                <w:color w:val="auto"/>
              </w:rPr>
              <w:t>Canadian federal statutory tax rate</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 . . . . . . . . . . . . . . . . . . . . . . . . . . . . . . . . . . . . . . . . . . . .</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(9,459)</w:t>
            </w: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7260" w:type="dxa"/>
            <w:vAlign w:val="bottom"/>
          </w:tcPr>
          <w:p>
            <w:pPr>
              <w:jc w:val="right"/>
              <w:ind w:right="90"/>
              <w:spacing w:after="0" w:line="252" w:lineRule="exact"/>
              <w:rPr>
                <w:sz w:val="20"/>
                <w:szCs w:val="20"/>
                <w:color w:val="auto"/>
              </w:rPr>
            </w:pPr>
            <w:r>
              <w:rPr>
                <w:rFonts w:ascii="Times New Roman" w:cs="Times New Roman" w:eastAsia="Times New Roman" w:hAnsi="Times New Roman"/>
                <w:sz w:val="18"/>
                <w:szCs w:val="18"/>
                <w:b w:val="1"/>
                <w:bCs w:val="1"/>
                <w:color w:val="auto"/>
              </w:rPr>
              <w:t>Provincial and local taxes</w:t>
            </w:r>
            <w:r>
              <w:rPr>
                <w:rFonts w:ascii="Times New Roman" w:cs="Times New Roman" w:eastAsia="Times New Roman" w:hAnsi="Times New Roman"/>
                <w:sz w:val="24"/>
                <w:szCs w:val="24"/>
                <w:b w:val="1"/>
                <w:bCs w:val="1"/>
                <w:color w:val="auto"/>
                <w:vertAlign w:val="superscript"/>
              </w:rPr>
              <w:t>(2)</w:t>
            </w:r>
            <w:r>
              <w:rPr>
                <w:rFonts w:ascii="Times New Roman" w:cs="Times New Roman" w:eastAsia="Times New Roman" w:hAnsi="Times New Roman"/>
                <w:sz w:val="18"/>
                <w:szCs w:val="18"/>
                <w:color w:val="auto"/>
              </w:rPr>
              <w:t>. . . . . . . . . . . . . . . . . . . . . . . . . . . . . . . . . . . . . . . . . . . . . . . . . . . . . . .</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(2,344)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4"/>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Foreign tax effects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7"/>
        </w:trPr>
        <w:tc>
          <w:tcPr>
            <w:tcW w:w="7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Statutory tax rate difference . . . . . . . . . . . . . . . . . . . . . . . . . . . . . . . . . . . . . . . . . . . . . . . . . . . . . .</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(2,560)</w:t>
            </w: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Non-taxable item: share based compensation . . . . . . . . . . . . . . . . . . . . . . . . . . . . . . . . . . . . . . . . .</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2"/>
        </w:trPr>
        <w:tc>
          <w:tcPr>
            <w:tcW w:w="7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Other . . . . . . . . . . . . . . . . . . . . . . . . . . . . . . . . . . . . . . . . . . . . . . . . . . . . . . . . . . . . . . . . . . . . . . . .</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72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 xml:space="preserve">Changes in Valuation Allowances </w:t>
            </w:r>
            <w:r>
              <w:rPr>
                <w:rFonts w:ascii="Times New Roman" w:cs="Times New Roman" w:eastAsia="Times New Roman" w:hAnsi="Times New Roman"/>
                <w:sz w:val="18"/>
                <w:szCs w:val="18"/>
                <w:color w:val="auto"/>
              </w:rPr>
              <w:t>. . . . . . . . . . . . . . . . . . . . . . . . . . . . . . . . . . . . . . . . . . . . . . . . .</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4"/>
        </w:trPr>
        <w:tc>
          <w:tcPr>
            <w:tcW w:w="72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 xml:space="preserve">Changes in unrecognized tax benefits </w:t>
            </w:r>
            <w:r>
              <w:rPr>
                <w:rFonts w:ascii="Times New Roman" w:cs="Times New Roman" w:eastAsia="Times New Roman" w:hAnsi="Times New Roman"/>
                <w:sz w:val="18"/>
                <w:szCs w:val="18"/>
                <w:color w:val="auto"/>
              </w:rPr>
              <w:t>. . . . . . . . . . . . . . . . . . . . . . . . . . . . . . . . . . . . . . . . . . . . . .</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12,093</w:t>
            </w: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3"/>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Non-taxable or non-deductible items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w:t>
            </w: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6"/>
        </w:trPr>
        <w:tc>
          <w:tcPr>
            <w:tcW w:w="7260" w:type="dxa"/>
            <w:vAlign w:val="bottom"/>
          </w:tcPr>
          <w:p>
            <w:pPr>
              <w:jc w:val="right"/>
              <w:ind w:right="90"/>
              <w:spacing w:after="0" w:line="206" w:lineRule="exact"/>
              <w:rPr>
                <w:sz w:val="20"/>
                <w:szCs w:val="20"/>
                <w:color w:val="auto"/>
              </w:rPr>
            </w:pPr>
            <w:r>
              <w:rPr>
                <w:rFonts w:ascii="Times New Roman" w:cs="Times New Roman" w:eastAsia="Times New Roman" w:hAnsi="Times New Roman"/>
                <w:sz w:val="18"/>
                <w:szCs w:val="18"/>
                <w:color w:val="auto"/>
              </w:rPr>
              <w:t>Share-based compensation. . . . . . . . . . . . . . . . . . . . . . . . . . . . . . . . . . . . . . . . . . . . . . . . . . . . . . . . .</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1,977</w:t>
            </w:r>
          </w:p>
        </w:tc>
        <w:tc>
          <w:tcPr>
            <w:tcW w:w="2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7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Other . . . . . . . . . . . . . . . . . . . . . . . . . . . . . . . . . . . . . . . . . . . . . . . . . . . . . . . . . . . . . . . . . . . . . . . . .</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0.0 </w:t>
            </w: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3"/>
        </w:trPr>
        <w:tc>
          <w:tcPr>
            <w:tcW w:w="7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 . . . . . . . . . . . . . . . . . . . . . . . . . . . . . . . . . . . . . . . . . . . . . . . . . . . . . . . . . . . . .</w:t>
            </w:r>
            <w:r>
              <w:rPr>
                <w:rFonts w:ascii="Times New Roman" w:cs="Times New Roman" w:eastAsia="Times New Roman" w:hAnsi="Times New Roman"/>
                <w:sz w:val="18"/>
                <w:szCs w:val="18"/>
                <w:b w:val="1"/>
                <w:bCs w:val="1"/>
                <w:color w:val="auto"/>
              </w:rPr>
              <w:t>EffectiveTaxRate</w:t>
            </w:r>
          </w:p>
        </w:tc>
        <w:tc>
          <w:tcPr>
            <w:tcW w:w="1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4701540</wp:posOffset>
                </wp:positionH>
                <wp:positionV relativeFrom="paragraph">
                  <wp:posOffset>-3810</wp:posOffset>
                </wp:positionV>
                <wp:extent cx="68199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990" cy="4763"/>
                        </a:xfrm>
                        <a:prstGeom prst="line">
                          <a:avLst/>
                        </a:prstGeom>
                        <a:solidFill>
                          <a:srgbClr val="FFFFFF"/>
                        </a:solidFill>
                        <a:ln w="6121">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2pt,-0.2999pt" to="423.9pt,-0.2999pt" o:allowincell="f" strokecolor="#000000" strokeweight="0.482pt"/>
            </w:pict>
          </mc:Fallback>
        </mc:AlternateContent>
        <mc:AlternateContent>
          <mc:Choice Requires="wps">
            <w:drawing>
              <wp:anchor simplePos="0" relativeHeight="251657728" behindDoc="1" locked="0" layoutInCell="0" allowOverlap="1">
                <wp:simplePos x="0" y="0"/>
                <wp:positionH relativeFrom="column">
                  <wp:posOffset>5525135</wp:posOffset>
                </wp:positionH>
                <wp:positionV relativeFrom="paragraph">
                  <wp:posOffset>-3810</wp:posOffset>
                </wp:positionV>
                <wp:extent cx="69786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7865" cy="4763"/>
                        </a:xfrm>
                        <a:prstGeom prst="line">
                          <a:avLst/>
                        </a:prstGeom>
                        <a:solidFill>
                          <a:srgbClr val="FFFFFF"/>
                        </a:solidFill>
                        <a:ln w="6121">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5.05pt,-0.2999pt" to="490pt,-0.2999pt" o:allowincell="f" strokecolor="#000000" strokeweight="0.482pt"/>
            </w:pict>
          </mc:Fallback>
        </mc:AlternateContent>
      </w:r>
    </w:p>
    <w:p>
      <w:pPr>
        <w:ind w:right="80" w:firstLine="7"/>
        <w:spacing w:after="0"/>
        <w:tabs>
          <w:tab w:leader="none" w:pos="157" w:val="left"/>
        </w:tabs>
        <w:numPr>
          <w:ilvl w:val="0"/>
          <w:numId w:val="4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We apply the federal tax rate of 15% which is the federal statutory rate of Canada of 38%, net of the general rate reduction of 10% and tax abatement of 13%.</w:t>
      </w:r>
    </w:p>
    <w:p>
      <w:pPr>
        <w:spacing w:after="0" w:line="149" w:lineRule="exact"/>
        <w:rPr>
          <w:rFonts w:ascii="Times New Roman" w:cs="Times New Roman" w:eastAsia="Times New Roman" w:hAnsi="Times New Roman"/>
          <w:sz w:val="19"/>
          <w:szCs w:val="19"/>
          <w:color w:val="auto"/>
          <w:vertAlign w:val="superscript"/>
        </w:rPr>
      </w:pPr>
    </w:p>
    <w:p>
      <w:pPr>
        <w:ind w:right="80" w:firstLine="7"/>
        <w:spacing w:after="0" w:line="230" w:lineRule="auto"/>
        <w:tabs>
          <w:tab w:leader="none" w:pos="169" w:val="left"/>
        </w:tabs>
        <w:numPr>
          <w:ilvl w:val="0"/>
          <w:numId w:val="4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We apply the provincial tax rate in Quebec of 11.5% to the net loss before income taxes attributable to the Canadian entity. Our provincial tax is Quebec only.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4701540</wp:posOffset>
                </wp:positionH>
                <wp:positionV relativeFrom="paragraph">
                  <wp:posOffset>-477520</wp:posOffset>
                </wp:positionV>
                <wp:extent cx="68199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99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0.2pt,-37.5999pt" to="423.9pt,-37.59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5525135</wp:posOffset>
                </wp:positionH>
                <wp:positionV relativeFrom="paragraph">
                  <wp:posOffset>-477520</wp:posOffset>
                </wp:positionV>
                <wp:extent cx="697865"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786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5.05pt,-37.5999pt" to="490pt,-37.5999pt" o:allowincell="f" strokecolor="#000000" strokeweight="0.48pt"/>
            </w:pict>
          </mc:Fallback>
        </mc:AlternateContent>
      </w:r>
    </w:p>
    <w:p>
      <w:pPr>
        <w:spacing w:after="0" w:line="131"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20"/>
          <w:szCs w:val="20"/>
          <w:color w:val="auto"/>
        </w:rPr>
        <w:t>For the year ended December 31, 2025, loss before income taxes was $20.4 million and $42.7 million for the Canadian and United States entities, respectively. For the year ended December 31, 2024, loss before income taxes was $20.8 million and $20.7 million for the Canadian and United States entities,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118</w:t>
      </w:r>
    </w:p>
    <w:p>
      <w:pPr>
        <w:sectPr>
          <w:pgSz w:w="11880" w:h="15480" w:orient="portrait"/>
          <w:cols w:equalWidth="0" w:num="1">
            <w:col w:w="9800"/>
          </w:cols>
          <w:pgMar w:left="1080" w:top="456" w:right="1000" w:bottom="544"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20"/>
          <w:szCs w:val="20"/>
          <w:b w:val="1"/>
          <w:bCs w:val="1"/>
          <w:color w:val="auto"/>
        </w:rPr>
        <w:t>Milestone Pharmaceuticals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US dollars, except share and per share data)</w:t>
      </w:r>
    </w:p>
    <w:p>
      <w:pPr>
        <w:spacing w:after="0" w:line="226"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20"/>
          <w:szCs w:val="20"/>
          <w:color w:val="auto"/>
        </w:rPr>
        <w:t>Prior to the adoption of ASU No. 2023-09, for the year ended December 31, 2024, the provision for income taxes differs from the expense that would be obtained by apply the Canadian statutory income tax rate as result of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gridSpan w:val="3"/>
          </w:tcPr>
          <w:p>
            <w:pPr>
              <w:spacing w:after="0"/>
              <w:rPr>
                <w:sz w:val="20"/>
                <w:szCs w:val="20"/>
                <w:color w:val="auto"/>
              </w:rPr>
            </w:pPr>
          </w:p>
        </w:tc>
        <w:tc>
          <w:tcPr>
            <w:tcW w:w="1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43"/>
        </w:trPr>
        <w:tc>
          <w:tcPr>
            <w:tcW w:w="73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Loss before income taxes . . . . . . . . . . . . . . . . . . . . . . . . . . . . . . . . . . . . . . . . . . . . . . . . . . . . . . . .</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(41,519)</w:t>
            </w: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360" w:type="dxa"/>
            <w:vAlign w:val="bottom"/>
            <w:gridSpan w:val="2"/>
          </w:tcPr>
          <w:p>
            <w:pPr>
              <w:jc w:val="right"/>
              <w:ind w:right="360"/>
              <w:spacing w:after="0" w:line="233" w:lineRule="exact"/>
              <w:rPr>
                <w:sz w:val="20"/>
                <w:szCs w:val="20"/>
                <w:color w:val="auto"/>
              </w:rPr>
            </w:pPr>
            <w:r>
              <w:rPr>
                <w:rFonts w:ascii="Times New Roman" w:cs="Times New Roman" w:eastAsia="Times New Roman" w:hAnsi="Times New Roman"/>
                <w:sz w:val="18"/>
                <w:szCs w:val="18"/>
                <w:color w:val="auto"/>
                <w:w w:val="99"/>
              </w:rPr>
              <w:t>Canadian statutory rate</w:t>
            </w:r>
            <w:r>
              <w:rPr>
                <w:rFonts w:ascii="Times New Roman" w:cs="Times New Roman" w:eastAsia="Times New Roman" w:hAnsi="Times New Roman"/>
                <w:sz w:val="24"/>
                <w:szCs w:val="24"/>
                <w:color w:val="auto"/>
                <w:w w:val="99"/>
                <w:vertAlign w:val="superscript"/>
              </w:rPr>
              <w:t>(1)</w:t>
            </w:r>
            <w:r>
              <w:rPr>
                <w:rFonts w:ascii="Times New Roman" w:cs="Times New Roman" w:eastAsia="Times New Roman" w:hAnsi="Times New Roman"/>
                <w:sz w:val="18"/>
                <w:szCs w:val="18"/>
                <w:color w:val="auto"/>
                <w:w w:val="99"/>
              </w:rPr>
              <w:t xml:space="preserve"> . . . . . . . . . . . . . . . . . . . . . . . . . . . . . . . . . . . . . . . . . . . . . . . . . . . . . . . . .</w:t>
            </w:r>
          </w:p>
        </w:tc>
        <w:tc>
          <w:tcPr>
            <w:tcW w:w="1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20" w:type="dxa"/>
            <w:vAlign w:val="bottom"/>
            <w:tcBorders>
              <w:top w:val="single" w:sz="8" w:color="auto"/>
              <w:bottom w:val="single" w:sz="8" w:color="auto"/>
            </w:tcBorders>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1"/>
              </w:rPr>
              <w:t>%</w:t>
            </w: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7360" w:type="dxa"/>
            <w:vAlign w:val="bottom"/>
            <w:gridSpan w:val="2"/>
          </w:tcPr>
          <w:p>
            <w:pPr>
              <w:jc w:val="right"/>
              <w:ind w:right="360"/>
              <w:spacing w:after="0" w:line="189" w:lineRule="exact"/>
              <w:rPr>
                <w:sz w:val="20"/>
                <w:szCs w:val="20"/>
                <w:color w:val="auto"/>
              </w:rPr>
            </w:pPr>
            <w:r>
              <w:rPr>
                <w:rFonts w:ascii="Times New Roman" w:cs="Times New Roman" w:eastAsia="Times New Roman" w:hAnsi="Times New Roman"/>
                <w:sz w:val="18"/>
                <w:szCs w:val="18"/>
                <w:color w:val="auto"/>
              </w:rPr>
              <w:t>. . . . . . . . . . . . . . . . . . . . . . . . . . . . . . . . . . . . . . . . . . . . . . . . . . . .Computedincometaxrecovery</w:t>
            </w:r>
          </w:p>
        </w:tc>
        <w:tc>
          <w:tcPr>
            <w:tcW w:w="140" w:type="dxa"/>
            <w:vAlign w:val="bottom"/>
          </w:tcPr>
          <w:p>
            <w:pPr>
              <w:spacing w:after="0"/>
              <w:rPr>
                <w:sz w:val="16"/>
                <w:szCs w:val="16"/>
                <w:color w:val="auto"/>
              </w:rPr>
            </w:pPr>
          </w:p>
        </w:tc>
        <w:tc>
          <w:tcPr>
            <w:tcW w:w="92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(11,003)</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on income tax rate resulting from</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w:t>
            </w: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6"/>
        </w:trPr>
        <w:tc>
          <w:tcPr>
            <w:tcW w:w="7360" w:type="dxa"/>
            <w:vAlign w:val="bottom"/>
            <w:gridSpan w:val="2"/>
          </w:tcPr>
          <w:p>
            <w:pPr>
              <w:jc w:val="right"/>
              <w:ind w:right="360"/>
              <w:spacing w:after="0" w:line="206" w:lineRule="exact"/>
              <w:rPr>
                <w:sz w:val="20"/>
                <w:szCs w:val="20"/>
                <w:color w:val="auto"/>
              </w:rPr>
            </w:pPr>
            <w:r>
              <w:rPr>
                <w:rFonts w:ascii="Times New Roman" w:cs="Times New Roman" w:eastAsia="Times New Roman" w:hAnsi="Times New Roman"/>
                <w:sz w:val="18"/>
                <w:szCs w:val="18"/>
                <w:color w:val="auto"/>
                <w:w w:val="99"/>
              </w:rPr>
              <w:t>Non - deductible share - based compensation . . . . . . . . . . . . . . . . . . . . . . . . . . . . . . . . . . . . . . . . . .</w:t>
            </w:r>
          </w:p>
        </w:tc>
        <w:tc>
          <w:tcPr>
            <w:tcW w:w="140" w:type="dxa"/>
            <w:vAlign w:val="bottom"/>
          </w:tcPr>
          <w:p>
            <w:pPr>
              <w:spacing w:after="0"/>
              <w:rPr>
                <w:sz w:val="17"/>
                <w:szCs w:val="17"/>
                <w:color w:val="auto"/>
              </w:rPr>
            </w:pPr>
          </w:p>
        </w:tc>
        <w:tc>
          <w:tcPr>
            <w:tcW w:w="90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1,637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Other permanent differences . . . . . . . . . . . . . . . . . . . . . . . . . . . . . . . . . . . . . . . . . . . . . . . . . . . . .</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2"/>
        </w:trPr>
        <w:tc>
          <w:tcPr>
            <w:tcW w:w="73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Tax benefits of current period losses and other tax assets, subject to full valuation allowance . .</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73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Valuation allowance for prior year adjustment . . . . . . . . . . . . . . . . . . . . . . . . . . . . . . . . . . . . . . .</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2"/>
        </w:trPr>
        <w:tc>
          <w:tcPr>
            <w:tcW w:w="73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Foreign income tax rate difference . . . . . . . . . . . . . . . . . . . . . . . . . . . . . . . . . . . . . . . . . . . . . . . .</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3"/>
        </w:trPr>
        <w:tc>
          <w:tcPr>
            <w:tcW w:w="73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Other . . . . . . . . . . . . . . . . . . . . . . . . . . . . . . . . . . . . . . . . . . . . . . . . . . . . . . . . . . . . . . . . . . . . . . .</w:t>
            </w: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17"/>
        </w:trPr>
        <w:tc>
          <w:tcPr>
            <w:tcW w:w="73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Income tax expense (recovery) reported in the consolidated statements of loss . . . . . . . . . . . . . . .</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8" w:lineRule="exact"/>
        <w:rPr>
          <w:sz w:val="20"/>
          <w:szCs w:val="20"/>
          <w:color w:val="auto"/>
        </w:rPr>
      </w:pPr>
    </w:p>
    <w:p>
      <w:pPr>
        <w:ind w:firstLine="7"/>
        <w:spacing w:after="0" w:line="250" w:lineRule="auto"/>
        <w:tabs>
          <w:tab w:leader="none" w:pos="158" w:val="left"/>
        </w:tabs>
        <w:numPr>
          <w:ilvl w:val="0"/>
          <w:numId w:val="4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Our Canadian corporate tax rate is comprised of a basic Part I federal tax rate of 38%, net 15% after federal tax abatement and general tax reduction, plus the additional provincial tax of 11.5%.</w:t>
      </w:r>
    </w:p>
    <w:p>
      <w:pPr>
        <w:spacing w:after="0" w:line="18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 has incurred Canadian federal and provincial net operating losses, or “NOLs,” from inception. As of December 31, 2025, the Company has NOL carry-forwards of approximately $230.7 million and $226.6 million, respectively, for Canadian federal and Québec purposes, available to reduce future taxable income, which expire beginning in 2026 through 2045. The Company also has scientific research and experimental development expenditures of approximately $32.7 million and $38.8 million, respectively, for Canadian federal and Québec income tax purposes, which have not been deducted. These expenditures are available to reduce future taxable income and have an unlimited carry-forward period. Research and development tax credits and expenditures are subject to verification by the tax authorities, and, accordingly, these amounts may vary.</w:t>
      </w:r>
    </w:p>
    <w:p>
      <w:pPr>
        <w:spacing w:after="0" w:line="20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Company has incurred NOLs for U.S. tax purposes. As of December 31, 2025, the Company has carry-forwards of approximately $103.2 million related to U.S. NOLs that may be carried forward indefinitely and are available to reduce future taxable income.</w:t>
      </w:r>
    </w:p>
    <w:p>
      <w:pPr>
        <w:spacing w:after="0" w:line="1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Deferred income taxes reflect the net tax effects of temporary differences between the carrying amounts of assets and liabilities for financial reporting purposes and the amounts used for income tax purposes. The net deferred tax assets have not been recognized in these financial statements because the criteria for recognition of these assets were not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119</w:t>
      </w:r>
    </w:p>
    <w:p>
      <w:pPr>
        <w:sectPr>
          <w:pgSz w:w="11880" w:h="15480" w:orient="portrait"/>
          <w:cols w:equalWidth="0" w:num="1">
            <w:col w:w="9720"/>
          </w:cols>
          <w:pgMar w:left="1080" w:top="456" w:right="1080" w:bottom="544"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20"/>
          <w:szCs w:val="20"/>
          <w:b w:val="1"/>
          <w:bCs w:val="1"/>
          <w:color w:val="auto"/>
        </w:rPr>
        <w:t>Milestone Pharmaceuticals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US dollars, except share and per share data)</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net deferred tax assets consist of the following for the years ended December 31:</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vMerge w:val="restart"/>
          </w:tcPr>
          <w:p>
            <w:pPr>
              <w:jc w:val="right"/>
              <w:ind w:right="4790"/>
              <w:spacing w:after="0"/>
              <w:rPr>
                <w:sz w:val="20"/>
                <w:szCs w:val="20"/>
                <w:color w:val="auto"/>
              </w:rPr>
            </w:pPr>
            <w:r>
              <w:rPr>
                <w:rFonts w:ascii="Times New Roman" w:cs="Times New Roman" w:eastAsia="Times New Roman" w:hAnsi="Times New Roman"/>
                <w:sz w:val="18"/>
                <w:szCs w:val="18"/>
                <w:color w:val="auto"/>
                <w:w w:val="96"/>
              </w:rPr>
              <w:t>Net operating loss carry - forwards</w:t>
            </w:r>
          </w:p>
        </w:tc>
        <w:tc>
          <w:tcPr>
            <w:tcW w:w="2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9"/>
                <w:szCs w:val="19"/>
                <w:color w:val="auto"/>
              </w:rPr>
            </w:pP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7320" w:type="dxa"/>
            <w:vAlign w:val="bottom"/>
            <w:vMerge w:val="continue"/>
          </w:tcPr>
          <w:p>
            <w:pPr>
              <w:jc w:val="right"/>
              <w:spacing w:after="0" w:line="157" w:lineRule="exact"/>
              <w:rPr>
                <w:sz w:val="20"/>
                <w:szCs w:val="20"/>
                <w:color w:val="auto"/>
              </w:rPr>
            </w:pPr>
            <w:r>
              <w:rPr>
                <w:rFonts w:ascii="Times New Roman" w:cs="Times New Roman" w:eastAsia="Times New Roman" w:hAnsi="Times New Roman"/>
                <w:sz w:val="18"/>
                <w:szCs w:val="18"/>
                <w:color w:val="auto"/>
              </w:rPr>
              <w:t>. . . . . . . . . . . . . . . . . . . . . . . . . . . . . . . . . . . . . . . . . . . . . . . . . . . . .</w:t>
            </w:r>
          </w:p>
        </w:tc>
        <w:tc>
          <w:tcPr>
            <w:tcW w:w="2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83,305</w:t>
            </w:r>
          </w:p>
        </w:tc>
        <w:tc>
          <w:tcPr>
            <w:tcW w:w="2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72,775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Tax basis of property and equipment in excess of carrying values . . . . . . . . . . . . . . . . . . . . . . . . . . . .</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Tax basis of right of use assets . . . . . . . . . . . . . . . . . . . . . . . . . . . . . . . . . . . . . . . . . . . . . . . . . . . . . . .</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06"/>
        </w:trPr>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Tax basis of lease liability . . . . . . . . . . . . . . . . . . . . . . . . . . . . . . . . . . . . . . . . . . . . . . . . . . . . . . . . . . .</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Tax basis of reserves . . . . . . . . . . . . . . . . . . . . . . . . . . . . . . . . . . . . . . . . . . . . . . . . . . . . . . . . . . . . . . .</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Federal SR&amp;ED investment tax credits . . . . . . . . . . . . . . . . . . . . . . . . . . . . . . . . . . . . . . . . . . . . . . . . .</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Taxation of federal SR&amp;ED investment tax credits . . . . . . . . . . . . . . . . . . . . . . . . . . . . . . . . . . . . . . . .</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(1,105)</w:t>
            </w:r>
          </w:p>
        </w:tc>
        <w:tc>
          <w:tcPr>
            <w:tcW w:w="0" w:type="dxa"/>
            <w:vAlign w:val="bottom"/>
          </w:tcPr>
          <w:p>
            <w:pPr>
              <w:spacing w:after="0"/>
              <w:rPr>
                <w:sz w:val="1"/>
                <w:szCs w:val="1"/>
                <w:color w:val="auto"/>
              </w:rPr>
            </w:pPr>
          </w:p>
        </w:tc>
      </w:tr>
      <w:tr>
        <w:trPr>
          <w:trHeight w:val="206"/>
        </w:trPr>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Research and development expenditures . . . . . . . . . . . . . . . . . . . . . . . . . . . . . . . . . . . . . . . . . . . . . . . .</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Financing costs . . . . . . . . . . . . . . . . . . . . . . . . . . . . . . . . . . . . . . . . . . . . . . . . . . . . . . . . . . . . . . . . . . .</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Stock based compensation . . . . . . . . . . . . . . . . . . . . . . . . . . . . . . . . . . . . . . . . . . . . . . . . . . . . . . . . . . .</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Others . . . . . . . . . . . . . . . . . . . . . . . . . . . . . . . . . . . . . . . . . . . . . . . . . . . . . . . . . . . . . . . . . . . . . . . . . .</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732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 . . . . . . . . . . . . . . . . . . . . . . . . . . . . . . . . . . . . . . . . . . . . . . . . . . . . . . . .TotalNetdeferredtaxassets</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102,807</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jc w:val="right"/>
              <w:spacing w:after="0" w:line="186" w:lineRule="exact"/>
              <w:rPr>
                <w:sz w:val="20"/>
                <w:szCs w:val="20"/>
                <w:color w:val="auto"/>
              </w:rPr>
            </w:pPr>
            <w:r>
              <w:rPr>
                <w:rFonts w:ascii="Times New Roman" w:cs="Times New Roman" w:eastAsia="Times New Roman" w:hAnsi="Times New Roman"/>
                <w:sz w:val="18"/>
                <w:szCs w:val="18"/>
                <w:color w:val="auto"/>
              </w:rPr>
              <w:t>89,353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Less Valuation allowance . . . . . . . . . . . . . . . . . . . . . . . . . . . . . . . . . . . . . . . . . . . . . . . . . . . . . . . . . . .</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(102,807)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(89,353)</w:t>
            </w:r>
          </w:p>
        </w:tc>
        <w:tc>
          <w:tcPr>
            <w:tcW w:w="0" w:type="dxa"/>
            <w:vAlign w:val="bottom"/>
          </w:tcPr>
          <w:p>
            <w:pPr>
              <w:spacing w:after="0"/>
              <w:rPr>
                <w:sz w:val="1"/>
                <w:szCs w:val="1"/>
                <w:color w:val="auto"/>
              </w:rPr>
            </w:pPr>
          </w:p>
        </w:tc>
      </w:tr>
      <w:tr>
        <w:trPr>
          <w:trHeight w:val="217"/>
        </w:trPr>
        <w:tc>
          <w:tcPr>
            <w:tcW w:w="7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 . . . . . . . . . . . . . . . . . . . . . . . . . . . . . . . . . . . . . . . . . . . . . . . . . . . . . . . . . . .Netdeferredtaxassets</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Company files income tax returns in Canada and in the United States. The Company is subject to Canada Revenue Agency and Revenu Québec examination for fiscal years 2020 to 2025 due to unexpired statute of limitation periods and is subject to US Federal and state income tax examination for fiscal years 2022 to 2025.</w:t>
      </w:r>
    </w:p>
    <w:p>
      <w:pPr>
        <w:spacing w:after="0" w:line="1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July 4, 2025, the President of the United States signed H.R. 1, the “One Big Beautiful Bill Act,” into law. The legislation includes several changes to federal tax law that generally allow for more favorable deductibility of certain business expenses beginning in 2025, including the restoration of immediate expensing of domestic R&amp;D expenditures, reinstatement of 100% bonus depreciation, and more favorable rules for determining the limitation on business interest expense. These changes were reflected in the income tax provision for the period ended December 31, 2025, as enactment occurred after the balance sheet date. The Company has elected to continue capitalizing domestic R&amp;D expenditures and will continue to amortize prior year R&amp;D expenditures that were capitalized.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Government assistance</w:t>
      </w:r>
    </w:p>
    <w:p>
      <w:pPr>
        <w:spacing w:after="0" w:line="24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incurs research and development expenditures that are eligible for investment tax credits. The investment tax credits recorded are based on management’s estimates of amounts expected to be recovered and are subject to audit by the taxation authorities. These amounts have been recorded as a reduction of research and development expenditures in the years ended December 31, 2025 and 2024 for an amount of $316 and $259,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Commitments</w:t>
      </w:r>
    </w:p>
    <w:p>
      <w:pPr>
        <w:spacing w:after="0" w:line="2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the normal course of business, the Company enters into contracts with clinical research organizations, drug manufacturers and other vendors for preclinical and clinical research studies, research and development supplies and other services and products for operating purposes. These contracts generally provide for termination with reasonable notice or upon certain circumstances, and therefore are cancellable contracts. Therefore, as of December 31, 2025, there are no contractual commitments, except for office leases (see Note 6, “Leases”).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Currency risk</w:t>
      </w:r>
    </w:p>
    <w:p>
      <w:pPr>
        <w:spacing w:after="0" w:line="244"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9"/>
          <w:szCs w:val="19"/>
          <w:color w:val="auto"/>
        </w:rPr>
        <w:t>The Company is exposed to the financial risk related to the fluctuation of foreign exchange rates and the degree of volatility of those rates. The foreign currency risk is limited to the portion of the Company’s business transactions denominated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120</w:t>
      </w:r>
    </w:p>
    <w:p>
      <w:pPr>
        <w:sectPr>
          <w:pgSz w:w="11880" w:h="15480" w:orient="portrait"/>
          <w:cols w:equalWidth="0" w:num="1">
            <w:col w:w="9720"/>
          </w:cols>
          <w:pgMar w:left="1080" w:top="456" w:right="1080" w:bottom="544"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20"/>
          <w:szCs w:val="20"/>
          <w:b w:val="1"/>
          <w:bCs w:val="1"/>
          <w:color w:val="auto"/>
        </w:rPr>
        <w:t>Milestone Pharmaceuticals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US dollars, except share and per share data)</w:t>
      </w:r>
    </w:p>
    <w:p>
      <w:pPr>
        <w:spacing w:after="0" w:line="22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currency other than US dollars. The following table provides an indication of the Company’s exposure to the Canadian dollar, which is expressed in US dollars as of December 31: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7380" w:type="dxa"/>
            <w:vAlign w:val="bottom"/>
            <w:gridSpan w:val="2"/>
            <w:vMerge w:val="continue"/>
          </w:tcPr>
          <w:p>
            <w:pPr>
              <w:jc w:val="right"/>
              <w:ind w:right="300"/>
              <w:spacing w:after="0" w:line="159" w:lineRule="exact"/>
              <w:rPr>
                <w:sz w:val="20"/>
                <w:szCs w:val="20"/>
                <w:color w:val="auto"/>
              </w:rPr>
            </w:pPr>
            <w:r>
              <w:rPr>
                <w:rFonts w:ascii="Times New Roman" w:cs="Times New Roman" w:eastAsia="Times New Roman" w:hAnsi="Times New Roman"/>
                <w:sz w:val="18"/>
                <w:szCs w:val="18"/>
                <w:color w:val="auto"/>
              </w:rPr>
              <w:t>. . . . . . . . . . . . . . . . . . . . . . . . . . . . . . . . . . . . . . . . . . . . . . . . . . . . . . . . .</w:t>
            </w:r>
          </w:p>
        </w:tc>
        <w:tc>
          <w:tcPr>
            <w:tcW w:w="200" w:type="dxa"/>
            <w:vAlign w:val="bottom"/>
          </w:tcPr>
          <w:p>
            <w:pPr>
              <w:jc w:val="right"/>
              <w:ind w:right="35"/>
              <w:spacing w:after="0" w:line="180"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line="179" w:lineRule="exact"/>
              <w:rPr>
                <w:sz w:val="20"/>
                <w:szCs w:val="20"/>
                <w:color w:val="auto"/>
              </w:rPr>
            </w:pPr>
            <w:r>
              <w:rPr>
                <w:rFonts w:ascii="Times New Roman" w:cs="Times New Roman" w:eastAsia="Times New Roman" w:hAnsi="Times New Roman"/>
                <w:sz w:val="18"/>
                <w:szCs w:val="18"/>
                <w:color w:val="auto"/>
              </w:rPr>
              <w:t>2,041</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jc w:val="right"/>
              <w:ind w:right="30"/>
              <w:spacing w:after="0" w:line="179"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line="179" w:lineRule="exact"/>
              <w:rPr>
                <w:sz w:val="20"/>
                <w:szCs w:val="20"/>
                <w:color w:val="auto"/>
              </w:rPr>
            </w:pPr>
            <w:r>
              <w:rPr>
                <w:rFonts w:ascii="Times New Roman" w:cs="Times New Roman" w:eastAsia="Times New Roman" w:hAnsi="Times New Roman"/>
                <w:sz w:val="18"/>
                <w:szCs w:val="18"/>
                <w:color w:val="auto"/>
              </w:rPr>
              <w:t>1,222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7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Short-term investments . . . . . . . . . . . . . . . . . . . . . . . . . . . . . . . . . . . . . . . . . . . . . . . . . . . . . . . . . . .</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Other receivables . . . . . . . . . . . . . . . . . . . . . . . . . . . . . . . . . . . . . . . . . . . . . . . . . . . . . . . . . . . . . . .</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Operating lease assets . . . . . . . . . . . . . . . . . . . . . . . . . . . . . . . . . . . . . . . . . . . . . . . . . . . . . . . . . . . .</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Accounts payable and accrued liabilities . . . . . . . . . . . . . . . . . . . . . . . . . . . . . . . . . . . . . . . . . . . . . .</w:t>
            </w: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9"/>
        </w:trPr>
        <w:tc>
          <w:tcPr>
            <w:tcW w:w="7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Operating lease liabilities . . . . . . . . . . . . . . . . . . . . . . . . . . . . . . . . . . . . . . . . . . . . . . . . . . . . . . . . .</w:t>
            </w:r>
          </w:p>
        </w:tc>
        <w:tc>
          <w:tcPr>
            <w:tcW w:w="2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7"/>
        </w:trPr>
        <w:tc>
          <w:tcPr>
            <w:tcW w:w="7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Net financial position exposure . . . . . . . . . . . . . . . . . . . . . . . . . . . . . . . . . . . . . . . . . . . . . . . . . . . . .</w:t>
            </w: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does not enter into arrangements to hedge its currency risk exposure.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17. Fair value of financial instruments</w:t>
      </w:r>
    </w:p>
    <w:p>
      <w:pPr>
        <w:spacing w:after="0" w:line="2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Pursuant to the accounting guidance for fair value measurement and its subsequent updates, fair value is defined as the price that would be received to sell an asset or paid to transfer a liability (i.e. the exit price) in an orderly transaction between market participants at the measurement date. The accounting guidance establishes a hierarchy for inputs used in measuring fair value that minimizes the use of unobservable inputs by requiring the use of observable market data when available. Observable inputs are inputs that market participants would use in pricing the asset or liability based on active market data. Unobservable inputs are inputs that reflect the assumptions market participants would use in pricing the asset or liability based on the best information available in the circumstances.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fair value hierarchy is broken down into the three input levels summarized below:</w:t>
      </w:r>
    </w:p>
    <w:p>
      <w:pPr>
        <w:spacing w:after="0" w:line="259" w:lineRule="exact"/>
        <w:rPr>
          <w:sz w:val="20"/>
          <w:szCs w:val="20"/>
          <w:color w:val="auto"/>
        </w:rPr>
      </w:pPr>
    </w:p>
    <w:p>
      <w:pPr>
        <w:jc w:val="both"/>
        <w:ind w:left="840" w:hanging="835"/>
        <w:spacing w:after="0"/>
        <w:rPr>
          <w:sz w:val="20"/>
          <w:szCs w:val="20"/>
          <w:color w:val="auto"/>
        </w:rPr>
      </w:pPr>
      <w:r>
        <w:rPr>
          <w:rFonts w:ascii="Times New Roman" w:cs="Times New Roman" w:eastAsia="Times New Roman" w:hAnsi="Times New Roman"/>
          <w:sz w:val="20"/>
          <w:szCs w:val="20"/>
          <w:color w:val="auto"/>
        </w:rPr>
        <w:t>Level 1 — Valuations are based on quoted prices in active markets for identical assets or liabilities and readily accessible by the Company at the reporting date.</w:t>
      </w:r>
    </w:p>
    <w:p>
      <w:pPr>
        <w:spacing w:after="0" w:line="1" w:lineRule="exact"/>
        <w:rPr>
          <w:sz w:val="20"/>
          <w:szCs w:val="20"/>
          <w:color w:val="auto"/>
        </w:rPr>
      </w:pPr>
    </w:p>
    <w:p>
      <w:pPr>
        <w:jc w:val="both"/>
        <w:ind w:left="840" w:hanging="835"/>
        <w:spacing w:after="0" w:line="239" w:lineRule="auto"/>
        <w:rPr>
          <w:sz w:val="20"/>
          <w:szCs w:val="20"/>
          <w:color w:val="auto"/>
        </w:rPr>
      </w:pPr>
      <w:r>
        <w:rPr>
          <w:rFonts w:ascii="Times New Roman" w:cs="Times New Roman" w:eastAsia="Times New Roman" w:hAnsi="Times New Roman"/>
          <w:sz w:val="20"/>
          <w:szCs w:val="20"/>
          <w:color w:val="auto"/>
        </w:rPr>
        <w:t>Level 2 — Valuations based on inputs other than the quoted prices in active markets that are observable either directly or indirectly in active markets.</w:t>
      </w:r>
    </w:p>
    <w:p>
      <w:pPr>
        <w:spacing w:after="0" w:line="2" w:lineRule="exact"/>
        <w:rPr>
          <w:sz w:val="20"/>
          <w:szCs w:val="20"/>
          <w:color w:val="auto"/>
        </w:rPr>
      </w:pPr>
    </w:p>
    <w:p>
      <w:pPr>
        <w:jc w:val="both"/>
        <w:ind w:left="840" w:hanging="835"/>
        <w:spacing w:after="0" w:line="280" w:lineRule="auto"/>
        <w:rPr>
          <w:sz w:val="20"/>
          <w:szCs w:val="20"/>
          <w:color w:val="auto"/>
        </w:rPr>
      </w:pPr>
      <w:r>
        <w:rPr>
          <w:rFonts w:ascii="Times New Roman" w:cs="Times New Roman" w:eastAsia="Times New Roman" w:hAnsi="Times New Roman"/>
          <w:sz w:val="20"/>
          <w:szCs w:val="20"/>
          <w:color w:val="auto"/>
        </w:rPr>
        <w:t>Level 3 — Valuations based on unobservable inputs in which there is little or no market data, which requires the Company to develop its own assumptions.</w:t>
      </w:r>
    </w:p>
    <w:p>
      <w:pPr>
        <w:spacing w:after="0" w:line="1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For the years ending December 31, 2025 and December 31, 2024, there were no financial instruments measured at fair value on a recurring or non-recurring basis. The carrying amounts of certain financial instruments, including cash and cash equivalents, short-term investments, accounts receivable, accounts payable and accrued expenses approximate their fair values due to the short-term nature of such instruments. Refer to Note 11, “Debt,” for details surrounding the fair value disclosures of the Convertible Notes.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 Royalty Purchase Agreement</w:t>
      </w:r>
    </w:p>
    <w:p>
      <w:pPr>
        <w:spacing w:after="0" w:line="24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On March 27, 2023, the Company entered into a purchase and sale agreement, or the “Royalty Purchase Agreement,” with RTW and certain of its affiliates.</w:t>
      </w:r>
    </w:p>
    <w:p>
      <w:pPr>
        <w:spacing w:after="0" w:line="16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Pursuant to the Royalty Purchase Agreement, RTW agreed to purchase, following the U.S. Food and Drug Administration approval of etripamil (subject to certain conditions), at a purchase price of $ 75.0 million, the right to receive a tiered quarterly royalty payments, or the “Royalty Interest,” on the net product sales of etripamil in the United States in an amount equal to: (i) 7%, or the “Initial Tier Royalty,” of annual net sales up to $500 million, (ii) 4% of annual net sales greater than $500 million and less than or equal to $800 million, and (iii) 1% of annual net sales greater than $800 million. If certain revenue thresholds for aggregate annual net sales are not met, the Initial Tier Royalty will increase to 9.5% beginning on January 1 of the following calendar year until a subsequent sales threshold is attained, at which time the Initial Tier Royalty would revert back to 7%. Refer to Note 21, “Subsequent Events.”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121</w:t>
      </w:r>
    </w:p>
    <w:p>
      <w:pPr>
        <w:sectPr>
          <w:pgSz w:w="11880" w:h="15480" w:orient="portrait"/>
          <w:cols w:equalWidth="0" w:num="1">
            <w:col w:w="9720"/>
          </w:cols>
          <w:pgMar w:left="1080" w:top="456" w:right="1080" w:bottom="544"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20"/>
          <w:szCs w:val="20"/>
          <w:b w:val="1"/>
          <w:bCs w:val="1"/>
          <w:color w:val="auto"/>
        </w:rPr>
        <w:t>Milestone Pharmaceuticals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US dollars, except share and per share data)</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19. Other receivables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receivables comprised the following as of December 31:</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6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Interest receivable</w:t>
            </w: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99"/>
        </w:trPr>
        <w:tc>
          <w:tcPr>
            <w:tcW w:w="6640" w:type="dxa"/>
            <w:vAlign w:val="bottom"/>
            <w:gridSpan w:val="2"/>
            <w:vMerge w:val="continue"/>
          </w:tcPr>
          <w:p>
            <w:pPr>
              <w:jc w:val="right"/>
              <w:ind w:right="26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w:t>
            </w:r>
          </w:p>
        </w:tc>
        <w:tc>
          <w:tcPr>
            <w:tcW w:w="520" w:type="dxa"/>
            <w:vAlign w:val="bottom"/>
            <w:tcBorders>
              <w:top w:val="single" w:sz="8" w:color="auto"/>
            </w:tcBorders>
          </w:tcPr>
          <w:p>
            <w:pPr>
              <w:spacing w:after="0" w:line="199"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rPr>
              <w:t>196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Borders>
              <w:top w:val="single" w:sz="8" w:color="auto"/>
            </w:tcBorders>
          </w:tcPr>
          <w:p>
            <w:pPr>
              <w:spacing w:after="0" w:line="199"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rPr>
              <w:t>604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6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w w:val="96"/>
              </w:rPr>
              <w:t>Sales tax receivable . . . . . . . . . . . . . . . . . . . . . . . . . . . . . . . . . . . . . . . . . . . . . . . . . .</w:t>
            </w: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w w:val="97"/>
              </w:rPr>
              <w:t>Clinical receivable . . . . . . . . . . . . . . . . . . . . . . . . . . . . . . . . . . . . . . . . . . . . . . . . . .</w:t>
            </w: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6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w w:val="98"/>
              </w:rPr>
              <w:t>Employee withholding taxes receivable . . . . . . . . . . . . . . . . . . . . . . . . . . . . . . . . .</w:t>
            </w: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1"/>
        </w:trPr>
        <w:tc>
          <w:tcPr>
            <w:tcW w:w="66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w w:val="97"/>
              </w:rPr>
              <w:t>Other current receivable . . . . . . . . . . . . . . . . . . . . . . . . . . . . . . . . . . . . . . . . . . . . . .</w:t>
            </w: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6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6"/>
              </w:rPr>
              <w:t>Total . . . . . . . . . . . . . . . . . . . . . . . . . . . . . . . . . . . . . . . . . . . . . . . . . . . . . . . . . . . . . .</w:t>
            </w:r>
          </w:p>
        </w:tc>
        <w:tc>
          <w:tcPr>
            <w:tcW w:w="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1,646</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 Segment Reporting</w:t>
      </w:r>
    </w:p>
    <w:p>
      <w:pPr>
        <w:spacing w:after="0" w:line="24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 manages its operations as a single operating segment for the purpose of assessing performance and making operating decisions while focusing on the development and commercialization of innovative cardiovascular medicines. These operations are focused on a single product, which are reported on a consolidated basis. The accounting policies of the single operating segment are the same as those described in the summary of significant accounting policies. The chief operating decision maker, or “CODM,” assesses performance of the Company’s single operating segment based on consolidated net loss. Net loss is used by the CODM to evaluate budget to actual analytics, which are used to monitor the single segment spend and confirm the Company is meeting established budgetary goals. The CODM is the principal officer group, which includes the Company’s chief executive officer and chief financial officer.</w:t>
      </w:r>
    </w:p>
    <w:p>
      <w:pPr>
        <w:spacing w:after="0" w:line="19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The following table presents information about the Company’s significant expenses, as provided to the Company’s CODM, and includes a reconciliation to consolidated net loss: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16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80" w:type="dxa"/>
            <w:vAlign w:val="bottom"/>
          </w:tcPr>
          <w:p>
            <w:pPr>
              <w:spacing w:after="0"/>
              <w:rPr>
                <w:sz w:val="22"/>
                <w:szCs w:val="22"/>
                <w:color w:val="auto"/>
              </w:rPr>
            </w:pPr>
          </w:p>
        </w:tc>
        <w:tc>
          <w:tcPr>
            <w:tcW w:w="2380" w:type="dxa"/>
            <w:vAlign w:val="bottom"/>
            <w:gridSpan w:val="7"/>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0" w:type="dxa"/>
            <w:vAlign w:val="bottom"/>
          </w:tcPr>
          <w:p>
            <w:pPr>
              <w:spacing w:after="0"/>
              <w:rPr>
                <w:sz w:val="1"/>
                <w:szCs w:val="1"/>
                <w:color w:val="auto"/>
              </w:rPr>
            </w:pPr>
          </w:p>
        </w:tc>
      </w:tr>
      <w:tr>
        <w:trPr>
          <w:trHeight w:val="220"/>
        </w:trPr>
        <w:tc>
          <w:tcPr>
            <w:tcW w:w="7160" w:type="dxa"/>
            <w:vAlign w:val="bottom"/>
            <w:gridSpan w:val="3"/>
            <w:vMerge w:val="continue"/>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240"/>
              <w:spacing w:after="0" w:line="220" w:lineRule="exact"/>
              <w:rPr>
                <w:sz w:val="20"/>
                <w:szCs w:val="20"/>
                <w:color w:val="auto"/>
              </w:rPr>
            </w:pPr>
            <w:r>
              <w:rPr>
                <w:rFonts w:ascii="Times New Roman" w:cs="Times New Roman" w:eastAsia="Times New Roman" w:hAnsi="Times New Roman"/>
                <w:sz w:val="20"/>
                <w:szCs w:val="20"/>
                <w:b w:val="1"/>
                <w:bCs w:val="1"/>
                <w:color w:val="auto"/>
              </w:rPr>
              <w:t>2025</w:t>
            </w: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40"/>
              <w:spacing w:after="0" w:line="220" w:lineRule="exact"/>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6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8"/>
              </w:rPr>
              <w:t>Revenue</w:t>
            </w:r>
            <w:r>
              <w:rPr>
                <w:rFonts w:ascii="Times New Roman" w:cs="Times New Roman" w:eastAsia="Times New Roman" w:hAnsi="Times New Roman"/>
                <w:sz w:val="20"/>
                <w:szCs w:val="20"/>
                <w:color w:val="auto"/>
                <w:w w:val="98"/>
              </w:rPr>
              <w:t>. . . . . . . . . . . . . . . . . . . . . . . . . . . . . . . . . . . . . . . . . . . . . . . . . . . . . . . . . . . . . . .</w:t>
            </w: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1,546</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8"/>
        </w:trPr>
        <w:tc>
          <w:tcPr>
            <w:tcW w:w="71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Less:</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1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Research and development, net of tax credits, excluding share-based compensation .</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15,744</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General and administrative, excluding share-based compensation . . . . . . . . . . . . . . . .</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13,441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Commercial, excluding share-based compensation . . . . . . . . . . . . . . . . . . . . . . . . . . . .</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27,040</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Share-based compensation expense . . . . . . . . . . . . . . . . . . . . . . . . . . . . . . . . . . . . . . . . .</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7,461</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5,776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Interest income . . . . . . . . . . . . . . . . . . . . . . . . . . . . . . . . . . . . . . . . . . . . . . . . . . . . . . . . .</w:t>
            </w:r>
          </w:p>
        </w:tc>
        <w:tc>
          <w:tcPr>
            <w:tcW w:w="80" w:type="dxa"/>
            <w:vAlign w:val="bottom"/>
          </w:tcPr>
          <w:p>
            <w:pPr>
              <w:spacing w:after="0"/>
              <w:rPr>
                <w:sz w:val="19"/>
                <w:szCs w:val="19"/>
                <w:color w:val="auto"/>
              </w:rPr>
            </w:pP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(2,920)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(4,164)</w:t>
            </w:r>
          </w:p>
        </w:tc>
        <w:tc>
          <w:tcPr>
            <w:tcW w:w="0" w:type="dxa"/>
            <w:vAlign w:val="bottom"/>
          </w:tcPr>
          <w:p>
            <w:pPr>
              <w:spacing w:after="0"/>
              <w:rPr>
                <w:sz w:val="1"/>
                <w:szCs w:val="1"/>
                <w:color w:val="auto"/>
              </w:rPr>
            </w:pPr>
          </w:p>
        </w:tc>
      </w:tr>
      <w:tr>
        <w:trPr>
          <w:trHeight w:val="241"/>
        </w:trPr>
        <w:tc>
          <w:tcPr>
            <w:tcW w:w="71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Interest expense . . . . . . . . . . . . . . . . . . . . . . . . . . . . . . . . . . . . . . . . . . . . . . . . . . . . . . . . .</w:t>
            </w: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3,838</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1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 xml:space="preserve">Net loss </w:t>
            </w:r>
            <w:r>
              <w:rPr>
                <w:rFonts w:ascii="Times New Roman" w:cs="Times New Roman" w:eastAsia="Times New Roman" w:hAnsi="Times New Roman"/>
                <w:sz w:val="20"/>
                <w:szCs w:val="20"/>
                <w:color w:val="auto"/>
              </w:rPr>
              <w:t>. . . . . . . . . . . . . . . . . . . . . . . . . . . . . . . . . . . . . . . . . . . . . . . . . . . . . . . . . . . . . . .</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(63,058)</w:t>
            </w:r>
          </w:p>
        </w:tc>
        <w:tc>
          <w:tcPr>
            <w:tcW w:w="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(41,519)</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measure of segment assets is reported on the balance sheet as total consolidated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122</w:t>
      </w:r>
    </w:p>
    <w:p>
      <w:pPr>
        <w:sectPr>
          <w:pgSz w:w="11880" w:h="15480" w:orient="portrait"/>
          <w:cols w:equalWidth="0" w:num="1">
            <w:col w:w="9720"/>
          </w:cols>
          <w:pgMar w:left="1080" w:top="456" w:right="1080" w:bottom="544"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20"/>
          <w:szCs w:val="20"/>
          <w:b w:val="1"/>
          <w:bCs w:val="1"/>
          <w:color w:val="auto"/>
        </w:rPr>
        <w:t>Milestone Pharmaceuticals Inc.</w:t>
      </w: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of US dollars, except share and per share data)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21. Subsequent Events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Closing of sale of royalty interest</w:t>
      </w:r>
    </w:p>
    <w:p>
      <w:pPr>
        <w:spacing w:after="0" w:line="2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As previously disclosed, on March 27, 2023, the Company entered into the Royalty Purchase Agreement with RTW, pursuant to which RTW agreed to purchase, following FDA approval of etripamil (subject to certain conditions) for the treatment of PSVT, at a purchase price of $75.0 million, the right to receive tiered quarterly royalty payments on net product sales of etripamil in the United States.</w:t>
      </w:r>
    </w:p>
    <w:p>
      <w:pPr>
        <w:spacing w:after="0" w:line="20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On January 12, 2026, the Company closed the sale of Royalty interest under the Royalty Purchase Agreement and received cash of $75.0 million from RTW.</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Sale of common shares under 2025 Offering and Open Market Sale Agreement</w:t>
      </w:r>
      <w:r>
        <w:rPr>
          <w:rFonts w:ascii="Times New Roman" w:cs="Times New Roman" w:eastAsia="Times New Roman" w:hAnsi="Times New Roman"/>
          <w:sz w:val="25"/>
          <w:szCs w:val="25"/>
          <w:i w:val="1"/>
          <w:iCs w:val="1"/>
          <w:color w:val="auto"/>
          <w:vertAlign w:val="superscript"/>
        </w:rPr>
        <w:t>SM</w:t>
      </w:r>
    </w:p>
    <w:p>
      <w:pPr>
        <w:spacing w:after="0" w:line="1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Subsequent to the year ended December 31, 2025, through to the date of issuance of the financial statements, the Company raised aggregate gross proceeds of $19.7 million from the sale of common shares through Milestone’s Open Market Sale Agreement</w:t>
      </w:r>
      <w:r>
        <w:rPr>
          <w:rFonts w:ascii="Times New Roman" w:cs="Times New Roman" w:eastAsia="Times New Roman" w:hAnsi="Times New Roman"/>
          <w:sz w:val="25"/>
          <w:szCs w:val="25"/>
          <w:color w:val="auto"/>
          <w:vertAlign w:val="superscript"/>
        </w:rPr>
        <w:t>SM</w:t>
      </w:r>
      <w:r>
        <w:rPr>
          <w:rFonts w:ascii="Times New Roman" w:cs="Times New Roman" w:eastAsia="Times New Roman" w:hAnsi="Times New Roman"/>
          <w:sz w:val="20"/>
          <w:szCs w:val="20"/>
          <w:color w:val="auto"/>
        </w:rPr>
        <w:t xml:space="preserve"> and the exercise of Warrants issued in connection with the 2025 Offering.</w:t>
      </w:r>
    </w:p>
    <w:p>
      <w:pPr>
        <w:spacing w:after="0" w:line="4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Specifically, 5,526,590 shares were sold through the Open Market Sale Agreement</w:t>
      </w:r>
      <w:r>
        <w:rPr>
          <w:rFonts w:ascii="Times New Roman" w:cs="Times New Roman" w:eastAsia="Times New Roman" w:hAnsi="Times New Roman"/>
          <w:sz w:val="25"/>
          <w:szCs w:val="25"/>
          <w:color w:val="auto"/>
          <w:vertAlign w:val="superscript"/>
        </w:rPr>
        <w:t>SM</w:t>
      </w:r>
      <w:r>
        <w:rPr>
          <w:rFonts w:ascii="Times New Roman" w:cs="Times New Roman" w:eastAsia="Times New Roman" w:hAnsi="Times New Roman"/>
          <w:sz w:val="20"/>
          <w:szCs w:val="20"/>
          <w:color w:val="auto"/>
        </w:rPr>
        <w:t xml:space="preserve"> for net proceeds of $10.9 million, after deducting sales agent commissions payable by the Company of $0.3 million. In addition, 5,666,666 Series A Warrants were exercised for net proceeds of $8.0 million, after deducting underwriting commissions payable by the Company of $0.5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123</w:t>
      </w:r>
    </w:p>
    <w:p>
      <w:pPr>
        <w:sectPr>
          <w:pgSz w:w="11880" w:h="15480" w:orient="portrait"/>
          <w:cols w:equalWidth="0" w:num="1">
            <w:col w:w="9720"/>
          </w:cols>
          <w:pgMar w:left="1080" w:top="456" w:right="1080" w:bottom="544" w:gutter="0" w:footer="0" w:header="0"/>
        </w:sectPr>
      </w:pPr>
    </w:p>
    <w:bookmarkStart w:id="125" w:name="page126"/>
    <w:bookmarkEnd w:id="125"/>
    <w:p>
      <w:pPr>
        <w:jc w:val="both"/>
        <w:ind w:left="1000" w:hanging="1007"/>
        <w:spacing w:after="0" w:line="288" w:lineRule="auto"/>
        <w:tabs>
          <w:tab w:leader="none" w:pos="980" w:val="left"/>
        </w:tabs>
        <w:rPr>
          <w:sz w:val="20"/>
          <w:szCs w:val="20"/>
          <w:color w:val="auto"/>
        </w:rPr>
      </w:pPr>
      <w:r>
        <w:rPr>
          <w:rFonts w:ascii="Times New Roman" w:cs="Times New Roman" w:eastAsia="Times New Roman" w:hAnsi="Times New Roman"/>
          <w:sz w:val="20"/>
          <w:szCs w:val="20"/>
          <w:b w:val="1"/>
          <w:bCs w:val="1"/>
          <w:color w:val="auto"/>
        </w:rPr>
        <w:t>ITEM 9.</w:t>
        <w:tab/>
        <w:t>CHANGES IN AND DISAGREEMENTS WITH ACCOUNTANTS ON ACCOUNTING AND FINANCIAL DISCLOSURE.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3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b w:val="1"/>
          <w:bCs w:val="1"/>
          <w:color w:val="auto"/>
        </w:rPr>
        <w:t>ITEM 9A.</w:t>
      </w:r>
      <w:r>
        <w:rPr>
          <w:sz w:val="20"/>
          <w:szCs w:val="20"/>
          <w:color w:val="auto"/>
        </w:rPr>
        <w:tab/>
      </w:r>
      <w:r>
        <w:rPr>
          <w:rFonts w:ascii="Times New Roman" w:cs="Times New Roman" w:eastAsia="Times New Roman" w:hAnsi="Times New Roman"/>
          <w:sz w:val="19"/>
          <w:szCs w:val="19"/>
          <w:b w:val="1"/>
          <w:bCs w:val="1"/>
          <w:color w:val="auto"/>
        </w:rPr>
        <w:t>CONTROLS AND PROCEDURES.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24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maintain disclosure controls and procedures, as defined in Rules 13a-15(e) and 15d-15(e) under the Securities Exchange Act of 1934 (the Exchange Act)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recognizes that any controls and procedures, no matter how well designed and operated, can provide only reasonable and not absolute assurance of achieving the desired control objectives. In reaching a reasonable level of assurance, management necessarily is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 -15(e) and 15d-15(e) under the Exchange Act. Based on this evaluation, our principal executive officer and principal financial officer concluded that our disclosure controls and procedures were effective at the reasonable assurance level as of December 31,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24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such term is defined in Rules 13a-15(f) and 15-d-15(f) of the Exchange Act. Internal control over financial reporting is a process designed under the supervision and with the participation of our management, including our principal executive officer and principal financial officer, to provide reasonable assurance regarding the reliability of financial reporting and the preparation of financial statements for external purposes in accordance with accounting principles generally accepted in the United States of America.</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As of December 31, 2025, management assessed and management concluded the effectiveness of internal control over financial reporting using the criteria set forth by the Committee of Sponsoring Organizations of the Treadway Commission in Internal Control – 2013 Integrated Framework (2013 Framework). Based on this assessment, management concluded that our internal control over financial reporting was effective as of December 31, 2025.</w:t>
      </w:r>
    </w:p>
    <w:p>
      <w:pPr>
        <w:spacing w:after="0" w:line="18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This Annual Report on Form 10-K does not include an attestation report of our independent registered public accounting firm due to our status as a non-accelerated filer.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Inherent Limitations of Internal Controls</w:t>
      </w:r>
    </w:p>
    <w:p>
      <w:pPr>
        <w:spacing w:after="0" w:line="2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Our management, including our principal executive officer and principal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w:t>
      </w:r>
    </w:p>
    <w:p>
      <w:pPr>
        <w:sectPr>
          <w:pgSz w:w="11880" w:h="15480" w:orient="portrait"/>
          <w:cols w:equalWidth="0" w:num="1">
            <w:col w:w="9720"/>
          </w:cols>
          <w:pgMar w:left="1080" w:top="1061" w:right="1080" w:bottom="544"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124</w:t>
      </w:r>
    </w:p>
    <w:p>
      <w:pPr>
        <w:sectPr>
          <w:pgSz w:w="11880" w:h="15480" w:orient="portrait"/>
          <w:cols w:equalWidth="0" w:num="1">
            <w:col w:w="9720"/>
          </w:cols>
          <w:pgMar w:left="1080" w:top="1061" w:right="1080" w:bottom="544" w:gutter="0" w:footer="0" w:header="0"/>
          <w:type w:val="continuous"/>
        </w:sectPr>
      </w:pPr>
    </w:p>
    <w:bookmarkStart w:id="126" w:name="page127"/>
    <w:bookmarkEnd w:id="126"/>
    <w:p>
      <w:pPr>
        <w:jc w:val="both"/>
        <w:spacing w:after="0" w:line="245" w:lineRule="auto"/>
        <w:rPr>
          <w:sz w:val="20"/>
          <w:szCs w:val="20"/>
          <w:color w:val="auto"/>
        </w:rPr>
      </w:pPr>
      <w:r>
        <w:rPr>
          <w:rFonts w:ascii="Times New Roman" w:cs="Times New Roman" w:eastAsia="Times New Roman" w:hAnsi="Times New Roman"/>
          <w:sz w:val="20"/>
          <w:szCs w:val="20"/>
          <w:color w:val="auto"/>
        </w:rPr>
        <w:t>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During the quarter ended December 31, 2025, there have been no changes in our internal control over financial reporting, as such term is defined in Rules 13a-15(f) and 15d-15(f) promulgated under the Exchange Act, that have materially affected, or are reasonably likely to materially affect, our internal control over financial reporting.</w:t>
      </w:r>
    </w:p>
    <w:p>
      <w:pPr>
        <w:spacing w:after="0" w:line="173"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20"/>
          <w:szCs w:val="20"/>
          <w:b w:val="1"/>
          <w:bCs w:val="1"/>
          <w:color w:val="auto"/>
        </w:rPr>
        <w:t>ITEM 9B.</w:t>
        <w:tab/>
        <w:t>OTHER INFORMATION.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Rule 10b5-1 Trading Arrangements</w:t>
      </w:r>
    </w:p>
    <w:p>
      <w:pPr>
        <w:spacing w:after="0" w:line="23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None of our directors or executive officers adopted, modified or terminated a “Rule 10b5-1 trading arrangement” or “non-Rule-10b5-1 trading arrangement,” as each term is defined in Item 408(a) of Regulation S-K, during the fiscal quarter ended December 31, 2025.</w:t>
      </w:r>
    </w:p>
    <w:p>
      <w:pPr>
        <w:spacing w:after="0" w:line="17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b w:val="1"/>
          <w:bCs w:val="1"/>
          <w:color w:val="auto"/>
        </w:rPr>
        <w:t>ITEM 9C.</w:t>
      </w:r>
      <w:r>
        <w:rPr>
          <w:sz w:val="20"/>
          <w:szCs w:val="20"/>
          <w:color w:val="auto"/>
        </w:rPr>
        <w:tab/>
      </w:r>
      <w:r>
        <w:rPr>
          <w:rFonts w:ascii="Times New Roman" w:cs="Times New Roman" w:eastAsia="Times New Roman" w:hAnsi="Times New Roman"/>
          <w:sz w:val="19"/>
          <w:szCs w:val="19"/>
          <w:b w:val="1"/>
          <w:bCs w:val="1"/>
          <w:color w:val="auto"/>
        </w:rPr>
        <w:t>DISCLOSURE REGARDING FOREIGN JURISDICTIONS THAT PREVENT INSPECTIONS.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125</w:t>
      </w:r>
    </w:p>
    <w:p>
      <w:pPr>
        <w:sectPr>
          <w:pgSz w:w="11880" w:h="15480" w:orient="portrait"/>
          <w:cols w:equalWidth="0" w:num="1">
            <w:col w:w="9720"/>
          </w:cols>
          <w:pgMar w:left="1080" w:top="1064" w:right="1080" w:bottom="544"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Certain information required by Part III is omitted from this report because we will file with the SEC a definitive proxy statement pursuant to Regulation 14A, or the “2026 Proxy Statement,” no later than 120 days after the end of our fiscal year, and certain information included therein is incorporated herein by reference.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4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9"/>
          <w:szCs w:val="19"/>
          <w:color w:val="auto"/>
        </w:rPr>
        <w:t>The information required by this item is incorporated by reference to the information set forth in the sections titled “Proposal No. 1: Election of Directors,” “Proposal No. 1: Election of Directors</w:t>
      </w:r>
      <w:r>
        <w:rPr>
          <w:rFonts w:ascii="Arial" w:cs="Arial" w:eastAsia="Arial" w:hAnsi="Arial"/>
          <w:sz w:val="19"/>
          <w:szCs w:val="19"/>
          <w:color w:val="auto"/>
        </w:rPr>
        <w:t>─</w:t>
      </w:r>
      <w:r>
        <w:rPr>
          <w:rFonts w:ascii="Times New Roman" w:cs="Times New Roman" w:eastAsia="Times New Roman" w:hAnsi="Times New Roman"/>
          <w:sz w:val="19"/>
          <w:szCs w:val="19"/>
          <w:color w:val="auto"/>
        </w:rPr>
        <w:t>Information Regarding the Board of Directors and Corporate Governance,” “Executive Officers,” and “Delinquent Section 16(a) Reports,” if applicable, in our 2026 Proxy Statement. Such information to be included in our 2026 Proxy Statement is incorporated herein by reference.</w:t>
      </w:r>
    </w:p>
    <w:p>
      <w:pPr>
        <w:spacing w:after="0" w:line="16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The information required by Item 408(b) of Regulation S-K will be set forth in the section titled “Insider Trading Arrangements and Policies” in our 2026 Proxy Statement and is incorporated by reference herein.</w:t>
      </w:r>
    </w:p>
    <w:p>
      <w:pPr>
        <w:spacing w:after="0" w:line="15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Information regarding our Code of Business Conduct and Ethics, or the Code of Conduct, required by this item will be contained in our 2026 Proxy Statement under the caption “Proposal No. 1: Election of Directors</w:t>
      </w:r>
      <w:r>
        <w:rPr>
          <w:rFonts w:ascii="Arial" w:cs="Arial" w:eastAsia="Arial" w:hAnsi="Arial"/>
          <w:sz w:val="19"/>
          <w:szCs w:val="19"/>
          <w:color w:val="auto"/>
        </w:rPr>
        <w:t>─</w:t>
      </w:r>
      <w:r>
        <w:rPr>
          <w:rFonts w:ascii="Times New Roman" w:cs="Times New Roman" w:eastAsia="Times New Roman" w:hAnsi="Times New Roman"/>
          <w:sz w:val="19"/>
          <w:szCs w:val="19"/>
          <w:color w:val="auto"/>
        </w:rPr>
        <w:t>Information Regarding the Board of Directors and Corporate Governance</w:t>
      </w:r>
      <w:r>
        <w:rPr>
          <w:rFonts w:ascii="Arial" w:cs="Arial" w:eastAsia="Arial" w:hAnsi="Arial"/>
          <w:sz w:val="19"/>
          <w:szCs w:val="19"/>
          <w:color w:val="auto"/>
        </w:rPr>
        <w:t>─</w:t>
      </w:r>
      <w:r>
        <w:rPr>
          <w:rFonts w:ascii="Times New Roman" w:cs="Times New Roman" w:eastAsia="Times New Roman" w:hAnsi="Times New Roman"/>
          <w:sz w:val="19"/>
          <w:szCs w:val="19"/>
          <w:color w:val="auto"/>
        </w:rPr>
        <w:t>Code of Business Conduct and Ethics,” and is hereby incorporated by reference. We intend to promptly disclose on our website or in a Current Report on Form 8- K in the future (i) the date and nature of any amendment (other than technical, administrative or other non-substantive amendments) to the Code of Conduct that applies to our principal executive officer, principal financial officer, principal accounting officer or controller or persons performing similar functions and relates to any element of the code of ethics definition enumerated in Item 406(b) of Regulation S -K and (ii) the nature of any waiver, including an implicit waiver, from a provision of the Code of Conduct that is granted to one of these specified individuals that relates to one or more of the elements of the code of ethics definition enumerated in Item 406(b) of Regulation S-K, the name of such person who is granted the waiver and the date of the waiver. The full text of our Code of Conduct is available at the investors section of our website at www.milestonepharma.com. The reference to our website address does not constitute incorporation by reference of the information contained at or available through our website, and you should not consider it to be a part of this Annual Report.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4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the information set forth in the section titled “Executive Compensation” in our 2026 Proxy Statement and is incorporated by reference herein, provided that the information required by Item 402(x) of Regulation S-K shall be set forth in the section titled "Policies and practices related to the grant of certain equity awards close in time to the release of material nonpublic information" in our 2026 Proxy Statement and is incorporated by reference herein.</w:t>
      </w:r>
    </w:p>
    <w:p>
      <w:pPr>
        <w:spacing w:after="0" w:line="179" w:lineRule="exact"/>
        <w:rPr>
          <w:sz w:val="20"/>
          <w:szCs w:val="20"/>
          <w:color w:val="auto"/>
        </w:rPr>
      </w:pPr>
    </w:p>
    <w:p>
      <w:pPr>
        <w:jc w:val="both"/>
        <w:ind w:left="1020" w:hanging="1007"/>
        <w:spacing w:after="0" w:line="288"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4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the information set forth in the section titled “Security Ownership of Certain Beneficial Owners and Management” in our 2026 Proxy Statement.</w:t>
      </w:r>
    </w:p>
    <w:p>
      <w:pPr>
        <w:spacing w:after="0" w:line="173" w:lineRule="exact"/>
        <w:rPr>
          <w:sz w:val="20"/>
          <w:szCs w:val="20"/>
          <w:color w:val="auto"/>
        </w:rPr>
      </w:pPr>
    </w:p>
    <w:p>
      <w:pPr>
        <w:jc w:val="both"/>
        <w:ind w:left="1020" w:hanging="1007"/>
        <w:spacing w:after="0" w:line="264" w:lineRule="auto"/>
        <w:rPr>
          <w:sz w:val="20"/>
          <w:szCs w:val="20"/>
          <w:color w:val="auto"/>
        </w:rPr>
      </w:pPr>
      <w:r>
        <w:rPr>
          <w:rFonts w:ascii="Times New Roman" w:cs="Times New Roman" w:eastAsia="Times New Roman" w:hAnsi="Times New Roman"/>
          <w:sz w:val="20"/>
          <w:szCs w:val="20"/>
          <w:b w:val="1"/>
          <w:bCs w:val="1"/>
          <w:color w:val="auto"/>
        </w:rPr>
        <w:t>ITEM 13. CERTAIN</w:t>
      </w:r>
      <w:r>
        <w:rPr>
          <w:sz w:val="20"/>
          <w:szCs w:val="20"/>
          <w:color w:val="auto"/>
        </w:rPr>
        <w:t xml:space="preserve"> </w:t>
      </w:r>
      <w:r>
        <w:rPr>
          <w:rFonts w:ascii="Times New Roman" w:cs="Times New Roman" w:eastAsia="Times New Roman" w:hAnsi="Times New Roman"/>
          <w:sz w:val="20"/>
          <w:szCs w:val="20"/>
          <w:b w:val="1"/>
          <w:bCs w:val="1"/>
          <w:color w:val="auto"/>
        </w:rPr>
        <w:t>RELATIONSHIPS AND RELATED TRANSACTIONS, AND DIRECTOR INDEPENDENCE.</w:t>
      </w:r>
    </w:p>
    <w:p>
      <w:pPr>
        <w:spacing w:after="0" w:line="200" w:lineRule="exact"/>
        <w:rPr>
          <w:sz w:val="20"/>
          <w:szCs w:val="20"/>
          <w:color w:val="auto"/>
        </w:rPr>
      </w:pP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the information set forth in the sections titled “Certain Relationships and Related Transactions” and “Proposal No. 1: Election of Directors</w:t>
      </w:r>
      <w:r>
        <w:rPr>
          <w:rFonts w:ascii="Arial" w:cs="Arial" w:eastAsia="Arial" w:hAnsi="Arial"/>
          <w:sz w:val="20"/>
          <w:szCs w:val="20"/>
          <w:color w:val="auto"/>
        </w:rPr>
        <w:t>─</w:t>
      </w:r>
      <w:r>
        <w:rPr>
          <w:rFonts w:ascii="Times New Roman" w:cs="Times New Roman" w:eastAsia="Times New Roman" w:hAnsi="Times New Roman"/>
          <w:sz w:val="20"/>
          <w:szCs w:val="20"/>
          <w:color w:val="auto"/>
        </w:rPr>
        <w:t>Information Regarding the Board of Directors and Corporate Governance</w:t>
      </w:r>
      <w:r>
        <w:rPr>
          <w:rFonts w:ascii="Arial" w:cs="Arial" w:eastAsia="Arial" w:hAnsi="Arial"/>
          <w:sz w:val="20"/>
          <w:szCs w:val="20"/>
          <w:color w:val="auto"/>
        </w:rPr>
        <w:t>─</w:t>
      </w:r>
      <w:r>
        <w:rPr>
          <w:rFonts w:ascii="Times New Roman" w:cs="Times New Roman" w:eastAsia="Times New Roman" w:hAnsi="Times New Roman"/>
          <w:sz w:val="20"/>
          <w:szCs w:val="20"/>
          <w:color w:val="auto"/>
        </w:rPr>
        <w:t>Director Independence” in our 2026 Proxy Statement.</w:t>
      </w:r>
    </w:p>
    <w:p>
      <w:pPr>
        <w:sectPr>
          <w:pgSz w:w="11880" w:h="15480" w:orient="portrait"/>
          <w:cols w:equalWidth="0" w:num="1">
            <w:col w:w="9720"/>
          </w:cols>
          <w:pgMar w:left="1080" w:top="1061"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126</w:t>
      </w:r>
    </w:p>
    <w:p>
      <w:pPr>
        <w:sectPr>
          <w:pgSz w:w="11880" w:h="15480" w:orient="portrait"/>
          <w:cols w:equalWidth="0" w:num="1">
            <w:col w:w="9720"/>
          </w:cols>
          <w:pgMar w:left="1080" w:top="1061" w:right="1080" w:bottom="544" w:gutter="0" w:footer="0" w:header="0"/>
          <w:type w:val="continuous"/>
        </w:sectPr>
      </w:pPr>
    </w:p>
    <w:bookmarkStart w:id="128" w:name="page129"/>
    <w:bookmarkEnd w:id="128"/>
    <w:p>
      <w:pPr>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14.</w:t>
      </w:r>
      <w:r>
        <w:rPr>
          <w:sz w:val="20"/>
          <w:szCs w:val="20"/>
          <w:color w:val="auto"/>
        </w:rPr>
        <w:tab/>
      </w:r>
      <w:r>
        <w:rPr>
          <w:rFonts w:ascii="Times New Roman" w:cs="Times New Roman" w:eastAsia="Times New Roman" w:hAnsi="Times New Roman"/>
          <w:sz w:val="19"/>
          <w:szCs w:val="19"/>
          <w:b w:val="1"/>
          <w:bCs w:val="1"/>
          <w:color w:val="auto"/>
        </w:rPr>
        <w:t>PRINCIPAL ACCOUNTANT FEES AND SERVICES.</w:t>
      </w:r>
    </w:p>
    <w:p>
      <w:pPr>
        <w:spacing w:after="0" w:line="243"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20"/>
          <w:szCs w:val="20"/>
          <w:color w:val="auto"/>
        </w:rPr>
        <w:t>The information required by this item is incorporated by reference to the information set forth in the section titled “Proposal No. 2: Appointment of Auditor</w:t>
      </w:r>
      <w:r>
        <w:rPr>
          <w:rFonts w:ascii="Arial" w:cs="Arial" w:eastAsia="Arial" w:hAnsi="Arial"/>
          <w:sz w:val="20"/>
          <w:szCs w:val="20"/>
          <w:color w:val="auto"/>
        </w:rPr>
        <w:t>─</w:t>
      </w:r>
      <w:r>
        <w:rPr>
          <w:rFonts w:ascii="Times New Roman" w:cs="Times New Roman" w:eastAsia="Times New Roman" w:hAnsi="Times New Roman"/>
          <w:sz w:val="20"/>
          <w:szCs w:val="20"/>
          <w:color w:val="auto"/>
        </w:rPr>
        <w:t>Auditor Fees” in our 2026 Proxy Statement.</w:t>
      </w:r>
    </w:p>
    <w:p>
      <w:pPr>
        <w:sectPr>
          <w:pgSz w:w="11880" w:h="15480" w:orient="portrait"/>
          <w:cols w:equalWidth="0" w:num="1">
            <w:col w:w="9700"/>
          </w:cols>
          <w:pgMar w:left="1080" w:top="1062" w:right="110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127</w:t>
      </w:r>
    </w:p>
    <w:p>
      <w:pPr>
        <w:sectPr>
          <w:pgSz w:w="11880" w:h="15480" w:orient="portrait"/>
          <w:cols w:equalWidth="0" w:num="1">
            <w:col w:w="9700"/>
          </w:cols>
          <w:pgMar w:left="1080" w:top="1062" w:right="1100" w:bottom="544"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3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15.</w:t>
        <w:tab/>
        <w:t>EXHIBITS, FINANCIAL STATEMENT SCHEDULES.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(a)(1) Financial Statements</w:t>
      </w:r>
    </w:p>
    <w:p>
      <w:pPr>
        <w:ind w:left="620"/>
        <w:spacing w:after="0"/>
        <w:rPr>
          <w:sz w:val="20"/>
          <w:szCs w:val="20"/>
          <w:color w:val="auto"/>
        </w:rPr>
      </w:pPr>
      <w:r>
        <w:rPr>
          <w:rFonts w:ascii="Times New Roman" w:cs="Times New Roman" w:eastAsia="Times New Roman" w:hAnsi="Times New Roman"/>
          <w:sz w:val="20"/>
          <w:szCs w:val="20"/>
          <w:color w:val="auto"/>
        </w:rPr>
        <w:t>See Index to Consolidated Financial Statements on page 103 of this Annual Report on Form 10-K, which is</w:t>
      </w:r>
    </w:p>
    <w:p>
      <w:pPr>
        <w:spacing w:after="0"/>
        <w:rPr>
          <w:sz w:val="20"/>
          <w:szCs w:val="20"/>
          <w:color w:val="auto"/>
        </w:rPr>
      </w:pPr>
      <w:r>
        <w:rPr>
          <w:rFonts w:ascii="Times New Roman" w:cs="Times New Roman" w:eastAsia="Times New Roman" w:hAnsi="Times New Roman"/>
          <w:sz w:val="20"/>
          <w:szCs w:val="20"/>
          <w:color w:val="auto"/>
        </w:rPr>
        <w:t>incorporated into this item by reference.</w:t>
      </w:r>
    </w:p>
    <w:p>
      <w:pPr>
        <w:spacing w:after="0"/>
        <w:rPr>
          <w:sz w:val="20"/>
          <w:szCs w:val="20"/>
          <w:color w:val="auto"/>
        </w:rPr>
      </w:pPr>
      <w:r>
        <w:rPr>
          <w:rFonts w:ascii="Times New Roman" w:cs="Times New Roman" w:eastAsia="Times New Roman" w:hAnsi="Times New Roman"/>
          <w:sz w:val="20"/>
          <w:szCs w:val="20"/>
          <w:color w:val="auto"/>
        </w:rPr>
        <w:t>(a)(2) Financial Statement Schedules</w:t>
      </w:r>
    </w:p>
    <w:p>
      <w:pPr>
        <w:ind w:left="620"/>
        <w:spacing w:after="0"/>
        <w:rPr>
          <w:sz w:val="20"/>
          <w:szCs w:val="20"/>
          <w:color w:val="auto"/>
        </w:rPr>
      </w:pPr>
      <w:r>
        <w:rPr>
          <w:rFonts w:ascii="Times New Roman" w:cs="Times New Roman" w:eastAsia="Times New Roman" w:hAnsi="Times New Roman"/>
          <w:sz w:val="19"/>
          <w:szCs w:val="19"/>
          <w:color w:val="auto"/>
        </w:rPr>
        <w:t>All financial statement schedules are omitted because they are not applicable or the required information is shown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the financial statements or notes thereto.</w:t>
      </w:r>
    </w:p>
    <w:p>
      <w:pPr>
        <w:spacing w:after="0"/>
        <w:rPr>
          <w:sz w:val="20"/>
          <w:szCs w:val="20"/>
          <w:color w:val="auto"/>
        </w:rPr>
      </w:pPr>
      <w:r>
        <w:rPr>
          <w:rFonts w:ascii="Times New Roman" w:cs="Times New Roman" w:eastAsia="Times New Roman" w:hAnsi="Times New Roman"/>
          <w:sz w:val="20"/>
          <w:szCs w:val="20"/>
          <w:color w:val="auto"/>
        </w:rPr>
        <w:t>(b) Exhibits</w:t>
      </w:r>
    </w:p>
    <w:p>
      <w:pPr>
        <w:ind w:firstLine="616"/>
        <w:spacing w:after="0" w:line="280" w:lineRule="auto"/>
        <w:rPr>
          <w:sz w:val="20"/>
          <w:szCs w:val="20"/>
          <w:color w:val="auto"/>
        </w:rPr>
      </w:pPr>
      <w:r>
        <w:rPr>
          <w:rFonts w:ascii="Times New Roman" w:cs="Times New Roman" w:eastAsia="Times New Roman" w:hAnsi="Times New Roman"/>
          <w:sz w:val="20"/>
          <w:szCs w:val="20"/>
          <w:color w:val="auto"/>
        </w:rPr>
        <w:t>The following list of exhibits includes exhibits submitted with this Annual Report on Form 10-K as filed with the SEC and others incorporated by reference to other filings.</w:t>
      </w:r>
    </w:p>
    <w:p>
      <w:pPr>
        <w:spacing w:after="0" w:line="17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EXHIBIT</w:t>
      </w:r>
    </w:p>
    <w:p>
      <w:pPr>
        <w:ind w:left="80"/>
        <w:spacing w:after="0"/>
        <w:rPr>
          <w:sz w:val="20"/>
          <w:szCs w:val="20"/>
          <w:color w:val="auto"/>
        </w:rPr>
      </w:pPr>
      <w:r>
        <w:rPr>
          <w:rFonts w:ascii="Times New Roman" w:cs="Times New Roman" w:eastAsia="Times New Roman" w:hAnsi="Times New Roman"/>
          <w:sz w:val="20"/>
          <w:szCs w:val="20"/>
          <w:b w:val="1"/>
          <w:bCs w:val="1"/>
          <w:color w:val="auto"/>
        </w:rPr>
        <w:t>NUMBER DESCRIPTION</w:t>
      </w:r>
    </w:p>
    <w:p>
      <w:pPr>
        <w:spacing w:after="0" w:line="25"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1060" w:type="dxa"/>
            <w:vAlign w:val="bottom"/>
            <w:tcBorders>
              <w:top w:val="single" w:sz="8" w:color="auto"/>
              <w:left w:val="single" w:sz="8" w:color="auto"/>
              <w:right w:val="single" w:sz="8" w:color="auto"/>
            </w:tcBorders>
          </w:tcPr>
          <w:p>
            <w:pPr>
              <w:ind w:left="80"/>
              <w:spacing w:after="0" w:line="228" w:lineRule="exact"/>
              <w:rPr>
                <w:sz w:val="20"/>
                <w:szCs w:val="20"/>
                <w:color w:val="auto"/>
              </w:rPr>
            </w:pPr>
            <w:r>
              <w:rPr>
                <w:rFonts w:ascii="Times New Roman" w:cs="Times New Roman" w:eastAsia="Times New Roman" w:hAnsi="Times New Roman"/>
                <w:sz w:val="20"/>
                <w:szCs w:val="20"/>
                <w:color w:val="auto"/>
              </w:rPr>
              <w:t>3.1</w:t>
            </w:r>
          </w:p>
        </w:tc>
        <w:tc>
          <w:tcPr>
            <w:tcW w:w="8660" w:type="dxa"/>
            <w:vAlign w:val="bottom"/>
            <w:tcBorders>
              <w:top w:val="single" w:sz="8" w:color="auto"/>
              <w:right w:val="single" w:sz="8" w:color="auto"/>
            </w:tcBorders>
          </w:tcPr>
          <w:p>
            <w:pPr>
              <w:ind w:left="60"/>
              <w:spacing w:after="0" w:line="228" w:lineRule="exact"/>
              <w:rPr>
                <w:sz w:val="20"/>
                <w:szCs w:val="20"/>
                <w:color w:val="auto"/>
              </w:rPr>
            </w:pPr>
            <w:r>
              <w:rPr>
                <w:rFonts w:ascii="Times New Roman" w:cs="Times New Roman" w:eastAsia="Times New Roman" w:hAnsi="Times New Roman"/>
                <w:sz w:val="20"/>
                <w:szCs w:val="20"/>
                <w:color w:val="auto"/>
              </w:rPr>
              <w:t>Amended Articles of Incorporation (incorporated herein by reference to Exhibit 3.1 to the Registrant’s</w:t>
            </w:r>
          </w:p>
        </w:tc>
      </w:tr>
      <w:tr>
        <w:trPr>
          <w:trHeight w:val="252"/>
        </w:trPr>
        <w:tc>
          <w:tcPr>
            <w:tcW w:w="1060" w:type="dxa"/>
            <w:vAlign w:val="bottom"/>
            <w:tcBorders>
              <w:left w:val="single" w:sz="8" w:color="auto"/>
              <w:bottom w:val="single" w:sz="8" w:color="auto"/>
              <w:right w:val="single" w:sz="8" w:color="auto"/>
            </w:tcBorders>
          </w:tcPr>
          <w:p>
            <w:pPr>
              <w:spacing w:after="0"/>
              <w:rPr>
                <w:sz w:val="21"/>
                <w:szCs w:val="21"/>
                <w:color w:val="auto"/>
              </w:rPr>
            </w:pPr>
          </w:p>
        </w:tc>
        <w:tc>
          <w:tcPr>
            <w:tcW w:w="8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Current Report on Form 8 - K (File No. 001 - 38899), filed with the SEC on May 15, 2019).</w:t>
            </w:r>
          </w:p>
        </w:tc>
      </w:tr>
      <w:tr>
        <w:trPr>
          <w:trHeight w:val="199"/>
        </w:trPr>
        <w:tc>
          <w:tcPr>
            <w:tcW w:w="1060" w:type="dxa"/>
            <w:vAlign w:val="bottom"/>
            <w:tcBorders>
              <w:left w:val="single" w:sz="8" w:color="auto"/>
              <w:right w:val="single" w:sz="8" w:color="auto"/>
            </w:tcBorders>
          </w:tcPr>
          <w:p>
            <w:pPr>
              <w:ind w:left="80"/>
              <w:spacing w:after="0" w:line="199" w:lineRule="exact"/>
              <w:rPr>
                <w:sz w:val="20"/>
                <w:szCs w:val="20"/>
                <w:color w:val="auto"/>
              </w:rPr>
            </w:pPr>
            <w:r>
              <w:rPr>
                <w:rFonts w:ascii="Times New Roman" w:cs="Times New Roman" w:eastAsia="Times New Roman" w:hAnsi="Times New Roman"/>
                <w:sz w:val="20"/>
                <w:szCs w:val="20"/>
                <w:color w:val="auto"/>
              </w:rPr>
              <w:t>3.2</w:t>
            </w:r>
          </w:p>
        </w:tc>
        <w:tc>
          <w:tcPr>
            <w:tcW w:w="8660" w:type="dxa"/>
            <w:vAlign w:val="bottom"/>
            <w:tcBorders>
              <w:right w:val="single" w:sz="8" w:color="auto"/>
            </w:tcBorders>
          </w:tcPr>
          <w:p>
            <w:pPr>
              <w:ind w:left="60"/>
              <w:spacing w:after="0" w:line="199" w:lineRule="exact"/>
              <w:rPr>
                <w:sz w:val="20"/>
                <w:szCs w:val="20"/>
                <w:color w:val="auto"/>
              </w:rPr>
            </w:pPr>
            <w:r>
              <w:rPr>
                <w:rFonts w:ascii="Times New Roman" w:cs="Times New Roman" w:eastAsia="Times New Roman" w:hAnsi="Times New Roman"/>
                <w:sz w:val="20"/>
                <w:szCs w:val="20"/>
                <w:color w:val="auto"/>
              </w:rPr>
              <w:t>Amended and Restated Bylaws (incorporated herein by reference to Exhibit 3.2 to the Registrant’s Current</w:t>
            </w:r>
          </w:p>
        </w:tc>
      </w:tr>
      <w:tr>
        <w:trPr>
          <w:trHeight w:val="252"/>
        </w:trPr>
        <w:tc>
          <w:tcPr>
            <w:tcW w:w="1060" w:type="dxa"/>
            <w:vAlign w:val="bottom"/>
            <w:tcBorders>
              <w:left w:val="single" w:sz="8" w:color="auto"/>
              <w:bottom w:val="single" w:sz="8" w:color="auto"/>
              <w:right w:val="single" w:sz="8" w:color="auto"/>
            </w:tcBorders>
          </w:tcPr>
          <w:p>
            <w:pPr>
              <w:spacing w:after="0"/>
              <w:rPr>
                <w:sz w:val="21"/>
                <w:szCs w:val="21"/>
                <w:color w:val="auto"/>
              </w:rPr>
            </w:pPr>
          </w:p>
        </w:tc>
        <w:tc>
          <w:tcPr>
            <w:tcW w:w="8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Report on Form 8 - K (File No. 001 - 38899), filed with the SEC on May 15, 2019) .</w:t>
            </w:r>
          </w:p>
        </w:tc>
      </w:tr>
      <w:tr>
        <w:trPr>
          <w:trHeight w:val="199"/>
        </w:trPr>
        <w:tc>
          <w:tcPr>
            <w:tcW w:w="1060" w:type="dxa"/>
            <w:vAlign w:val="bottom"/>
            <w:tcBorders>
              <w:left w:val="single" w:sz="8" w:color="auto"/>
              <w:right w:val="single" w:sz="8" w:color="auto"/>
            </w:tcBorders>
          </w:tcPr>
          <w:p>
            <w:pPr>
              <w:ind w:left="80"/>
              <w:spacing w:after="0" w:line="199" w:lineRule="exact"/>
              <w:rPr>
                <w:sz w:val="20"/>
                <w:szCs w:val="20"/>
                <w:color w:val="auto"/>
              </w:rPr>
            </w:pPr>
            <w:r>
              <w:rPr>
                <w:rFonts w:ascii="Times New Roman" w:cs="Times New Roman" w:eastAsia="Times New Roman" w:hAnsi="Times New Roman"/>
                <w:sz w:val="20"/>
                <w:szCs w:val="20"/>
                <w:color w:val="auto"/>
              </w:rPr>
              <w:t>4.1</w:t>
            </w:r>
          </w:p>
        </w:tc>
        <w:tc>
          <w:tcPr>
            <w:tcW w:w="8660" w:type="dxa"/>
            <w:vAlign w:val="bottom"/>
            <w:tcBorders>
              <w:right w:val="single" w:sz="8" w:color="auto"/>
            </w:tcBorders>
          </w:tcPr>
          <w:p>
            <w:pPr>
              <w:ind w:left="60"/>
              <w:spacing w:after="0" w:line="199" w:lineRule="exact"/>
              <w:rPr>
                <w:sz w:val="20"/>
                <w:szCs w:val="20"/>
                <w:color w:val="auto"/>
              </w:rPr>
            </w:pPr>
            <w:r>
              <w:rPr>
                <w:rFonts w:ascii="Times New Roman" w:cs="Times New Roman" w:eastAsia="Times New Roman" w:hAnsi="Times New Roman"/>
                <w:sz w:val="20"/>
                <w:szCs w:val="20"/>
                <w:color w:val="auto"/>
              </w:rPr>
              <w:t>Form of Common Share Certificate (incorporated herein by reference to Exhibit 4.1 to Amendment No. 1</w:t>
            </w:r>
          </w:p>
        </w:tc>
      </w:tr>
      <w:tr>
        <w:trPr>
          <w:trHeight w:val="229"/>
        </w:trPr>
        <w:tc>
          <w:tcPr>
            <w:tcW w:w="1060" w:type="dxa"/>
            <w:vAlign w:val="bottom"/>
            <w:tcBorders>
              <w:left w:val="single" w:sz="8" w:color="auto"/>
              <w:right w:val="single" w:sz="8" w:color="auto"/>
            </w:tcBorders>
          </w:tcPr>
          <w:p>
            <w:pPr>
              <w:spacing w:after="0"/>
              <w:rPr>
                <w:sz w:val="19"/>
                <w:szCs w:val="19"/>
                <w:color w:val="auto"/>
              </w:rPr>
            </w:pPr>
          </w:p>
        </w:tc>
        <w:tc>
          <w:tcPr>
            <w:tcW w:w="8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to the Registrant’s Registration Statement on Form S - 1 (File No. 333 - 230846), filed with the SEC on</w:t>
            </w:r>
          </w:p>
        </w:tc>
      </w:tr>
      <w:tr>
        <w:trPr>
          <w:trHeight w:val="252"/>
        </w:trPr>
        <w:tc>
          <w:tcPr>
            <w:tcW w:w="1060" w:type="dxa"/>
            <w:vAlign w:val="bottom"/>
            <w:tcBorders>
              <w:left w:val="single" w:sz="8" w:color="auto"/>
              <w:bottom w:val="single" w:sz="8" w:color="auto"/>
              <w:right w:val="single" w:sz="8" w:color="auto"/>
            </w:tcBorders>
          </w:tcPr>
          <w:p>
            <w:pPr>
              <w:spacing w:after="0"/>
              <w:rPr>
                <w:sz w:val="21"/>
                <w:szCs w:val="21"/>
                <w:color w:val="auto"/>
              </w:rPr>
            </w:pPr>
          </w:p>
        </w:tc>
        <w:tc>
          <w:tcPr>
            <w:tcW w:w="8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April 29, 2019).</w:t>
            </w:r>
          </w:p>
        </w:tc>
      </w:tr>
      <w:tr>
        <w:trPr>
          <w:trHeight w:val="199"/>
        </w:trPr>
        <w:tc>
          <w:tcPr>
            <w:tcW w:w="1060" w:type="dxa"/>
            <w:vAlign w:val="bottom"/>
            <w:tcBorders>
              <w:left w:val="single" w:sz="8" w:color="auto"/>
              <w:right w:val="single" w:sz="8" w:color="auto"/>
            </w:tcBorders>
          </w:tcPr>
          <w:p>
            <w:pPr>
              <w:ind w:left="80"/>
              <w:spacing w:after="0" w:line="199" w:lineRule="exact"/>
              <w:rPr>
                <w:sz w:val="20"/>
                <w:szCs w:val="20"/>
                <w:color w:val="auto"/>
              </w:rPr>
            </w:pPr>
            <w:r>
              <w:rPr>
                <w:rFonts w:ascii="Times New Roman" w:cs="Times New Roman" w:eastAsia="Times New Roman" w:hAnsi="Times New Roman"/>
                <w:sz w:val="20"/>
                <w:szCs w:val="20"/>
                <w:color w:val="auto"/>
              </w:rPr>
              <w:t>4.2</w:t>
            </w:r>
          </w:p>
        </w:tc>
        <w:tc>
          <w:tcPr>
            <w:tcW w:w="8660" w:type="dxa"/>
            <w:vAlign w:val="bottom"/>
            <w:tcBorders>
              <w:right w:val="single" w:sz="8" w:color="auto"/>
            </w:tcBorders>
          </w:tcPr>
          <w:p>
            <w:pPr>
              <w:ind w:left="60"/>
              <w:spacing w:after="0" w:line="199" w:lineRule="exact"/>
              <w:rPr>
                <w:sz w:val="20"/>
                <w:szCs w:val="20"/>
                <w:color w:val="auto"/>
              </w:rPr>
            </w:pPr>
            <w:r>
              <w:rPr>
                <w:rFonts w:ascii="Times New Roman" w:cs="Times New Roman" w:eastAsia="Times New Roman" w:hAnsi="Times New Roman"/>
                <w:sz w:val="20"/>
                <w:szCs w:val="20"/>
                <w:color w:val="auto"/>
                <w:w w:val="99"/>
              </w:rPr>
              <w:t>Form of Pre-Funded Warrant to Purchase Common Shares (incorporated herein by reference to Exhibit 4.1</w:t>
            </w:r>
          </w:p>
        </w:tc>
      </w:tr>
      <w:tr>
        <w:trPr>
          <w:trHeight w:val="252"/>
        </w:trPr>
        <w:tc>
          <w:tcPr>
            <w:tcW w:w="1060" w:type="dxa"/>
            <w:vAlign w:val="bottom"/>
            <w:tcBorders>
              <w:left w:val="single" w:sz="8" w:color="auto"/>
              <w:bottom w:val="single" w:sz="8" w:color="auto"/>
              <w:right w:val="single" w:sz="8" w:color="auto"/>
            </w:tcBorders>
          </w:tcPr>
          <w:p>
            <w:pPr>
              <w:spacing w:after="0"/>
              <w:rPr>
                <w:sz w:val="21"/>
                <w:szCs w:val="21"/>
                <w:color w:val="auto"/>
              </w:rPr>
            </w:pPr>
          </w:p>
        </w:tc>
        <w:tc>
          <w:tcPr>
            <w:tcW w:w="8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w w:val="99"/>
              </w:rPr>
              <w:t>to the Registrant’s Current Report on Form 8-K (File No. 001-38899), filed with the SEC on July 23, 2020.</w:t>
            </w:r>
          </w:p>
        </w:tc>
      </w:tr>
      <w:tr>
        <w:trPr>
          <w:trHeight w:val="198"/>
        </w:trPr>
        <w:tc>
          <w:tcPr>
            <w:tcW w:w="1060" w:type="dxa"/>
            <w:vAlign w:val="bottom"/>
            <w:tcBorders>
              <w:left w:val="single" w:sz="8" w:color="auto"/>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20"/>
                <w:szCs w:val="20"/>
                <w:color w:val="auto"/>
              </w:rPr>
              <w:t>4.3</w:t>
            </w:r>
          </w:p>
        </w:tc>
        <w:tc>
          <w:tcPr>
            <w:tcW w:w="8660" w:type="dxa"/>
            <w:vAlign w:val="bottom"/>
            <w:tcBorders>
              <w:right w:val="single" w:sz="8" w:color="auto"/>
            </w:tcBorders>
          </w:tcPr>
          <w:p>
            <w:pPr>
              <w:ind w:left="60"/>
              <w:spacing w:after="0" w:line="198" w:lineRule="exact"/>
              <w:rPr>
                <w:sz w:val="20"/>
                <w:szCs w:val="20"/>
                <w:color w:val="auto"/>
              </w:rPr>
            </w:pPr>
            <w:r>
              <w:rPr>
                <w:rFonts w:ascii="Times New Roman" w:cs="Times New Roman" w:eastAsia="Times New Roman" w:hAnsi="Times New Roman"/>
                <w:sz w:val="20"/>
                <w:szCs w:val="20"/>
                <w:color w:val="auto"/>
              </w:rPr>
              <w:t>Form of Pre-Funded Warrant (incorporated herein by reference to Exhibit 4.1 to the Registrant’s Current</w:t>
            </w:r>
          </w:p>
        </w:tc>
      </w:tr>
      <w:tr>
        <w:trPr>
          <w:trHeight w:val="252"/>
        </w:trPr>
        <w:tc>
          <w:tcPr>
            <w:tcW w:w="1060" w:type="dxa"/>
            <w:vAlign w:val="bottom"/>
            <w:tcBorders>
              <w:left w:val="single" w:sz="8" w:color="auto"/>
              <w:bottom w:val="single" w:sz="8" w:color="auto"/>
              <w:right w:val="single" w:sz="8" w:color="auto"/>
            </w:tcBorders>
          </w:tcPr>
          <w:p>
            <w:pPr>
              <w:spacing w:after="0"/>
              <w:rPr>
                <w:sz w:val="21"/>
                <w:szCs w:val="21"/>
                <w:color w:val="auto"/>
              </w:rPr>
            </w:pPr>
          </w:p>
        </w:tc>
        <w:tc>
          <w:tcPr>
            <w:tcW w:w="8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Report on Form 8-K (File No. 001-38899), filed with the SEC on October 26, 2020.</w:t>
            </w:r>
          </w:p>
        </w:tc>
      </w:tr>
      <w:tr>
        <w:trPr>
          <w:trHeight w:val="199"/>
        </w:trPr>
        <w:tc>
          <w:tcPr>
            <w:tcW w:w="1060" w:type="dxa"/>
            <w:vAlign w:val="bottom"/>
            <w:tcBorders>
              <w:left w:val="single" w:sz="8" w:color="auto"/>
              <w:right w:val="single" w:sz="8" w:color="auto"/>
            </w:tcBorders>
          </w:tcPr>
          <w:p>
            <w:pPr>
              <w:ind w:left="80"/>
              <w:spacing w:after="0" w:line="199" w:lineRule="exact"/>
              <w:rPr>
                <w:sz w:val="20"/>
                <w:szCs w:val="20"/>
                <w:color w:val="auto"/>
              </w:rPr>
            </w:pPr>
            <w:r>
              <w:rPr>
                <w:rFonts w:ascii="Times New Roman" w:cs="Times New Roman" w:eastAsia="Times New Roman" w:hAnsi="Times New Roman"/>
                <w:sz w:val="20"/>
                <w:szCs w:val="20"/>
                <w:color w:val="auto"/>
              </w:rPr>
              <w:t>4.4</w:t>
            </w:r>
          </w:p>
        </w:tc>
        <w:tc>
          <w:tcPr>
            <w:tcW w:w="8660" w:type="dxa"/>
            <w:vAlign w:val="bottom"/>
            <w:tcBorders>
              <w:right w:val="single" w:sz="8" w:color="auto"/>
            </w:tcBorders>
          </w:tcPr>
          <w:p>
            <w:pPr>
              <w:ind w:left="60"/>
              <w:spacing w:after="0" w:line="199" w:lineRule="exact"/>
              <w:rPr>
                <w:sz w:val="20"/>
                <w:szCs w:val="20"/>
                <w:color w:val="auto"/>
              </w:rPr>
            </w:pPr>
            <w:r>
              <w:rPr>
                <w:rFonts w:ascii="Times New Roman" w:cs="Times New Roman" w:eastAsia="Times New Roman" w:hAnsi="Times New Roman"/>
                <w:sz w:val="20"/>
                <w:szCs w:val="20"/>
                <w:color w:val="auto"/>
              </w:rPr>
              <w:t>Form of Pre-Funded Warrant (incorporated herein by reference to Exhibit 4.1 to the Registrant’s Current</w:t>
            </w:r>
          </w:p>
        </w:tc>
      </w:tr>
      <w:tr>
        <w:trPr>
          <w:trHeight w:val="252"/>
        </w:trPr>
        <w:tc>
          <w:tcPr>
            <w:tcW w:w="1060" w:type="dxa"/>
            <w:vAlign w:val="bottom"/>
            <w:tcBorders>
              <w:left w:val="single" w:sz="8" w:color="auto"/>
              <w:bottom w:val="single" w:sz="8" w:color="auto"/>
              <w:right w:val="single" w:sz="8" w:color="auto"/>
            </w:tcBorders>
          </w:tcPr>
          <w:p>
            <w:pPr>
              <w:spacing w:after="0"/>
              <w:rPr>
                <w:sz w:val="21"/>
                <w:szCs w:val="21"/>
                <w:color w:val="auto"/>
              </w:rPr>
            </w:pPr>
          </w:p>
        </w:tc>
        <w:tc>
          <w:tcPr>
            <w:tcW w:w="8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Report on Form 8-K (File No. 001-38899), filed with the SEC on March 4, 2024).</w:t>
            </w:r>
          </w:p>
        </w:tc>
      </w:tr>
      <w:tr>
        <w:trPr>
          <w:trHeight w:val="199"/>
        </w:trPr>
        <w:tc>
          <w:tcPr>
            <w:tcW w:w="1060" w:type="dxa"/>
            <w:vAlign w:val="bottom"/>
            <w:tcBorders>
              <w:left w:val="single" w:sz="8" w:color="auto"/>
              <w:right w:val="single" w:sz="8" w:color="auto"/>
            </w:tcBorders>
          </w:tcPr>
          <w:p>
            <w:pPr>
              <w:ind w:left="80"/>
              <w:spacing w:after="0" w:line="199" w:lineRule="exact"/>
              <w:rPr>
                <w:sz w:val="20"/>
                <w:szCs w:val="20"/>
                <w:color w:val="auto"/>
              </w:rPr>
            </w:pPr>
            <w:r>
              <w:rPr>
                <w:rFonts w:ascii="Times New Roman" w:cs="Times New Roman" w:eastAsia="Times New Roman" w:hAnsi="Times New Roman"/>
                <w:sz w:val="20"/>
                <w:szCs w:val="20"/>
                <w:color w:val="auto"/>
              </w:rPr>
              <w:t>4.5</w:t>
            </w:r>
          </w:p>
        </w:tc>
        <w:tc>
          <w:tcPr>
            <w:tcW w:w="8660" w:type="dxa"/>
            <w:vAlign w:val="bottom"/>
            <w:tcBorders>
              <w:right w:val="single" w:sz="8" w:color="auto"/>
            </w:tcBorders>
          </w:tcPr>
          <w:p>
            <w:pPr>
              <w:ind w:left="60"/>
              <w:spacing w:after="0" w:line="199" w:lineRule="exact"/>
              <w:rPr>
                <w:sz w:val="20"/>
                <w:szCs w:val="20"/>
                <w:color w:val="auto"/>
              </w:rPr>
            </w:pPr>
            <w:r>
              <w:rPr>
                <w:rFonts w:ascii="Times New Roman" w:cs="Times New Roman" w:eastAsia="Times New Roman" w:hAnsi="Times New Roman"/>
                <w:sz w:val="20"/>
                <w:szCs w:val="20"/>
                <w:color w:val="auto"/>
              </w:rPr>
              <w:t>Description of Securities Registered pursuant to Section 12 of the Securities Exchange Act of 1934, as</w:t>
            </w:r>
          </w:p>
        </w:tc>
      </w:tr>
      <w:tr>
        <w:trPr>
          <w:trHeight w:val="252"/>
        </w:trPr>
        <w:tc>
          <w:tcPr>
            <w:tcW w:w="1060" w:type="dxa"/>
            <w:vAlign w:val="bottom"/>
            <w:tcBorders>
              <w:left w:val="single" w:sz="8" w:color="auto"/>
              <w:bottom w:val="single" w:sz="8" w:color="auto"/>
              <w:right w:val="single" w:sz="8" w:color="auto"/>
            </w:tcBorders>
          </w:tcPr>
          <w:p>
            <w:pPr>
              <w:spacing w:after="0"/>
              <w:rPr>
                <w:sz w:val="21"/>
                <w:szCs w:val="21"/>
                <w:color w:val="auto"/>
              </w:rPr>
            </w:pPr>
          </w:p>
        </w:tc>
        <w:tc>
          <w:tcPr>
            <w:tcW w:w="8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amended.</w:t>
            </w:r>
          </w:p>
        </w:tc>
      </w:tr>
      <w:tr>
        <w:trPr>
          <w:trHeight w:val="198"/>
        </w:trPr>
        <w:tc>
          <w:tcPr>
            <w:tcW w:w="1060" w:type="dxa"/>
            <w:vAlign w:val="bottom"/>
            <w:tcBorders>
              <w:left w:val="single" w:sz="8" w:color="auto"/>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20"/>
                <w:szCs w:val="20"/>
                <w:color w:val="auto"/>
              </w:rPr>
              <w:t>4.6</w:t>
            </w:r>
          </w:p>
        </w:tc>
        <w:tc>
          <w:tcPr>
            <w:tcW w:w="8660" w:type="dxa"/>
            <w:vAlign w:val="bottom"/>
            <w:tcBorders>
              <w:right w:val="single" w:sz="8" w:color="auto"/>
            </w:tcBorders>
          </w:tcPr>
          <w:p>
            <w:pPr>
              <w:ind w:left="60"/>
              <w:spacing w:after="0" w:line="198" w:lineRule="exact"/>
              <w:rPr>
                <w:sz w:val="20"/>
                <w:szCs w:val="20"/>
                <w:color w:val="auto"/>
              </w:rPr>
            </w:pPr>
            <w:r>
              <w:rPr>
                <w:rFonts w:ascii="Times New Roman" w:cs="Times New Roman" w:eastAsia="Times New Roman" w:hAnsi="Times New Roman"/>
                <w:sz w:val="20"/>
                <w:szCs w:val="20"/>
                <w:color w:val="auto"/>
                <w:w w:val="99"/>
              </w:rPr>
              <w:t>2021 Inducement Plan, approved by the Board of the Company on November 10, 2021 (incorporated herein</w:t>
            </w: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8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w w:val="99"/>
              </w:rPr>
              <w:t>by reference to Exhibit 4.10 to the Registrant’s Registration Statement on Form S-8 (File No. 333-263807),</w:t>
            </w:r>
          </w:p>
        </w:tc>
      </w:tr>
      <w:tr>
        <w:trPr>
          <w:trHeight w:val="251"/>
        </w:trPr>
        <w:tc>
          <w:tcPr>
            <w:tcW w:w="1060" w:type="dxa"/>
            <w:vAlign w:val="bottom"/>
            <w:tcBorders>
              <w:left w:val="single" w:sz="8" w:color="auto"/>
              <w:bottom w:val="single" w:sz="8" w:color="auto"/>
              <w:right w:val="single" w:sz="8" w:color="auto"/>
            </w:tcBorders>
          </w:tcPr>
          <w:p>
            <w:pPr>
              <w:spacing w:after="0"/>
              <w:rPr>
                <w:sz w:val="21"/>
                <w:szCs w:val="21"/>
                <w:color w:val="auto"/>
              </w:rPr>
            </w:pPr>
          </w:p>
        </w:tc>
        <w:tc>
          <w:tcPr>
            <w:tcW w:w="8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filed with the SEC on March 24, 2022).</w:t>
            </w:r>
          </w:p>
        </w:tc>
      </w:tr>
      <w:tr>
        <w:trPr>
          <w:trHeight w:val="199"/>
        </w:trPr>
        <w:tc>
          <w:tcPr>
            <w:tcW w:w="1060" w:type="dxa"/>
            <w:vAlign w:val="bottom"/>
            <w:tcBorders>
              <w:left w:val="single" w:sz="8" w:color="auto"/>
              <w:right w:val="single" w:sz="8" w:color="auto"/>
            </w:tcBorders>
          </w:tcPr>
          <w:p>
            <w:pPr>
              <w:ind w:left="80"/>
              <w:spacing w:after="0" w:line="199" w:lineRule="exact"/>
              <w:rPr>
                <w:sz w:val="20"/>
                <w:szCs w:val="20"/>
                <w:color w:val="auto"/>
              </w:rPr>
            </w:pPr>
            <w:r>
              <w:rPr>
                <w:rFonts w:ascii="Times New Roman" w:cs="Times New Roman" w:eastAsia="Times New Roman" w:hAnsi="Times New Roman"/>
                <w:sz w:val="20"/>
                <w:szCs w:val="20"/>
                <w:color w:val="auto"/>
              </w:rPr>
              <w:t>4.7</w:t>
            </w:r>
          </w:p>
        </w:tc>
        <w:tc>
          <w:tcPr>
            <w:tcW w:w="8660" w:type="dxa"/>
            <w:vAlign w:val="bottom"/>
            <w:tcBorders>
              <w:right w:val="single" w:sz="8" w:color="auto"/>
            </w:tcBorders>
          </w:tcPr>
          <w:p>
            <w:pPr>
              <w:ind w:left="60"/>
              <w:spacing w:after="0" w:line="199" w:lineRule="exact"/>
              <w:rPr>
                <w:sz w:val="20"/>
                <w:szCs w:val="20"/>
                <w:color w:val="auto"/>
              </w:rPr>
            </w:pPr>
            <w:r>
              <w:rPr>
                <w:rFonts w:ascii="Times New Roman" w:cs="Times New Roman" w:eastAsia="Times New Roman" w:hAnsi="Times New Roman"/>
                <w:sz w:val="20"/>
                <w:szCs w:val="20"/>
                <w:color w:val="auto"/>
              </w:rPr>
              <w:t>Form of Exchange Warrant (incorporated herein by reference to Exhibit 4.1 to the Registrant’s Current</w:t>
            </w:r>
          </w:p>
        </w:tc>
      </w:tr>
      <w:tr>
        <w:trPr>
          <w:trHeight w:val="252"/>
        </w:trPr>
        <w:tc>
          <w:tcPr>
            <w:tcW w:w="1060" w:type="dxa"/>
            <w:vAlign w:val="bottom"/>
            <w:tcBorders>
              <w:left w:val="single" w:sz="8" w:color="auto"/>
              <w:bottom w:val="single" w:sz="8" w:color="auto"/>
              <w:right w:val="single" w:sz="8" w:color="auto"/>
            </w:tcBorders>
          </w:tcPr>
          <w:p>
            <w:pPr>
              <w:spacing w:after="0"/>
              <w:rPr>
                <w:sz w:val="21"/>
                <w:szCs w:val="21"/>
                <w:color w:val="auto"/>
              </w:rPr>
            </w:pPr>
          </w:p>
        </w:tc>
        <w:tc>
          <w:tcPr>
            <w:tcW w:w="8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Report on Form 8-K (File No. 001-38899), filed with the SEC on March 27, 2023).</w:t>
            </w:r>
          </w:p>
        </w:tc>
      </w:tr>
      <w:tr>
        <w:trPr>
          <w:trHeight w:val="198"/>
        </w:trPr>
        <w:tc>
          <w:tcPr>
            <w:tcW w:w="1060" w:type="dxa"/>
            <w:vAlign w:val="bottom"/>
            <w:tcBorders>
              <w:left w:val="single" w:sz="8" w:color="auto"/>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20"/>
                <w:szCs w:val="20"/>
                <w:color w:val="auto"/>
              </w:rPr>
              <w:t>4.8</w:t>
            </w:r>
          </w:p>
        </w:tc>
        <w:tc>
          <w:tcPr>
            <w:tcW w:w="8660" w:type="dxa"/>
            <w:vAlign w:val="bottom"/>
            <w:tcBorders>
              <w:right w:val="single" w:sz="8" w:color="auto"/>
            </w:tcBorders>
          </w:tcPr>
          <w:p>
            <w:pPr>
              <w:ind w:left="60"/>
              <w:spacing w:after="0" w:line="198" w:lineRule="exact"/>
              <w:rPr>
                <w:sz w:val="20"/>
                <w:szCs w:val="20"/>
                <w:color w:val="auto"/>
              </w:rPr>
            </w:pPr>
            <w:r>
              <w:rPr>
                <w:rFonts w:ascii="Times New Roman" w:cs="Times New Roman" w:eastAsia="Times New Roman" w:hAnsi="Times New Roman"/>
                <w:sz w:val="20"/>
                <w:szCs w:val="20"/>
                <w:color w:val="auto"/>
              </w:rPr>
              <w:t>Form of Pre-Funded Warrant (incorporated herein by reference to Exhibit 4.1 to the Registrant’s Current</w:t>
            </w:r>
          </w:p>
        </w:tc>
      </w:tr>
      <w:tr>
        <w:trPr>
          <w:trHeight w:val="252"/>
        </w:trPr>
        <w:tc>
          <w:tcPr>
            <w:tcW w:w="1060" w:type="dxa"/>
            <w:vAlign w:val="bottom"/>
            <w:tcBorders>
              <w:left w:val="single" w:sz="8" w:color="auto"/>
              <w:bottom w:val="single" w:sz="8" w:color="auto"/>
              <w:right w:val="single" w:sz="8" w:color="auto"/>
            </w:tcBorders>
          </w:tcPr>
          <w:p>
            <w:pPr>
              <w:spacing w:after="0"/>
              <w:rPr>
                <w:sz w:val="21"/>
                <w:szCs w:val="21"/>
                <w:color w:val="auto"/>
              </w:rPr>
            </w:pPr>
          </w:p>
        </w:tc>
        <w:tc>
          <w:tcPr>
            <w:tcW w:w="8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Report on Form 8-K (File No. 001-38899), filed with the SEC on July, 14, 2025).</w:t>
            </w:r>
          </w:p>
        </w:tc>
      </w:tr>
      <w:tr>
        <w:trPr>
          <w:trHeight w:val="199"/>
        </w:trPr>
        <w:tc>
          <w:tcPr>
            <w:tcW w:w="1060" w:type="dxa"/>
            <w:vAlign w:val="bottom"/>
            <w:tcBorders>
              <w:left w:val="single" w:sz="8" w:color="auto"/>
              <w:right w:val="single" w:sz="8" w:color="auto"/>
            </w:tcBorders>
          </w:tcPr>
          <w:p>
            <w:pPr>
              <w:ind w:left="80"/>
              <w:spacing w:after="0" w:line="199" w:lineRule="exact"/>
              <w:rPr>
                <w:sz w:val="20"/>
                <w:szCs w:val="20"/>
                <w:color w:val="auto"/>
              </w:rPr>
            </w:pPr>
            <w:r>
              <w:rPr>
                <w:rFonts w:ascii="Times New Roman" w:cs="Times New Roman" w:eastAsia="Times New Roman" w:hAnsi="Times New Roman"/>
                <w:sz w:val="20"/>
                <w:szCs w:val="20"/>
                <w:color w:val="auto"/>
              </w:rPr>
              <w:t>4.9</w:t>
            </w:r>
          </w:p>
        </w:tc>
        <w:tc>
          <w:tcPr>
            <w:tcW w:w="8660" w:type="dxa"/>
            <w:vAlign w:val="bottom"/>
            <w:tcBorders>
              <w:right w:val="single" w:sz="8" w:color="auto"/>
            </w:tcBorders>
          </w:tcPr>
          <w:p>
            <w:pPr>
              <w:ind w:left="60"/>
              <w:spacing w:after="0" w:line="199" w:lineRule="exact"/>
              <w:rPr>
                <w:sz w:val="20"/>
                <w:szCs w:val="20"/>
                <w:color w:val="auto"/>
              </w:rPr>
            </w:pPr>
            <w:r>
              <w:rPr>
                <w:rFonts w:ascii="Times New Roman" w:cs="Times New Roman" w:eastAsia="Times New Roman" w:hAnsi="Times New Roman"/>
                <w:sz w:val="20"/>
                <w:szCs w:val="20"/>
                <w:color w:val="auto"/>
              </w:rPr>
              <w:t>Form of Series A Common Warrant (incorporated herein by reference to Exhibit 4.2 to the Registrant’s</w:t>
            </w:r>
          </w:p>
        </w:tc>
      </w:tr>
      <w:tr>
        <w:trPr>
          <w:trHeight w:val="252"/>
        </w:trPr>
        <w:tc>
          <w:tcPr>
            <w:tcW w:w="1060" w:type="dxa"/>
            <w:vAlign w:val="bottom"/>
            <w:tcBorders>
              <w:left w:val="single" w:sz="8" w:color="auto"/>
              <w:bottom w:val="single" w:sz="8" w:color="auto"/>
              <w:right w:val="single" w:sz="8" w:color="auto"/>
            </w:tcBorders>
          </w:tcPr>
          <w:p>
            <w:pPr>
              <w:spacing w:after="0"/>
              <w:rPr>
                <w:sz w:val="21"/>
                <w:szCs w:val="21"/>
                <w:color w:val="auto"/>
              </w:rPr>
            </w:pPr>
          </w:p>
        </w:tc>
        <w:tc>
          <w:tcPr>
            <w:tcW w:w="8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Current Report on Form 8-K (File No. 001-38899), filed with the SEC on July, 14, 2025).</w:t>
            </w:r>
          </w:p>
        </w:tc>
      </w:tr>
      <w:tr>
        <w:trPr>
          <w:trHeight w:val="199"/>
        </w:trPr>
        <w:tc>
          <w:tcPr>
            <w:tcW w:w="1060" w:type="dxa"/>
            <w:vAlign w:val="bottom"/>
            <w:tcBorders>
              <w:left w:val="single" w:sz="8" w:color="auto"/>
              <w:right w:val="single" w:sz="8" w:color="auto"/>
            </w:tcBorders>
          </w:tcPr>
          <w:p>
            <w:pPr>
              <w:ind w:left="80"/>
              <w:spacing w:after="0" w:line="199" w:lineRule="exact"/>
              <w:rPr>
                <w:sz w:val="20"/>
                <w:szCs w:val="20"/>
                <w:color w:val="auto"/>
              </w:rPr>
            </w:pPr>
            <w:r>
              <w:rPr>
                <w:rFonts w:ascii="Times New Roman" w:cs="Times New Roman" w:eastAsia="Times New Roman" w:hAnsi="Times New Roman"/>
                <w:sz w:val="20"/>
                <w:szCs w:val="20"/>
                <w:color w:val="auto"/>
              </w:rPr>
              <w:t>4.10</w:t>
            </w:r>
          </w:p>
        </w:tc>
        <w:tc>
          <w:tcPr>
            <w:tcW w:w="8660" w:type="dxa"/>
            <w:vAlign w:val="bottom"/>
            <w:tcBorders>
              <w:right w:val="single" w:sz="8" w:color="auto"/>
            </w:tcBorders>
          </w:tcPr>
          <w:p>
            <w:pPr>
              <w:ind w:left="60"/>
              <w:spacing w:after="0" w:line="199" w:lineRule="exact"/>
              <w:rPr>
                <w:sz w:val="20"/>
                <w:szCs w:val="20"/>
                <w:color w:val="auto"/>
              </w:rPr>
            </w:pPr>
            <w:r>
              <w:rPr>
                <w:rFonts w:ascii="Times New Roman" w:cs="Times New Roman" w:eastAsia="Times New Roman" w:hAnsi="Times New Roman"/>
                <w:sz w:val="20"/>
                <w:szCs w:val="20"/>
                <w:color w:val="auto"/>
              </w:rPr>
              <w:t>Form of Series B Common Warrant (incorporated herein by reference to Exhibit 4.3 to the Registrant’s</w:t>
            </w:r>
          </w:p>
        </w:tc>
      </w:tr>
      <w:tr>
        <w:trPr>
          <w:trHeight w:val="252"/>
        </w:trPr>
        <w:tc>
          <w:tcPr>
            <w:tcW w:w="1060" w:type="dxa"/>
            <w:vAlign w:val="bottom"/>
            <w:tcBorders>
              <w:left w:val="single" w:sz="8" w:color="auto"/>
              <w:bottom w:val="single" w:sz="8" w:color="auto"/>
              <w:right w:val="single" w:sz="8" w:color="auto"/>
            </w:tcBorders>
          </w:tcPr>
          <w:p>
            <w:pPr>
              <w:spacing w:after="0"/>
              <w:rPr>
                <w:sz w:val="21"/>
                <w:szCs w:val="21"/>
                <w:color w:val="auto"/>
              </w:rPr>
            </w:pPr>
          </w:p>
        </w:tc>
        <w:tc>
          <w:tcPr>
            <w:tcW w:w="8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Current Report on Form 8-K (File No. 001-38899), filed with the SEC on July, 14, 2025).</w:t>
            </w:r>
          </w:p>
        </w:tc>
      </w:tr>
      <w:tr>
        <w:trPr>
          <w:trHeight w:val="198"/>
        </w:trPr>
        <w:tc>
          <w:tcPr>
            <w:tcW w:w="1060" w:type="dxa"/>
            <w:vAlign w:val="bottom"/>
            <w:tcBorders>
              <w:left w:val="single" w:sz="8" w:color="auto"/>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20"/>
                <w:szCs w:val="20"/>
                <w:color w:val="auto"/>
              </w:rPr>
              <w:t>10.1+</w:t>
            </w:r>
          </w:p>
        </w:tc>
        <w:tc>
          <w:tcPr>
            <w:tcW w:w="8660" w:type="dxa"/>
            <w:vAlign w:val="bottom"/>
            <w:tcBorders>
              <w:right w:val="single" w:sz="8" w:color="auto"/>
            </w:tcBorders>
          </w:tcPr>
          <w:p>
            <w:pPr>
              <w:ind w:left="60"/>
              <w:spacing w:after="0" w:line="198" w:lineRule="exact"/>
              <w:rPr>
                <w:sz w:val="20"/>
                <w:szCs w:val="20"/>
                <w:color w:val="auto"/>
              </w:rPr>
            </w:pPr>
            <w:r>
              <w:rPr>
                <w:rFonts w:ascii="Times New Roman" w:cs="Times New Roman" w:eastAsia="Times New Roman" w:hAnsi="Times New Roman"/>
                <w:sz w:val="20"/>
                <w:szCs w:val="20"/>
                <w:color w:val="auto"/>
              </w:rPr>
              <w:t>Third Amended and Restated Stock Option Plan (incorporated herein by reference to Exhibit 10.1 to the</w:t>
            </w: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8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w w:val="99"/>
              </w:rPr>
              <w:t>Registrant’s Registration Statement on Form S - 1 (File No. 333 - 230846), filed with the SEC on April 12,</w:t>
            </w:r>
          </w:p>
        </w:tc>
      </w:tr>
      <w:tr>
        <w:trPr>
          <w:trHeight w:val="252"/>
        </w:trPr>
        <w:tc>
          <w:tcPr>
            <w:tcW w:w="1060" w:type="dxa"/>
            <w:vAlign w:val="bottom"/>
            <w:tcBorders>
              <w:left w:val="single" w:sz="8" w:color="auto"/>
              <w:bottom w:val="single" w:sz="8" w:color="auto"/>
              <w:right w:val="single" w:sz="8" w:color="auto"/>
            </w:tcBorders>
          </w:tcPr>
          <w:p>
            <w:pPr>
              <w:spacing w:after="0"/>
              <w:rPr>
                <w:sz w:val="21"/>
                <w:szCs w:val="21"/>
                <w:color w:val="auto"/>
              </w:rPr>
            </w:pPr>
          </w:p>
        </w:tc>
        <w:tc>
          <w:tcPr>
            <w:tcW w:w="8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2019).</w:t>
            </w:r>
          </w:p>
        </w:tc>
      </w:tr>
      <w:tr>
        <w:trPr>
          <w:trHeight w:val="198"/>
        </w:trPr>
        <w:tc>
          <w:tcPr>
            <w:tcW w:w="1060" w:type="dxa"/>
            <w:vAlign w:val="bottom"/>
            <w:tcBorders>
              <w:left w:val="single" w:sz="8" w:color="auto"/>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20"/>
                <w:szCs w:val="20"/>
                <w:color w:val="auto"/>
              </w:rPr>
              <w:t>10.2+</w:t>
            </w:r>
          </w:p>
        </w:tc>
        <w:tc>
          <w:tcPr>
            <w:tcW w:w="8660" w:type="dxa"/>
            <w:vAlign w:val="bottom"/>
            <w:tcBorders>
              <w:right w:val="single" w:sz="8" w:color="auto"/>
            </w:tcBorders>
          </w:tcPr>
          <w:p>
            <w:pPr>
              <w:ind w:left="60"/>
              <w:spacing w:after="0" w:line="198" w:lineRule="exact"/>
              <w:rPr>
                <w:sz w:val="20"/>
                <w:szCs w:val="20"/>
                <w:color w:val="auto"/>
              </w:rPr>
            </w:pPr>
            <w:r>
              <w:rPr>
                <w:rFonts w:ascii="Times New Roman" w:cs="Times New Roman" w:eastAsia="Times New Roman" w:hAnsi="Times New Roman"/>
                <w:sz w:val="20"/>
                <w:szCs w:val="20"/>
                <w:color w:val="auto"/>
                <w:w w:val="99"/>
              </w:rPr>
              <w:t>Form of Award and Grant Notices under the Third Amended and Restated Stock Option Plan (incorporated</w:t>
            </w: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8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herein by reference to Exhibit 10.2 to the Registrant’s Registration Statement on Form S - 1 (File</w:t>
            </w:r>
          </w:p>
        </w:tc>
      </w:tr>
      <w:tr>
        <w:trPr>
          <w:trHeight w:val="252"/>
        </w:trPr>
        <w:tc>
          <w:tcPr>
            <w:tcW w:w="1060" w:type="dxa"/>
            <w:vAlign w:val="bottom"/>
            <w:tcBorders>
              <w:left w:val="single" w:sz="8" w:color="auto"/>
              <w:bottom w:val="single" w:sz="8" w:color="auto"/>
              <w:right w:val="single" w:sz="8" w:color="auto"/>
            </w:tcBorders>
          </w:tcPr>
          <w:p>
            <w:pPr>
              <w:spacing w:after="0"/>
              <w:rPr>
                <w:sz w:val="21"/>
                <w:szCs w:val="21"/>
                <w:color w:val="auto"/>
              </w:rPr>
            </w:pPr>
          </w:p>
        </w:tc>
        <w:tc>
          <w:tcPr>
            <w:tcW w:w="8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No. 333 - 230846), filed with the SEC on April 12, 2019).</w:t>
            </w:r>
          </w:p>
        </w:tc>
      </w:tr>
      <w:tr>
        <w:trPr>
          <w:trHeight w:val="199"/>
        </w:trPr>
        <w:tc>
          <w:tcPr>
            <w:tcW w:w="1060" w:type="dxa"/>
            <w:vAlign w:val="bottom"/>
            <w:tcBorders>
              <w:left w:val="single" w:sz="8" w:color="auto"/>
              <w:right w:val="single" w:sz="8" w:color="auto"/>
            </w:tcBorders>
          </w:tcPr>
          <w:p>
            <w:pPr>
              <w:ind w:left="80"/>
              <w:spacing w:after="0" w:line="199" w:lineRule="exact"/>
              <w:rPr>
                <w:sz w:val="20"/>
                <w:szCs w:val="20"/>
                <w:color w:val="auto"/>
              </w:rPr>
            </w:pPr>
            <w:r>
              <w:rPr>
                <w:rFonts w:ascii="Times New Roman" w:cs="Times New Roman" w:eastAsia="Times New Roman" w:hAnsi="Times New Roman"/>
                <w:sz w:val="20"/>
                <w:szCs w:val="20"/>
                <w:color w:val="auto"/>
              </w:rPr>
              <w:t>10.3+</w:t>
            </w:r>
          </w:p>
        </w:tc>
        <w:tc>
          <w:tcPr>
            <w:tcW w:w="8660" w:type="dxa"/>
            <w:vAlign w:val="bottom"/>
            <w:tcBorders>
              <w:right w:val="single" w:sz="8" w:color="auto"/>
            </w:tcBorders>
          </w:tcPr>
          <w:p>
            <w:pPr>
              <w:ind w:left="60"/>
              <w:spacing w:after="0" w:line="199" w:lineRule="exact"/>
              <w:rPr>
                <w:sz w:val="20"/>
                <w:szCs w:val="20"/>
                <w:color w:val="auto"/>
              </w:rPr>
            </w:pPr>
            <w:r>
              <w:rPr>
                <w:rFonts w:ascii="Times New Roman" w:cs="Times New Roman" w:eastAsia="Times New Roman" w:hAnsi="Times New Roman"/>
                <w:sz w:val="20"/>
                <w:szCs w:val="20"/>
                <w:color w:val="auto"/>
              </w:rPr>
              <w:t>Amended 2019 Equity Incentive Plan (incorporated herein by reference to Exhibit 10.1 to the Registrant’s</w:t>
            </w:r>
          </w:p>
        </w:tc>
      </w:tr>
      <w:tr>
        <w:trPr>
          <w:trHeight w:val="252"/>
        </w:trPr>
        <w:tc>
          <w:tcPr>
            <w:tcW w:w="1060" w:type="dxa"/>
            <w:vAlign w:val="bottom"/>
            <w:tcBorders>
              <w:left w:val="single" w:sz="8" w:color="auto"/>
              <w:bottom w:val="single" w:sz="8" w:color="auto"/>
              <w:right w:val="single" w:sz="8" w:color="auto"/>
            </w:tcBorders>
          </w:tcPr>
          <w:p>
            <w:pPr>
              <w:spacing w:after="0"/>
              <w:rPr>
                <w:sz w:val="21"/>
                <w:szCs w:val="21"/>
                <w:color w:val="auto"/>
              </w:rPr>
            </w:pPr>
          </w:p>
        </w:tc>
        <w:tc>
          <w:tcPr>
            <w:tcW w:w="8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Current Report on Form 8-K (File No. 001-38899), filed with the SEC on June 12, 2025).</w:t>
            </w:r>
          </w:p>
        </w:tc>
      </w:tr>
      <w:tr>
        <w:trPr>
          <w:trHeight w:val="198"/>
        </w:trPr>
        <w:tc>
          <w:tcPr>
            <w:tcW w:w="1060" w:type="dxa"/>
            <w:vAlign w:val="bottom"/>
            <w:tcBorders>
              <w:left w:val="single" w:sz="8" w:color="auto"/>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20"/>
                <w:szCs w:val="20"/>
                <w:color w:val="auto"/>
              </w:rPr>
              <w:t>10.4+</w:t>
            </w:r>
          </w:p>
        </w:tc>
        <w:tc>
          <w:tcPr>
            <w:tcW w:w="8660" w:type="dxa"/>
            <w:vAlign w:val="bottom"/>
            <w:tcBorders>
              <w:right w:val="single" w:sz="8" w:color="auto"/>
            </w:tcBorders>
          </w:tcPr>
          <w:p>
            <w:pPr>
              <w:ind w:left="60"/>
              <w:spacing w:after="0" w:line="198" w:lineRule="exact"/>
              <w:rPr>
                <w:sz w:val="20"/>
                <w:szCs w:val="20"/>
                <w:color w:val="auto"/>
              </w:rPr>
            </w:pPr>
            <w:r>
              <w:rPr>
                <w:rFonts w:ascii="Times New Roman" w:cs="Times New Roman" w:eastAsia="Times New Roman" w:hAnsi="Times New Roman"/>
                <w:sz w:val="20"/>
                <w:szCs w:val="20"/>
                <w:color w:val="auto"/>
              </w:rPr>
              <w:t>Form of U.S. Stock Option Grant Notice and Stock Option Agreement under the 2019 Equity Incentive</w:t>
            </w: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8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w w:val="99"/>
              </w:rPr>
              <w:t>Plan (incorporated herein by reference to Exhibit 10.4 to Amendment No. 1 to the Registrant’s Registration</w:t>
            </w:r>
          </w:p>
        </w:tc>
      </w:tr>
      <w:tr>
        <w:trPr>
          <w:trHeight w:val="252"/>
        </w:trPr>
        <w:tc>
          <w:tcPr>
            <w:tcW w:w="1060" w:type="dxa"/>
            <w:vAlign w:val="bottom"/>
            <w:tcBorders>
              <w:left w:val="single" w:sz="8" w:color="auto"/>
              <w:bottom w:val="single" w:sz="8" w:color="auto"/>
              <w:right w:val="single" w:sz="8" w:color="auto"/>
            </w:tcBorders>
          </w:tcPr>
          <w:p>
            <w:pPr>
              <w:spacing w:after="0"/>
              <w:rPr>
                <w:sz w:val="21"/>
                <w:szCs w:val="21"/>
                <w:color w:val="auto"/>
              </w:rPr>
            </w:pPr>
          </w:p>
        </w:tc>
        <w:tc>
          <w:tcPr>
            <w:tcW w:w="8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Statement on Form S - 1 (File No. 333 - 230846), filed with the SEC on April 29, 2019).</w:t>
            </w:r>
          </w:p>
        </w:tc>
      </w:tr>
    </w:tbl>
    <w:p>
      <w:pPr>
        <w:spacing w:after="0" w:line="200" w:lineRule="exact"/>
        <w:rPr>
          <w:sz w:val="20"/>
          <w:szCs w:val="20"/>
          <w:color w:val="auto"/>
        </w:rPr>
      </w:pPr>
    </w:p>
    <w:p>
      <w:pPr>
        <w:sectPr>
          <w:pgSz w:w="11880" w:h="15480" w:orient="portrait"/>
          <w:cols w:equalWidth="0" w:num="1">
            <w:col w:w="9720"/>
          </w:cols>
          <w:pgMar w:left="1080" w:top="1062" w:right="1080" w:bottom="544"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128</w:t>
      </w:r>
    </w:p>
    <w:p>
      <w:pPr>
        <w:sectPr>
          <w:pgSz w:w="11880" w:h="15480" w:orient="portrait"/>
          <w:cols w:equalWidth="0" w:num="1">
            <w:col w:w="9720"/>
          </w:cols>
          <w:pgMar w:left="1080" w:top="1062" w:right="1080" w:bottom="544" w:gutter="0" w:footer="0" w:header="0"/>
          <w:type w:val="continuous"/>
        </w:sectPr>
      </w:pPr>
    </w:p>
    <w:bookmarkStart w:id="130" w:name="page131"/>
    <w:bookmarkEnd w:id="130"/>
    <w:p>
      <w:pPr>
        <w:jc w:val="both"/>
        <w:ind w:left="1040" w:hanging="1032"/>
        <w:spacing w:after="0" w:line="242" w:lineRule="auto"/>
        <w:tabs>
          <w:tab w:leader="none" w:pos="1020" w:val="left"/>
        </w:tabs>
        <w:rPr>
          <w:sz w:val="20"/>
          <w:szCs w:val="20"/>
          <w:color w:val="auto"/>
        </w:rPr>
      </w:pPr>
      <w:r>
        <w:rPr>
          <w:rFonts w:ascii="Times New Roman" w:cs="Times New Roman" w:eastAsia="Times New Roman" w:hAnsi="Times New Roman"/>
          <w:sz w:val="20"/>
          <w:szCs w:val="20"/>
          <w:color w:val="auto"/>
        </w:rPr>
        <w:t>10.5+</w:t>
      </w:r>
      <w:r>
        <w:rPr>
          <w:sz w:val="20"/>
          <w:szCs w:val="20"/>
          <w:color w:val="auto"/>
        </w:rPr>
        <w:tab/>
      </w:r>
      <w:r>
        <w:rPr>
          <w:rFonts w:ascii="Times New Roman" w:cs="Times New Roman" w:eastAsia="Times New Roman" w:hAnsi="Times New Roman"/>
          <w:sz w:val="20"/>
          <w:szCs w:val="20"/>
          <w:color w:val="auto"/>
        </w:rPr>
        <w:t>Form of U.S. Restricted Stock Unit Grant Notice and Restricted Stock Unit Award Agreement under the 2019 Equity Incentive Plan (incorporated herein by reference to Exhibit 10.5 to Amendment No. 1 to the Registrant’s Registration Statement on Form S - 1 (File No. 333 - 230846), filed with the SEC on April 29, 2019).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-48895</wp:posOffset>
                </wp:positionH>
                <wp:positionV relativeFrom="paragraph">
                  <wp:posOffset>-578485</wp:posOffset>
                </wp:positionV>
                <wp:extent cx="616839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839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499pt,-45.5499pt" to="481.85pt,-45.549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-48895</wp:posOffset>
                </wp:positionH>
                <wp:positionV relativeFrom="paragraph">
                  <wp:posOffset>11430</wp:posOffset>
                </wp:positionV>
                <wp:extent cx="616839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839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499pt,0.9pt" to="481.85pt,0.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-48895</wp:posOffset>
                </wp:positionH>
                <wp:positionV relativeFrom="paragraph">
                  <wp:posOffset>455930</wp:posOffset>
                </wp:positionV>
                <wp:extent cx="6168390"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8390" cy="4763"/>
                        </a:xfrm>
                        <a:prstGeom prst="line">
                          <a:avLst/>
                        </a:prstGeom>
                        <a:solidFill>
                          <a:srgbClr val="FFFFFF"/>
                        </a:solidFill>
                        <a:ln w="6121">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499pt,35.9pt" to="481.85pt,35.9pt" o:allowincell="f" strokecolor="#000000" strokeweight="0.482pt"/>
            </w:pict>
          </mc:Fallback>
        </mc:AlternateContent>
        <mc:AlternateContent>
          <mc:Choice Requires="wps">
            <w:drawing>
              <wp:anchor simplePos="0" relativeHeight="251657728" behindDoc="1" locked="0" layoutInCell="0" allowOverlap="1">
                <wp:simplePos x="0" y="0"/>
                <wp:positionH relativeFrom="column">
                  <wp:posOffset>-48895</wp:posOffset>
                </wp:positionH>
                <wp:positionV relativeFrom="paragraph">
                  <wp:posOffset>1046480</wp:posOffset>
                </wp:positionV>
                <wp:extent cx="616839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839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499pt,82.4pt" to="481.85pt,82.4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-48895</wp:posOffset>
                </wp:positionH>
                <wp:positionV relativeFrom="paragraph">
                  <wp:posOffset>1344930</wp:posOffset>
                </wp:positionV>
                <wp:extent cx="616839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8390" cy="4763"/>
                        </a:xfrm>
                        <a:prstGeom prst="line">
                          <a:avLst/>
                        </a:prstGeom>
                        <a:solidFill>
                          <a:srgbClr val="FFFFFF"/>
                        </a:solidFill>
                        <a:ln w="6122">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499pt,105.9pt" to="481.85pt,105.9pt" o:allowincell="f" strokecolor="#000000" strokeweight="0.482pt"/>
            </w:pict>
          </mc:Fallback>
        </mc:AlternateContent>
        <mc:AlternateContent>
          <mc:Choice Requires="wps">
            <w:drawing>
              <wp:anchor simplePos="0" relativeHeight="251657728" behindDoc="1" locked="0" layoutInCell="0" allowOverlap="1">
                <wp:simplePos x="0" y="0"/>
                <wp:positionH relativeFrom="column">
                  <wp:posOffset>-48895</wp:posOffset>
                </wp:positionH>
                <wp:positionV relativeFrom="paragraph">
                  <wp:posOffset>2227580</wp:posOffset>
                </wp:positionV>
                <wp:extent cx="616839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8390" cy="4763"/>
                        </a:xfrm>
                        <a:prstGeom prst="line">
                          <a:avLst/>
                        </a:prstGeom>
                        <a:solidFill>
                          <a:srgbClr val="FFFFFF"/>
                        </a:solidFill>
                        <a:ln w="6121">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499pt,175.4pt" to="481.85pt,175.4pt" o:allowincell="f" strokecolor="#000000" strokeweight="0.482pt"/>
            </w:pict>
          </mc:Fallback>
        </mc:AlternateContent>
        <mc:AlternateContent>
          <mc:Choice Requires="wps">
            <w:drawing>
              <wp:anchor simplePos="0" relativeHeight="251657728" behindDoc="1" locked="0" layoutInCell="0" allowOverlap="1">
                <wp:simplePos x="0" y="0"/>
                <wp:positionH relativeFrom="column">
                  <wp:posOffset>-48895</wp:posOffset>
                </wp:positionH>
                <wp:positionV relativeFrom="paragraph">
                  <wp:posOffset>3110230</wp:posOffset>
                </wp:positionV>
                <wp:extent cx="616839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8390" cy="4763"/>
                        </a:xfrm>
                        <a:prstGeom prst="line">
                          <a:avLst/>
                        </a:prstGeom>
                        <a:solidFill>
                          <a:srgbClr val="FFFFFF"/>
                        </a:solidFill>
                        <a:ln w="6121">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499pt,244.9pt" to="481.85pt,244.9pt" o:allowincell="f" strokecolor="#000000" strokeweight="0.482pt"/>
            </w:pict>
          </mc:Fallback>
        </mc:AlternateContent>
        <mc:AlternateContent>
          <mc:Choice Requires="wps">
            <w:drawing>
              <wp:anchor simplePos="0" relativeHeight="251657728" behindDoc="1" locked="0" layoutInCell="0" allowOverlap="1">
                <wp:simplePos x="0" y="0"/>
                <wp:positionH relativeFrom="column">
                  <wp:posOffset>-48895</wp:posOffset>
                </wp:positionH>
                <wp:positionV relativeFrom="paragraph">
                  <wp:posOffset>3992245</wp:posOffset>
                </wp:positionV>
                <wp:extent cx="6168390"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8390" cy="4763"/>
                        </a:xfrm>
                        <a:prstGeom prst="line">
                          <a:avLst/>
                        </a:prstGeom>
                        <a:solidFill>
                          <a:srgbClr val="FFFFFF"/>
                        </a:solidFill>
                        <a:ln w="6121">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499pt,314.35pt" to="481.85pt,314.35pt" o:allowincell="f" strokecolor="#000000" strokeweight="0.482pt"/>
            </w:pict>
          </mc:Fallback>
        </mc:AlternateContent>
        <mc:AlternateContent>
          <mc:Choice Requires="wps">
            <w:drawing>
              <wp:anchor simplePos="0" relativeHeight="251657728" behindDoc="1" locked="0" layoutInCell="0" allowOverlap="1">
                <wp:simplePos x="0" y="0"/>
                <wp:positionH relativeFrom="column">
                  <wp:posOffset>-48895</wp:posOffset>
                </wp:positionH>
                <wp:positionV relativeFrom="paragraph">
                  <wp:posOffset>4437380</wp:posOffset>
                </wp:positionV>
                <wp:extent cx="616839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839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499pt,349.4pt" to="481.85pt,349.4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-48895</wp:posOffset>
                </wp:positionH>
                <wp:positionV relativeFrom="paragraph">
                  <wp:posOffset>4735195</wp:posOffset>
                </wp:positionV>
                <wp:extent cx="616839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8390" cy="4763"/>
                        </a:xfrm>
                        <a:prstGeom prst="line">
                          <a:avLst/>
                        </a:prstGeom>
                        <a:solidFill>
                          <a:srgbClr val="FFFFFF"/>
                        </a:solidFill>
                        <a:ln w="6121">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499pt,372.85pt" to="481.85pt,372.85pt" o:allowincell="f" strokecolor="#000000" strokeweight="0.482pt"/>
            </w:pict>
          </mc:Fallback>
        </mc:AlternateContent>
        <mc:AlternateContent>
          <mc:Choice Requires="wps">
            <w:drawing>
              <wp:anchor simplePos="0" relativeHeight="251657728" behindDoc="1" locked="0" layoutInCell="0" allowOverlap="1">
                <wp:simplePos x="0" y="0"/>
                <wp:positionH relativeFrom="column">
                  <wp:posOffset>-48895</wp:posOffset>
                </wp:positionH>
                <wp:positionV relativeFrom="paragraph">
                  <wp:posOffset>5180330</wp:posOffset>
                </wp:positionV>
                <wp:extent cx="616839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839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499pt,407.9pt" to="481.85pt,407.9pt" o:allowincell="f" strokecolor="#000000" strokeweight="0.48pt"/>
            </w:pict>
          </mc:Fallback>
        </mc:AlternateContent>
        <mc:AlternateContent>
          <mc:Choice Requires="wps">
            <w:drawing>
              <wp:anchor simplePos="0" relativeHeight="251657728" behindDoc="1" locked="0" layoutInCell="0" allowOverlap="1">
                <wp:simplePos x="0" y="0"/>
                <wp:positionH relativeFrom="column">
                  <wp:posOffset>-48895</wp:posOffset>
                </wp:positionH>
                <wp:positionV relativeFrom="paragraph">
                  <wp:posOffset>5478145</wp:posOffset>
                </wp:positionV>
                <wp:extent cx="616839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839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499pt,431.35pt" to="481.85pt,431.35pt" o:allowincell="f" strokecolor="#000000" strokeweight="0.4809pt"/>
            </w:pict>
          </mc:Fallback>
        </mc:AlternateContent>
        <mc:AlternateContent>
          <mc:Choice Requires="wps">
            <w:drawing>
              <wp:anchor simplePos="0" relativeHeight="251657728" behindDoc="1" locked="0" layoutInCell="0" allowOverlap="1">
                <wp:simplePos x="0" y="0"/>
                <wp:positionH relativeFrom="column">
                  <wp:posOffset>-48895</wp:posOffset>
                </wp:positionH>
                <wp:positionV relativeFrom="paragraph">
                  <wp:posOffset>5922645</wp:posOffset>
                </wp:positionV>
                <wp:extent cx="616839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839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499pt,466.35pt" to="481.85pt,466.3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-48895</wp:posOffset>
                </wp:positionH>
                <wp:positionV relativeFrom="paragraph">
                  <wp:posOffset>6367780</wp:posOffset>
                </wp:positionV>
                <wp:extent cx="616839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839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499pt,501.4pt" to="481.85pt,501.4pt" o:allowincell="f" strokecolor="#000000" strokeweight="0.4809pt"/>
            </w:pict>
          </mc:Fallback>
        </mc:AlternateContent>
        <mc:AlternateContent>
          <mc:Choice Requires="wps">
            <w:drawing>
              <wp:anchor simplePos="0" relativeHeight="251657728" behindDoc="1" locked="0" layoutInCell="0" allowOverlap="1">
                <wp:simplePos x="0" y="0"/>
                <wp:positionH relativeFrom="column">
                  <wp:posOffset>-48895</wp:posOffset>
                </wp:positionH>
                <wp:positionV relativeFrom="paragraph">
                  <wp:posOffset>6811645</wp:posOffset>
                </wp:positionV>
                <wp:extent cx="616839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839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499pt,536.35pt" to="481.85pt,536.35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-45720</wp:posOffset>
                </wp:positionH>
                <wp:positionV relativeFrom="paragraph">
                  <wp:posOffset>-581025</wp:posOffset>
                </wp:positionV>
                <wp:extent cx="0" cy="784098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840980"/>
                        </a:xfrm>
                        <a:prstGeom prst="line">
                          <a:avLst/>
                        </a:prstGeom>
                        <a:solidFill>
                          <a:srgbClr val="FFFFFF"/>
                        </a:solidFill>
                        <a:ln w="6121">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999pt,-45.7499pt" to="-3.5999pt,571.65pt" o:allowincell="f" strokecolor="#000000" strokeweight="0.482pt"/>
            </w:pict>
          </mc:Fallback>
        </mc:AlternateContent>
        <mc:AlternateContent>
          <mc:Choice Requires="wps">
            <w:drawing>
              <wp:anchor simplePos="0" relativeHeight="251657728" behindDoc="1" locked="0" layoutInCell="0" allowOverlap="1">
                <wp:simplePos x="0" y="0"/>
                <wp:positionH relativeFrom="column">
                  <wp:posOffset>609600</wp:posOffset>
                </wp:positionH>
                <wp:positionV relativeFrom="paragraph">
                  <wp:posOffset>-581025</wp:posOffset>
                </wp:positionV>
                <wp:extent cx="0" cy="784098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840980"/>
                        </a:xfrm>
                        <a:prstGeom prst="line">
                          <a:avLst/>
                        </a:prstGeom>
                        <a:solidFill>
                          <a:srgbClr val="FFFFFF"/>
                        </a:solidFill>
                        <a:ln w="6121">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pt,-45.7499pt" to="48pt,571.65pt" o:allowincell="f" strokecolor="#000000" strokeweight="0.482pt"/>
            </w:pict>
          </mc:Fallback>
        </mc:AlternateContent>
        <mc:AlternateContent>
          <mc:Choice Requires="wps">
            <w:drawing>
              <wp:anchor simplePos="0" relativeHeight="251657728" behindDoc="1" locked="0" layoutInCell="0" allowOverlap="1">
                <wp:simplePos x="0" y="0"/>
                <wp:positionH relativeFrom="column">
                  <wp:posOffset>-48895</wp:posOffset>
                </wp:positionH>
                <wp:positionV relativeFrom="paragraph">
                  <wp:posOffset>7256780</wp:posOffset>
                </wp:positionV>
                <wp:extent cx="616839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8390" cy="4763"/>
                        </a:xfrm>
                        <a:prstGeom prst="line">
                          <a:avLst/>
                        </a:prstGeom>
                        <a:solidFill>
                          <a:srgbClr val="FFFFFF"/>
                        </a:solidFill>
                        <a:ln w="6121">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499pt,571.4pt" to="481.85pt,571.4pt" o:allowincell="f" strokecolor="#000000" strokeweight="0.482pt"/>
            </w:pict>
          </mc:Fallback>
        </mc:AlternateContent>
        <mc:AlternateContent>
          <mc:Choice Requires="wps">
            <w:drawing>
              <wp:anchor simplePos="0" relativeHeight="251657728" behindDoc="1" locked="0" layoutInCell="0" allowOverlap="1">
                <wp:simplePos x="0" y="0"/>
                <wp:positionH relativeFrom="column">
                  <wp:posOffset>6116320</wp:posOffset>
                </wp:positionH>
                <wp:positionV relativeFrom="paragraph">
                  <wp:posOffset>-581025</wp:posOffset>
                </wp:positionV>
                <wp:extent cx="0" cy="784098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840980"/>
                        </a:xfrm>
                        <a:prstGeom prst="line">
                          <a:avLst/>
                        </a:prstGeom>
                        <a:solidFill>
                          <a:srgbClr val="FFFFFF"/>
                        </a:solidFill>
                        <a:ln w="6121">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1.6pt,-45.7499pt" to="481.6pt,571.65pt" o:allowincell="f" strokecolor="#000000" strokeweight="0.482pt"/>
            </w:pict>
          </mc:Fallback>
        </mc:AlternateContent>
      </w:r>
    </w:p>
    <w:p>
      <w:pPr>
        <w:jc w:val="both"/>
        <w:ind w:left="1040" w:hanging="1032"/>
        <w:spacing w:after="0" w:line="243" w:lineRule="auto"/>
        <w:tabs>
          <w:tab w:leader="none" w:pos="1020" w:val="left"/>
        </w:tabs>
        <w:rPr>
          <w:sz w:val="20"/>
          <w:szCs w:val="20"/>
          <w:color w:val="auto"/>
        </w:rPr>
      </w:pPr>
      <w:r>
        <w:rPr>
          <w:rFonts w:ascii="Times New Roman" w:cs="Times New Roman" w:eastAsia="Times New Roman" w:hAnsi="Times New Roman"/>
          <w:sz w:val="20"/>
          <w:szCs w:val="20"/>
          <w:color w:val="auto"/>
        </w:rPr>
        <w:t>10.6+</w:t>
      </w:r>
      <w:r>
        <w:rPr>
          <w:sz w:val="20"/>
          <w:szCs w:val="20"/>
          <w:color w:val="auto"/>
        </w:rPr>
        <w:tab/>
      </w:r>
      <w:r>
        <w:rPr>
          <w:rFonts w:ascii="Times New Roman" w:cs="Times New Roman" w:eastAsia="Times New Roman" w:hAnsi="Times New Roman"/>
          <w:sz w:val="20"/>
          <w:szCs w:val="20"/>
          <w:color w:val="auto"/>
        </w:rPr>
        <w:t>Form of Canadian Stock Option Grant Notice and Option Agreement under the 2019 Equity Incentive Plan (incorporated herein by reference to Exhibit 10.6 to Amendment No. 1 to the Registrant’s Registration Statement on Form S - 1 (File No. 333 - 230846), filed with the SEC on April 29, 2019).</w:t>
      </w:r>
    </w:p>
    <w:p>
      <w:pPr>
        <w:spacing w:after="0" w:line="1" w:lineRule="exact"/>
        <w:rPr>
          <w:sz w:val="20"/>
          <w:szCs w:val="20"/>
          <w:color w:val="auto"/>
        </w:rPr>
      </w:pPr>
    </w:p>
    <w:p>
      <w:pPr>
        <w:jc w:val="both"/>
        <w:ind w:left="1040" w:hanging="1032"/>
        <w:spacing w:after="0" w:line="242" w:lineRule="auto"/>
        <w:tabs>
          <w:tab w:leader="none" w:pos="1020" w:val="left"/>
        </w:tabs>
        <w:rPr>
          <w:sz w:val="20"/>
          <w:szCs w:val="20"/>
          <w:color w:val="auto"/>
        </w:rPr>
      </w:pPr>
      <w:r>
        <w:rPr>
          <w:rFonts w:ascii="Times New Roman" w:cs="Times New Roman" w:eastAsia="Times New Roman" w:hAnsi="Times New Roman"/>
          <w:sz w:val="20"/>
          <w:szCs w:val="20"/>
          <w:color w:val="auto"/>
        </w:rPr>
        <w:t>10.7+</w:t>
      </w:r>
      <w:r>
        <w:rPr>
          <w:sz w:val="20"/>
          <w:szCs w:val="20"/>
          <w:color w:val="auto"/>
        </w:rPr>
        <w:tab/>
      </w:r>
      <w:r>
        <w:rPr>
          <w:rFonts w:ascii="Times New Roman" w:cs="Times New Roman" w:eastAsia="Times New Roman" w:hAnsi="Times New Roman"/>
          <w:sz w:val="20"/>
          <w:szCs w:val="20"/>
          <w:color w:val="auto"/>
        </w:rPr>
        <w:t>Form of Canadian Restricted Stock Unit Grant Notice and Restricted Stock Unit Award Agreement under the 2019 Equity Incentive Plan (incorporated herein by reference to Exhibit 10.7 to Amendment No. 1 to the Registrant’s Registration Statement on Form S - 1 (File No. 333 - 230846), filed with the SEC on April 29, 2019).</w:t>
      </w:r>
    </w:p>
    <w:p>
      <w:pPr>
        <w:spacing w:after="0" w:line="2" w:lineRule="exact"/>
        <w:rPr>
          <w:sz w:val="20"/>
          <w:szCs w:val="20"/>
          <w:color w:val="auto"/>
        </w:rPr>
      </w:pPr>
    </w:p>
    <w:p>
      <w:pPr>
        <w:jc w:val="both"/>
        <w:ind w:left="1040" w:hanging="1032"/>
        <w:spacing w:after="0" w:line="245" w:lineRule="auto"/>
        <w:tabs>
          <w:tab w:leader="none" w:pos="1020" w:val="left"/>
        </w:tabs>
        <w:rPr>
          <w:sz w:val="20"/>
          <w:szCs w:val="20"/>
          <w:color w:val="auto"/>
        </w:rPr>
      </w:pPr>
      <w:r>
        <w:rPr>
          <w:rFonts w:ascii="Times New Roman" w:cs="Times New Roman" w:eastAsia="Times New Roman" w:hAnsi="Times New Roman"/>
          <w:sz w:val="20"/>
          <w:szCs w:val="20"/>
          <w:color w:val="auto"/>
        </w:rPr>
        <w:t>10.8+</w:t>
      </w:r>
      <w:r>
        <w:rPr>
          <w:sz w:val="20"/>
          <w:szCs w:val="20"/>
          <w:color w:val="auto"/>
        </w:rPr>
        <w:tab/>
      </w:r>
      <w:r>
        <w:rPr>
          <w:rFonts w:ascii="Times New Roman" w:cs="Times New Roman" w:eastAsia="Times New Roman" w:hAnsi="Times New Roman"/>
          <w:sz w:val="20"/>
          <w:szCs w:val="20"/>
          <w:color w:val="auto"/>
        </w:rPr>
        <w:t>2019 Employee Share Purchase Plan (incorporated herein by reference to Exhibit 4.13 to the Registrant’s Registration Statement on Form S - 8 (File No. 333 - 231347), filed with the SEC on May 9, 2019).</w:t>
      </w:r>
    </w:p>
    <w:p>
      <w:pPr>
        <w:spacing w:after="0" w:line="1" w:lineRule="exact"/>
        <w:rPr>
          <w:sz w:val="20"/>
          <w:szCs w:val="20"/>
          <w:color w:val="auto"/>
        </w:rPr>
      </w:pPr>
    </w:p>
    <w:p>
      <w:pPr>
        <w:jc w:val="both"/>
        <w:ind w:left="1040" w:hanging="1032"/>
        <w:spacing w:after="0" w:line="241" w:lineRule="auto"/>
        <w:tabs>
          <w:tab w:leader="none" w:pos="1020" w:val="left"/>
        </w:tabs>
        <w:rPr>
          <w:sz w:val="20"/>
          <w:szCs w:val="20"/>
          <w:color w:val="auto"/>
        </w:rPr>
      </w:pPr>
      <w:r>
        <w:rPr>
          <w:rFonts w:ascii="Times New Roman" w:cs="Times New Roman" w:eastAsia="Times New Roman" w:hAnsi="Times New Roman"/>
          <w:sz w:val="20"/>
          <w:szCs w:val="20"/>
          <w:color w:val="auto"/>
        </w:rPr>
        <w:t>10.9+</w:t>
      </w:r>
      <w:r>
        <w:rPr>
          <w:sz w:val="20"/>
          <w:szCs w:val="20"/>
          <w:color w:val="auto"/>
        </w:rPr>
        <w:tab/>
      </w:r>
      <w:r>
        <w:rPr>
          <w:rFonts w:ascii="Times New Roman" w:cs="Times New Roman" w:eastAsia="Times New Roman" w:hAnsi="Times New Roman"/>
          <w:sz w:val="20"/>
          <w:szCs w:val="20"/>
          <w:color w:val="auto"/>
        </w:rPr>
        <w:t>Amended and Restated Employment Agreement between Joseph Oliveto and Milestone Pharmaceuticals USA, Inc. (incorporated herein by reference to Exhibit 10.9 to Amendment No. 1 to the Registrant’s Registration Statement on Form S - 1 (File No. 333 - 230846), filed with the SEC on April 29, 2019), as amended by First Amendment to Amended and Restated Employment Agreement between Joseph Oliveto and Milestone Pharmaceuticals USA, Inc. (incorporated herein by reference to Exhibit 10.1 to Registrant’s Current Report on Form 8-K (File No. 001-38899), filed with the SEC on June 8, 2020).</w:t>
      </w:r>
    </w:p>
    <w:p>
      <w:pPr>
        <w:spacing w:after="0" w:line="4" w:lineRule="exact"/>
        <w:rPr>
          <w:sz w:val="20"/>
          <w:szCs w:val="20"/>
          <w:color w:val="auto"/>
        </w:rPr>
      </w:pPr>
    </w:p>
    <w:p>
      <w:pPr>
        <w:jc w:val="both"/>
        <w:ind w:left="1040" w:hanging="1032"/>
        <w:spacing w:after="0" w:line="241" w:lineRule="auto"/>
        <w:tabs>
          <w:tab w:leader="none" w:pos="1020" w:val="left"/>
        </w:tabs>
        <w:rPr>
          <w:sz w:val="20"/>
          <w:szCs w:val="20"/>
          <w:color w:val="auto"/>
        </w:rPr>
      </w:pPr>
      <w:r>
        <w:rPr>
          <w:rFonts w:ascii="Times New Roman" w:cs="Times New Roman" w:eastAsia="Times New Roman" w:hAnsi="Times New Roman"/>
          <w:sz w:val="20"/>
          <w:szCs w:val="20"/>
          <w:color w:val="auto"/>
        </w:rPr>
        <w:t>10.10+</w:t>
      </w:r>
      <w:r>
        <w:rPr>
          <w:sz w:val="20"/>
          <w:szCs w:val="20"/>
          <w:color w:val="auto"/>
        </w:rPr>
        <w:tab/>
      </w:r>
      <w:r>
        <w:rPr>
          <w:rFonts w:ascii="Times New Roman" w:cs="Times New Roman" w:eastAsia="Times New Roman" w:hAnsi="Times New Roman"/>
          <w:sz w:val="20"/>
          <w:szCs w:val="20"/>
          <w:color w:val="auto"/>
        </w:rPr>
        <w:t>Employment Agreement between Amit Hasija and Milestone Pharmaceuticals USA, Inc. (incorporated herein by reference to Exhibit 10.1 to the Registrant’s Current Report on Form 8 - K (File No. 001 - 38899), filed with the SEC on September 9, 2019), as amended by First Amendment to Employment Agreement between Amit Hasija and Milestone Pharmaceuticals USA, Inc. (incorporated herein by reference to Exhibit 10.2 to Registrant’s Current Report on Form 8-K (File No. 001-38899), filed with the SEC on June 8, 2020).</w:t>
      </w:r>
    </w:p>
    <w:p>
      <w:pPr>
        <w:spacing w:after="0" w:line="4" w:lineRule="exact"/>
        <w:rPr>
          <w:sz w:val="20"/>
          <w:szCs w:val="20"/>
          <w:color w:val="auto"/>
        </w:rPr>
      </w:pPr>
    </w:p>
    <w:p>
      <w:pPr>
        <w:jc w:val="both"/>
        <w:ind w:left="1040" w:hanging="1032"/>
        <w:spacing w:after="0" w:line="241" w:lineRule="auto"/>
        <w:tabs>
          <w:tab w:leader="none" w:pos="1020" w:val="left"/>
        </w:tabs>
        <w:rPr>
          <w:sz w:val="20"/>
          <w:szCs w:val="20"/>
          <w:color w:val="auto"/>
        </w:rPr>
      </w:pPr>
      <w:r>
        <w:rPr>
          <w:rFonts w:ascii="Times New Roman" w:cs="Times New Roman" w:eastAsia="Times New Roman" w:hAnsi="Times New Roman"/>
          <w:sz w:val="20"/>
          <w:szCs w:val="20"/>
          <w:color w:val="auto"/>
        </w:rPr>
        <w:t>10.11+</w:t>
      </w:r>
      <w:r>
        <w:rPr>
          <w:sz w:val="20"/>
          <w:szCs w:val="20"/>
          <w:color w:val="auto"/>
        </w:rPr>
        <w:tab/>
      </w:r>
      <w:r>
        <w:rPr>
          <w:rFonts w:ascii="Times New Roman" w:cs="Times New Roman" w:eastAsia="Times New Roman" w:hAnsi="Times New Roman"/>
          <w:sz w:val="20"/>
          <w:szCs w:val="20"/>
          <w:color w:val="auto"/>
        </w:rPr>
        <w:t>Amended and Restated Employment Agreement between Francis Plat and Milestone Pharmaceuticals Inc. (incorporated herein by reference to Exhibit 10.11 to Amendment No. 1 to the Registrant’s Registration Statement on Form S - 1 (File No. 333 - 230846), filed with the SEC on April 29, 2019), as amended by Amending Agreement between Francis Plat and Milestone Pharmaceuticals Inc. (incorporated herein by reference to Exhibit 10.3 to the Registrant’s Current Report on Form 8-K (File No. 001-38899), filed with the SEC on June 8, 2020).</w:t>
      </w:r>
    </w:p>
    <w:p>
      <w:pPr>
        <w:spacing w:after="0" w:line="4" w:lineRule="exact"/>
        <w:rPr>
          <w:sz w:val="20"/>
          <w:szCs w:val="20"/>
          <w:color w:val="auto"/>
        </w:rPr>
      </w:pPr>
    </w:p>
    <w:p>
      <w:pPr>
        <w:jc w:val="both"/>
        <w:ind w:left="1040" w:hanging="1032"/>
        <w:spacing w:after="0" w:line="243" w:lineRule="auto"/>
        <w:tabs>
          <w:tab w:leader="none" w:pos="1020" w:val="left"/>
        </w:tabs>
        <w:rPr>
          <w:sz w:val="20"/>
          <w:szCs w:val="20"/>
          <w:color w:val="auto"/>
        </w:rPr>
      </w:pPr>
      <w:r>
        <w:rPr>
          <w:rFonts w:ascii="Times New Roman" w:cs="Times New Roman" w:eastAsia="Times New Roman" w:hAnsi="Times New Roman"/>
          <w:sz w:val="20"/>
          <w:szCs w:val="20"/>
          <w:color w:val="auto"/>
        </w:rPr>
        <w:t>10.12+</w:t>
      </w:r>
      <w:r>
        <w:rPr>
          <w:sz w:val="20"/>
          <w:szCs w:val="20"/>
          <w:color w:val="auto"/>
        </w:rPr>
        <w:tab/>
      </w:r>
      <w:r>
        <w:rPr>
          <w:rFonts w:ascii="Times New Roman" w:cs="Times New Roman" w:eastAsia="Times New Roman" w:hAnsi="Times New Roman"/>
          <w:sz w:val="20"/>
          <w:szCs w:val="20"/>
          <w:color w:val="auto"/>
        </w:rPr>
        <w:t>Employment Agreement, dated February 15, 2022 between David Bharucha, M.D., Ph.D. and Milestone Pharmaceuticals USA, Inc. (incorporated herein by reference to Exhibit 10.1 to the Registrant’s Current Report on Form 8-K (File No. 001-38899), filed with the SEC on February 16, 2022).</w:t>
      </w:r>
    </w:p>
    <w:p>
      <w:pPr>
        <w:spacing w:after="0" w:line="2" w:lineRule="exact"/>
        <w:rPr>
          <w:sz w:val="20"/>
          <w:szCs w:val="20"/>
          <w:color w:val="auto"/>
        </w:rPr>
      </w:pPr>
    </w:p>
    <w:p>
      <w:pPr>
        <w:jc w:val="both"/>
        <w:ind w:left="1040" w:hanging="1032"/>
        <w:spacing w:after="0" w:line="244" w:lineRule="auto"/>
        <w:tabs>
          <w:tab w:leader="none" w:pos="1020" w:val="left"/>
        </w:tabs>
        <w:rPr>
          <w:sz w:val="20"/>
          <w:szCs w:val="20"/>
          <w:color w:val="auto"/>
        </w:rPr>
      </w:pPr>
      <w:r>
        <w:rPr>
          <w:rFonts w:ascii="Times New Roman" w:cs="Times New Roman" w:eastAsia="Times New Roman" w:hAnsi="Times New Roman"/>
          <w:sz w:val="20"/>
          <w:szCs w:val="20"/>
          <w:color w:val="auto"/>
        </w:rPr>
        <w:t>10.13+</w:t>
      </w:r>
      <w:r>
        <w:rPr>
          <w:sz w:val="20"/>
          <w:szCs w:val="20"/>
          <w:color w:val="auto"/>
        </w:rPr>
        <w:tab/>
      </w:r>
      <w:r>
        <w:rPr>
          <w:rFonts w:ascii="Times New Roman" w:cs="Times New Roman" w:eastAsia="Times New Roman" w:hAnsi="Times New Roman"/>
          <w:sz w:val="20"/>
          <w:szCs w:val="20"/>
          <w:color w:val="auto"/>
        </w:rPr>
        <w:t>Securities Purchase Agreement dated July 22, 2020 (incorporated herein by reference to Exhibit 10.1 to the Registrant’s Current Report on Form 8-K (File No. 001-38899), filed with the SEC on July 23, 2020).</w:t>
      </w:r>
    </w:p>
    <w:p>
      <w:pPr>
        <w:spacing w:after="0" w:line="2" w:lineRule="exact"/>
        <w:rPr>
          <w:sz w:val="20"/>
          <w:szCs w:val="20"/>
          <w:color w:val="auto"/>
        </w:rPr>
      </w:pPr>
    </w:p>
    <w:p>
      <w:pPr>
        <w:jc w:val="both"/>
        <w:ind w:left="1040" w:hanging="1032"/>
        <w:spacing w:after="0" w:line="225" w:lineRule="auto"/>
        <w:tabs>
          <w:tab w:leader="none" w:pos="1020" w:val="left"/>
        </w:tabs>
        <w:rPr>
          <w:sz w:val="20"/>
          <w:szCs w:val="20"/>
          <w:color w:val="auto"/>
        </w:rPr>
      </w:pPr>
      <w:r>
        <w:rPr>
          <w:rFonts w:ascii="Times New Roman" w:cs="Times New Roman" w:eastAsia="Times New Roman" w:hAnsi="Times New Roman"/>
          <w:sz w:val="20"/>
          <w:szCs w:val="20"/>
          <w:color w:val="auto"/>
        </w:rPr>
        <w:t>10.14+</w:t>
      </w:r>
      <w:r>
        <w:rPr>
          <w:sz w:val="20"/>
          <w:szCs w:val="20"/>
          <w:color w:val="auto"/>
        </w:rPr>
        <w:tab/>
      </w:r>
      <w:r>
        <w:rPr>
          <w:rFonts w:ascii="Times New Roman" w:cs="Times New Roman" w:eastAsia="Times New Roman" w:hAnsi="Times New Roman"/>
          <w:sz w:val="20"/>
          <w:szCs w:val="20"/>
          <w:color w:val="auto"/>
        </w:rPr>
        <w:t>Amended and Restated Open Market Sale Agreement</w:t>
      </w:r>
      <w:r>
        <w:rPr>
          <w:rFonts w:ascii="Times New Roman" w:cs="Times New Roman" w:eastAsia="Times New Roman" w:hAnsi="Times New Roman"/>
          <w:sz w:val="25"/>
          <w:szCs w:val="25"/>
          <w:color w:val="auto"/>
          <w:vertAlign w:val="superscript"/>
        </w:rPr>
        <w:t>SM</w:t>
      </w:r>
      <w:r>
        <w:rPr>
          <w:rFonts w:ascii="Times New Roman" w:cs="Times New Roman" w:eastAsia="Times New Roman" w:hAnsi="Times New Roman"/>
          <w:sz w:val="20"/>
          <w:szCs w:val="20"/>
          <w:color w:val="auto"/>
        </w:rPr>
        <w:t>, dated March 18, 2025, by and between Milestone Pharmaceuticals Inc. and Jefferies LLC (incorporated herein by reference to Exhibit 1.1 to the Registrant’s Current Report on Form 8-K (File No. 001-38899), filed with the SEC on March 18, 2025).</w:t>
      </w:r>
    </w:p>
    <w:p>
      <w:pPr>
        <w:jc w:val="both"/>
        <w:ind w:left="1040" w:hanging="1032"/>
        <w:spacing w:after="0" w:line="244" w:lineRule="auto"/>
        <w:tabs>
          <w:tab w:leader="none" w:pos="1020" w:val="left"/>
        </w:tabs>
        <w:rPr>
          <w:sz w:val="20"/>
          <w:szCs w:val="20"/>
          <w:color w:val="auto"/>
        </w:rPr>
      </w:pPr>
      <w:r>
        <w:rPr>
          <w:rFonts w:ascii="Times New Roman" w:cs="Times New Roman" w:eastAsia="Times New Roman" w:hAnsi="Times New Roman"/>
          <w:sz w:val="20"/>
          <w:szCs w:val="20"/>
          <w:color w:val="auto"/>
        </w:rPr>
        <w:t>10.15+</w:t>
      </w:r>
      <w:r>
        <w:rPr>
          <w:sz w:val="20"/>
          <w:szCs w:val="20"/>
          <w:color w:val="auto"/>
        </w:rPr>
        <w:tab/>
      </w:r>
      <w:r>
        <w:rPr>
          <w:rFonts w:ascii="Times New Roman" w:cs="Times New Roman" w:eastAsia="Times New Roman" w:hAnsi="Times New Roman"/>
          <w:sz w:val="20"/>
          <w:szCs w:val="20"/>
          <w:color w:val="auto"/>
        </w:rPr>
        <w:t>Form of Indemnity Agreement (incorporated herein by reference to Exhibit 10.14 to the Registrant’s Registration Statement on Form S - 1 (File No. 333 - 230846), filed with the SEC on April 12, 2019).</w:t>
      </w:r>
    </w:p>
    <w:p>
      <w:pPr>
        <w:spacing w:after="0" w:line="2" w:lineRule="exact"/>
        <w:rPr>
          <w:sz w:val="20"/>
          <w:szCs w:val="20"/>
          <w:color w:val="auto"/>
        </w:rPr>
      </w:pPr>
    </w:p>
    <w:p>
      <w:pPr>
        <w:jc w:val="both"/>
        <w:ind w:left="1040" w:hanging="1032"/>
        <w:spacing w:after="0" w:line="243" w:lineRule="auto"/>
        <w:tabs>
          <w:tab w:leader="none" w:pos="1020" w:val="left"/>
        </w:tabs>
        <w:rPr>
          <w:sz w:val="20"/>
          <w:szCs w:val="20"/>
          <w:color w:val="auto"/>
        </w:rPr>
      </w:pPr>
      <w:r>
        <w:rPr>
          <w:rFonts w:ascii="Times New Roman" w:cs="Times New Roman" w:eastAsia="Times New Roman" w:hAnsi="Times New Roman"/>
          <w:sz w:val="20"/>
          <w:szCs w:val="20"/>
          <w:color w:val="auto"/>
        </w:rPr>
        <w:t>10.16+</w:t>
      </w:r>
      <w:r>
        <w:rPr>
          <w:sz w:val="20"/>
          <w:szCs w:val="20"/>
          <w:color w:val="auto"/>
        </w:rPr>
        <w:tab/>
      </w:r>
      <w:r>
        <w:rPr>
          <w:rFonts w:ascii="Times New Roman" w:cs="Times New Roman" w:eastAsia="Times New Roman" w:hAnsi="Times New Roman"/>
          <w:sz w:val="20"/>
          <w:szCs w:val="20"/>
          <w:color w:val="auto"/>
        </w:rPr>
        <w:t>Amended and Restated Employment Agreement between Lorenz Muller and Milestone Pharmaceuticals USA, Inc. (incorporated herein by reference to Exhibit 10.12 to Amendment No. 1 to the Registrant’s Registration Statement on Form S - 1 (File No. 333 - 230846), filed with the SEC on April 29, 2019).</w:t>
      </w:r>
    </w:p>
    <w:p>
      <w:pPr>
        <w:spacing w:after="0" w:line="1" w:lineRule="exact"/>
        <w:rPr>
          <w:sz w:val="20"/>
          <w:szCs w:val="20"/>
          <w:color w:val="auto"/>
        </w:rPr>
      </w:pPr>
    </w:p>
    <w:p>
      <w:pPr>
        <w:jc w:val="both"/>
        <w:ind w:left="1040" w:hanging="1032"/>
        <w:spacing w:after="0" w:line="243" w:lineRule="auto"/>
        <w:tabs>
          <w:tab w:leader="none" w:pos="1020" w:val="left"/>
        </w:tabs>
        <w:rPr>
          <w:sz w:val="20"/>
          <w:szCs w:val="20"/>
          <w:color w:val="auto"/>
        </w:rPr>
      </w:pPr>
      <w:r>
        <w:rPr>
          <w:rFonts w:ascii="Times New Roman" w:cs="Times New Roman" w:eastAsia="Times New Roman" w:hAnsi="Times New Roman"/>
          <w:sz w:val="20"/>
          <w:szCs w:val="20"/>
          <w:color w:val="auto"/>
        </w:rPr>
        <w:t>10.17*</w:t>
      </w:r>
      <w:r>
        <w:rPr>
          <w:sz w:val="20"/>
          <w:szCs w:val="20"/>
          <w:color w:val="auto"/>
        </w:rPr>
        <w:tab/>
      </w:r>
      <w:r>
        <w:rPr>
          <w:rFonts w:ascii="Times New Roman" w:cs="Times New Roman" w:eastAsia="Times New Roman" w:hAnsi="Times New Roman"/>
          <w:sz w:val="20"/>
          <w:szCs w:val="20"/>
          <w:color w:val="auto"/>
        </w:rPr>
        <w:t>License and Collaboration Agreement by and among the Company and Ji Xing Pharmaceuticals, Limited, dated May 15, 2021 (incorporated herein by reference to Exhibit 10.1 to the Registrant’s Quarterly Report on Form 10-Q (File No. 001-38899), filed with the SEC on August 11, 2021.</w:t>
      </w:r>
    </w:p>
    <w:p>
      <w:pPr>
        <w:spacing w:after="0" w:line="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color w:val="auto"/>
        </w:rPr>
        <w:t>10.18</w:t>
      </w:r>
      <w:r>
        <w:rPr>
          <w:sz w:val="20"/>
          <w:szCs w:val="20"/>
          <w:color w:val="auto"/>
        </w:rPr>
        <w:tab/>
      </w:r>
      <w:r>
        <w:rPr>
          <w:rFonts w:ascii="Times New Roman" w:cs="Times New Roman" w:eastAsia="Times New Roman" w:hAnsi="Times New Roman"/>
          <w:sz w:val="19"/>
          <w:szCs w:val="19"/>
          <w:color w:val="auto"/>
        </w:rPr>
        <w:t>Consulting Agreement, between the Company and Francis Plat (incorporated herein by reference to Exhibit</w:t>
      </w:r>
    </w:p>
    <w:p>
      <w:pPr>
        <w:ind w:left="1040"/>
        <w:spacing w:after="0"/>
        <w:rPr>
          <w:sz w:val="20"/>
          <w:szCs w:val="20"/>
          <w:color w:val="auto"/>
        </w:rPr>
      </w:pPr>
      <w:r>
        <w:rPr>
          <w:rFonts w:ascii="Times New Roman" w:cs="Times New Roman" w:eastAsia="Times New Roman" w:hAnsi="Times New Roman"/>
          <w:sz w:val="19"/>
          <w:szCs w:val="19"/>
          <w:color w:val="auto"/>
        </w:rPr>
        <w:t>10.18 to the Registrant’s Annual Report on Form 10-K (File No. 001-38899), filed with the SEC on March</w:t>
      </w:r>
    </w:p>
    <w:p>
      <w:pPr>
        <w:spacing w:after="0" w:line="1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color w:val="auto"/>
        </w:rPr>
        <w:t>29, 2023).</w:t>
      </w:r>
    </w:p>
    <w:p>
      <w:pPr>
        <w:spacing w:after="0" w:line="10" w:lineRule="exact"/>
        <w:rPr>
          <w:sz w:val="20"/>
          <w:szCs w:val="20"/>
          <w:color w:val="auto"/>
        </w:rPr>
      </w:pPr>
    </w:p>
    <w:p>
      <w:pPr>
        <w:jc w:val="both"/>
        <w:ind w:left="1040" w:hanging="1032"/>
        <w:spacing w:after="0" w:line="259" w:lineRule="auto"/>
        <w:tabs>
          <w:tab w:leader="none" w:pos="1020" w:val="left"/>
        </w:tabs>
        <w:rPr>
          <w:sz w:val="20"/>
          <w:szCs w:val="20"/>
          <w:color w:val="auto"/>
        </w:rPr>
      </w:pPr>
      <w:r>
        <w:rPr>
          <w:rFonts w:ascii="Times New Roman" w:cs="Times New Roman" w:eastAsia="Times New Roman" w:hAnsi="Times New Roman"/>
          <w:sz w:val="20"/>
          <w:szCs w:val="20"/>
          <w:color w:val="auto"/>
        </w:rPr>
        <w:t>10.19+</w:t>
      </w:r>
      <w:r>
        <w:rPr>
          <w:sz w:val="20"/>
          <w:szCs w:val="20"/>
          <w:color w:val="auto"/>
        </w:rPr>
        <w:tab/>
      </w:r>
      <w:r>
        <w:rPr>
          <w:rFonts w:ascii="Times New Roman" w:cs="Times New Roman" w:eastAsia="Times New Roman" w:hAnsi="Times New Roman"/>
          <w:sz w:val="20"/>
          <w:szCs w:val="20"/>
          <w:color w:val="auto"/>
        </w:rPr>
        <w:t>Non-Employee Director Compensation Policy, as amended (incorporated herein by reference to Exhibit 10.1 to the Registrant’s Quarterly Report on Form 10-Q (File No. 001-38899), filed with the SEC on November 12, 2024).</w:t>
      </w:r>
    </w:p>
    <w:p>
      <w:pPr>
        <w:sectPr>
          <w:pgSz w:w="11880" w:h="15480" w:orient="portrait"/>
          <w:cols w:equalWidth="0" w:num="1">
            <w:col w:w="9560"/>
          </w:cols>
          <w:pgMar w:left="1160" w:top="1075" w:right="116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129</w:t>
      </w:r>
    </w:p>
    <w:p>
      <w:pPr>
        <w:sectPr>
          <w:pgSz w:w="11880" w:h="15480" w:orient="portrait"/>
          <w:cols w:equalWidth="0" w:num="1">
            <w:col w:w="9560"/>
          </w:cols>
          <w:pgMar w:left="1160" w:top="1075" w:right="1160" w:bottom="544" w:gutter="0" w:footer="0" w:header="0"/>
          <w:type w:val="continuous"/>
        </w:sectPr>
      </w:pPr>
    </w:p>
    <w:bookmarkStart w:id="131" w:name="page132"/>
    <w:bookmarkEnd w:id="131"/>
    <w:tbl>
      <w:tblPr>
        <w:tblLayout w:type="fixed"/>
        <w:tblInd w:w="10" w:type="dxa"/>
        <w:tblCellMar>
          <w:top w:w="0" w:type="dxa"/>
          <w:left w:w="0" w:type="dxa"/>
          <w:bottom w:w="0" w:type="dxa"/>
          <w:right w:w="0" w:type="dxa"/>
        </w:tblCellMar>
      </w:tblPr>
      <w:tr>
        <w:trPr>
          <w:trHeight w:val="229"/>
        </w:trPr>
        <w:tc>
          <w:tcPr>
            <w:tcW w:w="106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10.20*</w:t>
            </w:r>
          </w:p>
        </w:tc>
        <w:tc>
          <w:tcPr>
            <w:tcW w:w="86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Exchange Agreement, dated as of March 22, 2023, by and among the Company and certain investors party</w:t>
            </w: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8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thereto (incorporated herein by reference to Exhibit 10.1 to the Registrant’s Current Report on Form 8-K</w:t>
            </w:r>
          </w:p>
        </w:tc>
      </w:tr>
      <w:tr>
        <w:trPr>
          <w:trHeight w:val="252"/>
        </w:trPr>
        <w:tc>
          <w:tcPr>
            <w:tcW w:w="1060" w:type="dxa"/>
            <w:vAlign w:val="bottom"/>
            <w:tcBorders>
              <w:left w:val="single" w:sz="8" w:color="auto"/>
              <w:bottom w:val="single" w:sz="8" w:color="auto"/>
              <w:right w:val="single" w:sz="8" w:color="auto"/>
            </w:tcBorders>
          </w:tcPr>
          <w:p>
            <w:pPr>
              <w:spacing w:after="0"/>
              <w:rPr>
                <w:sz w:val="21"/>
                <w:szCs w:val="21"/>
                <w:color w:val="auto"/>
              </w:rPr>
            </w:pPr>
          </w:p>
        </w:tc>
        <w:tc>
          <w:tcPr>
            <w:tcW w:w="8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(File No. 001-38899), filed with the SEC on March 27, 2023).</w:t>
            </w:r>
          </w:p>
        </w:tc>
      </w:tr>
      <w:tr>
        <w:trPr>
          <w:trHeight w:val="199"/>
        </w:trPr>
        <w:tc>
          <w:tcPr>
            <w:tcW w:w="1060" w:type="dxa"/>
            <w:vAlign w:val="bottom"/>
            <w:tcBorders>
              <w:left w:val="single" w:sz="8" w:color="auto"/>
              <w:right w:val="single" w:sz="8" w:color="auto"/>
            </w:tcBorders>
          </w:tcPr>
          <w:p>
            <w:pPr>
              <w:ind w:left="80"/>
              <w:spacing w:after="0" w:line="199" w:lineRule="exact"/>
              <w:rPr>
                <w:sz w:val="20"/>
                <w:szCs w:val="20"/>
                <w:color w:val="auto"/>
              </w:rPr>
            </w:pPr>
            <w:r>
              <w:rPr>
                <w:rFonts w:ascii="Times New Roman" w:cs="Times New Roman" w:eastAsia="Times New Roman" w:hAnsi="Times New Roman"/>
                <w:sz w:val="20"/>
                <w:szCs w:val="20"/>
                <w:color w:val="auto"/>
              </w:rPr>
              <w:t>10.21*</w:t>
            </w:r>
            <w:r>
              <w:rPr>
                <w:rFonts w:ascii="Arial" w:cs="Arial" w:eastAsia="Arial" w:hAnsi="Arial"/>
                <w:sz w:val="20"/>
                <w:szCs w:val="20"/>
                <w:color w:val="auto"/>
              </w:rPr>
              <w:t>♦</w:t>
            </w:r>
          </w:p>
        </w:tc>
        <w:tc>
          <w:tcPr>
            <w:tcW w:w="8660" w:type="dxa"/>
            <w:vAlign w:val="bottom"/>
            <w:tcBorders>
              <w:right w:val="single" w:sz="8" w:color="auto"/>
            </w:tcBorders>
          </w:tcPr>
          <w:p>
            <w:pPr>
              <w:ind w:left="60"/>
              <w:spacing w:after="0" w:line="199" w:lineRule="exact"/>
              <w:rPr>
                <w:sz w:val="20"/>
                <w:szCs w:val="20"/>
                <w:color w:val="auto"/>
              </w:rPr>
            </w:pPr>
            <w:r>
              <w:rPr>
                <w:rFonts w:ascii="Times New Roman" w:cs="Times New Roman" w:eastAsia="Times New Roman" w:hAnsi="Times New Roman"/>
                <w:sz w:val="20"/>
                <w:szCs w:val="20"/>
                <w:color w:val="auto"/>
              </w:rPr>
              <w:t>Royalty Purchase Agreement, dated as of March 27, 2023, by and among the Company and RTW</w:t>
            </w:r>
          </w:p>
        </w:tc>
      </w:tr>
      <w:tr>
        <w:trPr>
          <w:trHeight w:val="229"/>
        </w:trPr>
        <w:tc>
          <w:tcPr>
            <w:tcW w:w="1060" w:type="dxa"/>
            <w:vAlign w:val="bottom"/>
            <w:tcBorders>
              <w:left w:val="single" w:sz="8" w:color="auto"/>
              <w:right w:val="single" w:sz="8" w:color="auto"/>
            </w:tcBorders>
          </w:tcPr>
          <w:p>
            <w:pPr>
              <w:spacing w:after="0"/>
              <w:rPr>
                <w:sz w:val="19"/>
                <w:szCs w:val="19"/>
                <w:color w:val="auto"/>
              </w:rPr>
            </w:pPr>
          </w:p>
        </w:tc>
        <w:tc>
          <w:tcPr>
            <w:tcW w:w="8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(incorporated herein by reference to Exhibit 10.1 to the Registrant’s Current Report on Form 8-K (File</w:t>
            </w:r>
          </w:p>
        </w:tc>
      </w:tr>
      <w:tr>
        <w:trPr>
          <w:trHeight w:val="252"/>
        </w:trPr>
        <w:tc>
          <w:tcPr>
            <w:tcW w:w="1060" w:type="dxa"/>
            <w:vAlign w:val="bottom"/>
            <w:tcBorders>
              <w:left w:val="single" w:sz="8" w:color="auto"/>
              <w:bottom w:val="single" w:sz="8" w:color="auto"/>
              <w:right w:val="single" w:sz="8" w:color="auto"/>
            </w:tcBorders>
          </w:tcPr>
          <w:p>
            <w:pPr>
              <w:spacing w:after="0"/>
              <w:rPr>
                <w:sz w:val="21"/>
                <w:szCs w:val="21"/>
                <w:color w:val="auto"/>
              </w:rPr>
            </w:pPr>
          </w:p>
        </w:tc>
        <w:tc>
          <w:tcPr>
            <w:tcW w:w="8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No. 001-38899), filed with the SEC on March 31, 2023).</w:t>
            </w:r>
          </w:p>
        </w:tc>
      </w:tr>
      <w:tr>
        <w:trPr>
          <w:trHeight w:val="199"/>
        </w:trPr>
        <w:tc>
          <w:tcPr>
            <w:tcW w:w="1060" w:type="dxa"/>
            <w:vAlign w:val="bottom"/>
            <w:tcBorders>
              <w:left w:val="single" w:sz="8" w:color="auto"/>
              <w:right w:val="single" w:sz="8" w:color="auto"/>
            </w:tcBorders>
          </w:tcPr>
          <w:p>
            <w:pPr>
              <w:ind w:left="80"/>
              <w:spacing w:after="0" w:line="199" w:lineRule="exact"/>
              <w:rPr>
                <w:sz w:val="20"/>
                <w:szCs w:val="20"/>
                <w:color w:val="auto"/>
              </w:rPr>
            </w:pPr>
            <w:r>
              <w:rPr>
                <w:rFonts w:ascii="Times New Roman" w:cs="Times New Roman" w:eastAsia="Times New Roman" w:hAnsi="Times New Roman"/>
                <w:sz w:val="20"/>
                <w:szCs w:val="20"/>
                <w:color w:val="auto"/>
              </w:rPr>
              <w:t>10.22</w:t>
            </w:r>
          </w:p>
        </w:tc>
        <w:tc>
          <w:tcPr>
            <w:tcW w:w="8660" w:type="dxa"/>
            <w:vAlign w:val="bottom"/>
            <w:tcBorders>
              <w:right w:val="single" w:sz="8" w:color="auto"/>
            </w:tcBorders>
          </w:tcPr>
          <w:p>
            <w:pPr>
              <w:ind w:left="60"/>
              <w:spacing w:after="0" w:line="199" w:lineRule="exact"/>
              <w:rPr>
                <w:sz w:val="20"/>
                <w:szCs w:val="20"/>
                <w:color w:val="auto"/>
              </w:rPr>
            </w:pPr>
            <w:r>
              <w:rPr>
                <w:rFonts w:ascii="Times New Roman" w:cs="Times New Roman" w:eastAsia="Times New Roman" w:hAnsi="Times New Roman"/>
                <w:sz w:val="20"/>
                <w:szCs w:val="20"/>
                <w:color w:val="auto"/>
              </w:rPr>
              <w:t>Amendment No. 1 to the Purchase and Sale Agreement, dated August 12, 2024, by and between the</w:t>
            </w:r>
          </w:p>
        </w:tc>
      </w:tr>
      <w:tr>
        <w:trPr>
          <w:trHeight w:val="252"/>
        </w:trPr>
        <w:tc>
          <w:tcPr>
            <w:tcW w:w="1060" w:type="dxa"/>
            <w:vAlign w:val="bottom"/>
            <w:tcBorders>
              <w:left w:val="single" w:sz="8" w:color="auto"/>
              <w:bottom w:val="single" w:sz="8" w:color="auto"/>
              <w:right w:val="single" w:sz="8" w:color="auto"/>
            </w:tcBorders>
          </w:tcPr>
          <w:p>
            <w:pPr>
              <w:spacing w:after="0"/>
              <w:rPr>
                <w:sz w:val="21"/>
                <w:szCs w:val="21"/>
                <w:color w:val="auto"/>
              </w:rPr>
            </w:pPr>
          </w:p>
        </w:tc>
        <w:tc>
          <w:tcPr>
            <w:tcW w:w="8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Company and RTW Roy alty I DAC.</w:t>
            </w:r>
          </w:p>
        </w:tc>
      </w:tr>
      <w:tr>
        <w:trPr>
          <w:trHeight w:val="199"/>
        </w:trPr>
        <w:tc>
          <w:tcPr>
            <w:tcW w:w="1060" w:type="dxa"/>
            <w:vAlign w:val="bottom"/>
            <w:tcBorders>
              <w:left w:val="single" w:sz="8" w:color="auto"/>
              <w:right w:val="single" w:sz="8" w:color="auto"/>
            </w:tcBorders>
          </w:tcPr>
          <w:p>
            <w:pPr>
              <w:ind w:left="80"/>
              <w:spacing w:after="0" w:line="199" w:lineRule="exact"/>
              <w:rPr>
                <w:sz w:val="20"/>
                <w:szCs w:val="20"/>
                <w:color w:val="auto"/>
              </w:rPr>
            </w:pPr>
            <w:r>
              <w:rPr>
                <w:rFonts w:ascii="Times New Roman" w:cs="Times New Roman" w:eastAsia="Times New Roman" w:hAnsi="Times New Roman"/>
                <w:sz w:val="20"/>
                <w:szCs w:val="20"/>
                <w:color w:val="auto"/>
              </w:rPr>
              <w:t>10.23</w:t>
            </w:r>
          </w:p>
        </w:tc>
        <w:tc>
          <w:tcPr>
            <w:tcW w:w="8660" w:type="dxa"/>
            <w:vAlign w:val="bottom"/>
            <w:tcBorders>
              <w:right w:val="single" w:sz="8" w:color="auto"/>
            </w:tcBorders>
          </w:tcPr>
          <w:p>
            <w:pPr>
              <w:ind w:left="60"/>
              <w:spacing w:after="0" w:line="199" w:lineRule="exact"/>
              <w:rPr>
                <w:sz w:val="20"/>
                <w:szCs w:val="20"/>
                <w:color w:val="auto"/>
              </w:rPr>
            </w:pPr>
            <w:r>
              <w:rPr>
                <w:rFonts w:ascii="Times New Roman" w:cs="Times New Roman" w:eastAsia="Times New Roman" w:hAnsi="Times New Roman"/>
                <w:sz w:val="20"/>
                <w:szCs w:val="20"/>
                <w:color w:val="auto"/>
              </w:rPr>
              <w:t>Amendment No. 2 to the Purchase and Sale Agreement, dated July 10, 2025, by and between the</w:t>
            </w:r>
          </w:p>
        </w:tc>
      </w:tr>
      <w:tr>
        <w:trPr>
          <w:trHeight w:val="252"/>
        </w:trPr>
        <w:tc>
          <w:tcPr>
            <w:tcW w:w="1060" w:type="dxa"/>
            <w:vAlign w:val="bottom"/>
            <w:tcBorders>
              <w:left w:val="single" w:sz="8" w:color="auto"/>
              <w:bottom w:val="single" w:sz="8" w:color="auto"/>
              <w:right w:val="single" w:sz="8" w:color="auto"/>
            </w:tcBorders>
          </w:tcPr>
          <w:p>
            <w:pPr>
              <w:spacing w:after="0"/>
              <w:rPr>
                <w:sz w:val="21"/>
                <w:szCs w:val="21"/>
                <w:color w:val="auto"/>
              </w:rPr>
            </w:pPr>
          </w:p>
        </w:tc>
        <w:tc>
          <w:tcPr>
            <w:tcW w:w="8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Company and RTW Royalty I DAC.</w:t>
            </w:r>
          </w:p>
        </w:tc>
      </w:tr>
      <w:tr>
        <w:trPr>
          <w:trHeight w:val="198"/>
        </w:trPr>
        <w:tc>
          <w:tcPr>
            <w:tcW w:w="1060" w:type="dxa"/>
            <w:vAlign w:val="bottom"/>
            <w:tcBorders>
              <w:left w:val="single" w:sz="8" w:color="auto"/>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20"/>
                <w:szCs w:val="20"/>
                <w:color w:val="auto"/>
              </w:rPr>
              <w:t>10.24*</w:t>
            </w:r>
            <w:r>
              <w:rPr>
                <w:rFonts w:ascii="Arial" w:cs="Arial" w:eastAsia="Arial" w:hAnsi="Arial"/>
                <w:sz w:val="20"/>
                <w:szCs w:val="20"/>
                <w:color w:val="auto"/>
              </w:rPr>
              <w:t>♦</w:t>
            </w:r>
          </w:p>
        </w:tc>
        <w:tc>
          <w:tcPr>
            <w:tcW w:w="8660" w:type="dxa"/>
            <w:vAlign w:val="bottom"/>
            <w:tcBorders>
              <w:right w:val="single" w:sz="8" w:color="auto"/>
            </w:tcBorders>
          </w:tcPr>
          <w:p>
            <w:pPr>
              <w:ind w:left="60"/>
              <w:spacing w:after="0" w:line="198" w:lineRule="exact"/>
              <w:rPr>
                <w:sz w:val="20"/>
                <w:szCs w:val="20"/>
                <w:color w:val="auto"/>
              </w:rPr>
            </w:pPr>
            <w:r>
              <w:rPr>
                <w:rFonts w:ascii="Times New Roman" w:cs="Times New Roman" w:eastAsia="Times New Roman" w:hAnsi="Times New Roman"/>
                <w:sz w:val="20"/>
                <w:szCs w:val="20"/>
                <w:color w:val="auto"/>
              </w:rPr>
              <w:t>Amendment No. 3 to and Assignment of the Purchase and Sale Agreement, dated December 12, 2025, by</w:t>
            </w:r>
          </w:p>
        </w:tc>
      </w:tr>
      <w:tr>
        <w:trPr>
          <w:trHeight w:val="252"/>
        </w:trPr>
        <w:tc>
          <w:tcPr>
            <w:tcW w:w="1060" w:type="dxa"/>
            <w:vAlign w:val="bottom"/>
            <w:tcBorders>
              <w:left w:val="single" w:sz="8" w:color="auto"/>
              <w:bottom w:val="single" w:sz="8" w:color="auto"/>
              <w:right w:val="single" w:sz="8" w:color="auto"/>
            </w:tcBorders>
          </w:tcPr>
          <w:p>
            <w:pPr>
              <w:spacing w:after="0"/>
              <w:rPr>
                <w:sz w:val="21"/>
                <w:szCs w:val="21"/>
                <w:color w:val="auto"/>
              </w:rPr>
            </w:pPr>
          </w:p>
        </w:tc>
        <w:tc>
          <w:tcPr>
            <w:tcW w:w="8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and among the Company, Milestone Pharmaceuticals USA, Inc. and RTW Royalty I DAC.</w:t>
            </w:r>
          </w:p>
        </w:tc>
      </w:tr>
      <w:tr>
        <w:trPr>
          <w:trHeight w:val="199"/>
        </w:trPr>
        <w:tc>
          <w:tcPr>
            <w:tcW w:w="1060" w:type="dxa"/>
            <w:vAlign w:val="bottom"/>
            <w:tcBorders>
              <w:left w:val="single" w:sz="8" w:color="auto"/>
              <w:right w:val="single" w:sz="8" w:color="auto"/>
            </w:tcBorders>
          </w:tcPr>
          <w:p>
            <w:pPr>
              <w:ind w:left="80"/>
              <w:spacing w:after="0" w:line="199" w:lineRule="exact"/>
              <w:rPr>
                <w:sz w:val="20"/>
                <w:szCs w:val="20"/>
                <w:color w:val="auto"/>
              </w:rPr>
            </w:pPr>
            <w:r>
              <w:rPr>
                <w:rFonts w:ascii="Times New Roman" w:cs="Times New Roman" w:eastAsia="Times New Roman" w:hAnsi="Times New Roman"/>
                <w:sz w:val="20"/>
                <w:szCs w:val="20"/>
                <w:color w:val="auto"/>
              </w:rPr>
              <w:t>10.25*</w:t>
            </w:r>
            <w:r>
              <w:rPr>
                <w:rFonts w:ascii="Arial" w:cs="Arial" w:eastAsia="Arial" w:hAnsi="Arial"/>
                <w:sz w:val="20"/>
                <w:szCs w:val="20"/>
                <w:color w:val="auto"/>
              </w:rPr>
              <w:t>♦</w:t>
            </w:r>
          </w:p>
        </w:tc>
        <w:tc>
          <w:tcPr>
            <w:tcW w:w="8660" w:type="dxa"/>
            <w:vAlign w:val="bottom"/>
            <w:tcBorders>
              <w:right w:val="single" w:sz="8" w:color="auto"/>
            </w:tcBorders>
          </w:tcPr>
          <w:p>
            <w:pPr>
              <w:ind w:left="60"/>
              <w:spacing w:after="0" w:line="199" w:lineRule="exact"/>
              <w:rPr>
                <w:sz w:val="20"/>
                <w:szCs w:val="20"/>
                <w:color w:val="auto"/>
              </w:rPr>
            </w:pPr>
            <w:r>
              <w:rPr>
                <w:rFonts w:ascii="Times New Roman" w:cs="Times New Roman" w:eastAsia="Times New Roman" w:hAnsi="Times New Roman"/>
                <w:sz w:val="20"/>
                <w:szCs w:val="20"/>
                <w:color w:val="auto"/>
                <w:w w:val="98"/>
              </w:rPr>
              <w:t>Note Purchase Agreement, dated as of March 27, 2023, by and among the Company and RTW (incorporated</w:t>
            </w: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8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herein by reference to Exhibit 10.2 to the Registrant’s Current Report on Form 8-K (File No. 001-38899),</w:t>
            </w:r>
          </w:p>
        </w:tc>
      </w:tr>
      <w:tr>
        <w:trPr>
          <w:trHeight w:val="251"/>
        </w:trPr>
        <w:tc>
          <w:tcPr>
            <w:tcW w:w="1060" w:type="dxa"/>
            <w:vAlign w:val="bottom"/>
            <w:tcBorders>
              <w:left w:val="single" w:sz="8" w:color="auto"/>
              <w:bottom w:val="single" w:sz="8" w:color="auto"/>
              <w:right w:val="single" w:sz="8" w:color="auto"/>
            </w:tcBorders>
          </w:tcPr>
          <w:p>
            <w:pPr>
              <w:spacing w:after="0"/>
              <w:rPr>
                <w:sz w:val="21"/>
                <w:szCs w:val="21"/>
                <w:color w:val="auto"/>
              </w:rPr>
            </w:pPr>
          </w:p>
        </w:tc>
        <w:tc>
          <w:tcPr>
            <w:tcW w:w="8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filed with the SEC on March 31, 2023).</w:t>
            </w:r>
          </w:p>
        </w:tc>
      </w:tr>
      <w:tr>
        <w:trPr>
          <w:trHeight w:val="198"/>
        </w:trPr>
        <w:tc>
          <w:tcPr>
            <w:tcW w:w="1060" w:type="dxa"/>
            <w:vAlign w:val="bottom"/>
            <w:tcBorders>
              <w:left w:val="single" w:sz="8" w:color="auto"/>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20"/>
                <w:szCs w:val="20"/>
                <w:color w:val="auto"/>
              </w:rPr>
              <w:t>10.26</w:t>
            </w:r>
          </w:p>
        </w:tc>
        <w:tc>
          <w:tcPr>
            <w:tcW w:w="8660" w:type="dxa"/>
            <w:vAlign w:val="bottom"/>
            <w:tcBorders>
              <w:right w:val="single" w:sz="8" w:color="auto"/>
            </w:tcBorders>
          </w:tcPr>
          <w:p>
            <w:pPr>
              <w:ind w:left="60"/>
              <w:spacing w:after="0" w:line="198" w:lineRule="exact"/>
              <w:rPr>
                <w:sz w:val="20"/>
                <w:szCs w:val="20"/>
                <w:color w:val="auto"/>
              </w:rPr>
            </w:pPr>
            <w:r>
              <w:rPr>
                <w:rFonts w:ascii="Times New Roman" w:cs="Times New Roman" w:eastAsia="Times New Roman" w:hAnsi="Times New Roman"/>
                <w:sz w:val="20"/>
                <w:szCs w:val="20"/>
                <w:color w:val="auto"/>
              </w:rPr>
              <w:t>First Amendment to Note Purchase Agreement, dated as of August 4, 2023 (incorporated herein by</w:t>
            </w:r>
          </w:p>
        </w:tc>
      </w:tr>
      <w:tr>
        <w:trPr>
          <w:trHeight w:val="230"/>
        </w:trPr>
        <w:tc>
          <w:tcPr>
            <w:tcW w:w="1060" w:type="dxa"/>
            <w:vAlign w:val="bottom"/>
            <w:tcBorders>
              <w:left w:val="single" w:sz="8" w:color="auto"/>
              <w:right w:val="single" w:sz="8" w:color="auto"/>
            </w:tcBorders>
          </w:tcPr>
          <w:p>
            <w:pPr>
              <w:spacing w:after="0"/>
              <w:rPr>
                <w:sz w:val="20"/>
                <w:szCs w:val="20"/>
                <w:color w:val="auto"/>
              </w:rPr>
            </w:pPr>
          </w:p>
        </w:tc>
        <w:tc>
          <w:tcPr>
            <w:tcW w:w="8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reference to Exhibit 10.1 to the Registrant’s Quarterly Report on Form 10-Q (File No. 001-38899), filed</w:t>
            </w:r>
          </w:p>
        </w:tc>
      </w:tr>
      <w:tr>
        <w:trPr>
          <w:trHeight w:val="251"/>
        </w:trPr>
        <w:tc>
          <w:tcPr>
            <w:tcW w:w="1060" w:type="dxa"/>
            <w:vAlign w:val="bottom"/>
            <w:tcBorders>
              <w:left w:val="single" w:sz="8" w:color="auto"/>
              <w:bottom w:val="single" w:sz="8" w:color="auto"/>
              <w:right w:val="single" w:sz="8" w:color="auto"/>
            </w:tcBorders>
          </w:tcPr>
          <w:p>
            <w:pPr>
              <w:spacing w:after="0"/>
              <w:rPr>
                <w:sz w:val="21"/>
                <w:szCs w:val="21"/>
                <w:color w:val="auto"/>
              </w:rPr>
            </w:pPr>
          </w:p>
        </w:tc>
        <w:tc>
          <w:tcPr>
            <w:tcW w:w="8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with the SEC on November 13, 2023).</w:t>
            </w:r>
          </w:p>
        </w:tc>
      </w:tr>
      <w:tr>
        <w:trPr>
          <w:trHeight w:val="199"/>
        </w:trPr>
        <w:tc>
          <w:tcPr>
            <w:tcW w:w="1060" w:type="dxa"/>
            <w:vAlign w:val="bottom"/>
            <w:tcBorders>
              <w:left w:val="single" w:sz="8" w:color="auto"/>
              <w:right w:val="single" w:sz="8" w:color="auto"/>
            </w:tcBorders>
          </w:tcPr>
          <w:p>
            <w:pPr>
              <w:ind w:left="80"/>
              <w:spacing w:after="0" w:line="199" w:lineRule="exact"/>
              <w:rPr>
                <w:sz w:val="20"/>
                <w:szCs w:val="20"/>
                <w:color w:val="auto"/>
              </w:rPr>
            </w:pPr>
            <w:r>
              <w:rPr>
                <w:rFonts w:ascii="Times New Roman" w:cs="Times New Roman" w:eastAsia="Times New Roman" w:hAnsi="Times New Roman"/>
                <w:sz w:val="20"/>
                <w:szCs w:val="20"/>
                <w:color w:val="auto"/>
              </w:rPr>
              <w:t>10.27</w:t>
            </w:r>
          </w:p>
        </w:tc>
        <w:tc>
          <w:tcPr>
            <w:tcW w:w="8660" w:type="dxa"/>
            <w:vAlign w:val="bottom"/>
            <w:tcBorders>
              <w:right w:val="single" w:sz="8" w:color="auto"/>
            </w:tcBorders>
          </w:tcPr>
          <w:p>
            <w:pPr>
              <w:ind w:left="60"/>
              <w:spacing w:after="0" w:line="199" w:lineRule="exact"/>
              <w:rPr>
                <w:sz w:val="20"/>
                <w:szCs w:val="20"/>
                <w:color w:val="auto"/>
              </w:rPr>
            </w:pPr>
            <w:r>
              <w:rPr>
                <w:rFonts w:ascii="Times New Roman" w:cs="Times New Roman" w:eastAsia="Times New Roman" w:hAnsi="Times New Roman"/>
                <w:sz w:val="20"/>
                <w:szCs w:val="20"/>
                <w:color w:val="auto"/>
              </w:rPr>
              <w:t>Cooperation Agreement, dated as of July 14, 2024, by and between the Company and Alta Fundamental</w:t>
            </w:r>
          </w:p>
        </w:tc>
      </w:tr>
      <w:tr>
        <w:trPr>
          <w:trHeight w:val="229"/>
        </w:trPr>
        <w:tc>
          <w:tcPr>
            <w:tcW w:w="1060" w:type="dxa"/>
            <w:vAlign w:val="bottom"/>
            <w:tcBorders>
              <w:left w:val="single" w:sz="8" w:color="auto"/>
              <w:right w:val="single" w:sz="8" w:color="auto"/>
            </w:tcBorders>
          </w:tcPr>
          <w:p>
            <w:pPr>
              <w:spacing w:after="0"/>
              <w:rPr>
                <w:sz w:val="19"/>
                <w:szCs w:val="19"/>
                <w:color w:val="auto"/>
              </w:rPr>
            </w:pPr>
          </w:p>
        </w:tc>
        <w:tc>
          <w:tcPr>
            <w:tcW w:w="8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Advisers Master L.P. (incorporated herein by reference to Exhibit 10.1 to the Company’s Current Report</w:t>
            </w:r>
          </w:p>
        </w:tc>
      </w:tr>
      <w:tr>
        <w:trPr>
          <w:trHeight w:val="252"/>
        </w:trPr>
        <w:tc>
          <w:tcPr>
            <w:tcW w:w="1060" w:type="dxa"/>
            <w:vAlign w:val="bottom"/>
            <w:tcBorders>
              <w:left w:val="single" w:sz="8" w:color="auto"/>
              <w:bottom w:val="single" w:sz="8" w:color="auto"/>
              <w:right w:val="single" w:sz="8" w:color="auto"/>
            </w:tcBorders>
          </w:tcPr>
          <w:p>
            <w:pPr>
              <w:spacing w:after="0"/>
              <w:rPr>
                <w:sz w:val="21"/>
                <w:szCs w:val="21"/>
                <w:color w:val="auto"/>
              </w:rPr>
            </w:pPr>
          </w:p>
        </w:tc>
        <w:tc>
          <w:tcPr>
            <w:tcW w:w="8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on Form 8-K (File No. 001-38899), filed with the SEC on July 15, 2024).</w:t>
            </w:r>
          </w:p>
        </w:tc>
      </w:tr>
      <w:tr>
        <w:trPr>
          <w:trHeight w:val="199"/>
        </w:trPr>
        <w:tc>
          <w:tcPr>
            <w:tcW w:w="1060" w:type="dxa"/>
            <w:vAlign w:val="bottom"/>
            <w:tcBorders>
              <w:left w:val="single" w:sz="8" w:color="auto"/>
              <w:right w:val="single" w:sz="8" w:color="auto"/>
            </w:tcBorders>
          </w:tcPr>
          <w:p>
            <w:pPr>
              <w:ind w:left="80"/>
              <w:spacing w:after="0" w:line="199" w:lineRule="exact"/>
              <w:rPr>
                <w:sz w:val="20"/>
                <w:szCs w:val="20"/>
                <w:color w:val="auto"/>
              </w:rPr>
            </w:pPr>
            <w:r>
              <w:rPr>
                <w:rFonts w:ascii="Times New Roman" w:cs="Times New Roman" w:eastAsia="Times New Roman" w:hAnsi="Times New Roman"/>
                <w:sz w:val="20"/>
                <w:szCs w:val="20"/>
                <w:color w:val="auto"/>
              </w:rPr>
              <w:t>19.1</w:t>
            </w:r>
          </w:p>
        </w:tc>
        <w:tc>
          <w:tcPr>
            <w:tcW w:w="8660" w:type="dxa"/>
            <w:vAlign w:val="bottom"/>
            <w:tcBorders>
              <w:right w:val="single" w:sz="8" w:color="auto"/>
            </w:tcBorders>
          </w:tcPr>
          <w:p>
            <w:pPr>
              <w:ind w:left="60"/>
              <w:spacing w:after="0" w:line="199" w:lineRule="exact"/>
              <w:rPr>
                <w:sz w:val="20"/>
                <w:szCs w:val="20"/>
                <w:color w:val="auto"/>
              </w:rPr>
            </w:pPr>
            <w:r>
              <w:rPr>
                <w:rFonts w:ascii="Times New Roman" w:cs="Times New Roman" w:eastAsia="Times New Roman" w:hAnsi="Times New Roman"/>
                <w:sz w:val="20"/>
                <w:szCs w:val="20"/>
                <w:color w:val="auto"/>
              </w:rPr>
              <w:t>Insider Trading Policy (incorporated herein by reference to Exhibit 19.1 to the Registrant’s Annual Report</w:t>
            </w:r>
          </w:p>
        </w:tc>
      </w:tr>
      <w:tr>
        <w:trPr>
          <w:trHeight w:val="252"/>
        </w:trPr>
        <w:tc>
          <w:tcPr>
            <w:tcW w:w="1060" w:type="dxa"/>
            <w:vAlign w:val="bottom"/>
            <w:tcBorders>
              <w:left w:val="single" w:sz="8" w:color="auto"/>
              <w:bottom w:val="single" w:sz="8" w:color="auto"/>
              <w:right w:val="single" w:sz="8" w:color="auto"/>
            </w:tcBorders>
          </w:tcPr>
          <w:p>
            <w:pPr>
              <w:spacing w:after="0"/>
              <w:rPr>
                <w:sz w:val="21"/>
                <w:szCs w:val="21"/>
                <w:color w:val="auto"/>
              </w:rPr>
            </w:pPr>
          </w:p>
        </w:tc>
        <w:tc>
          <w:tcPr>
            <w:tcW w:w="8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on Form 10-K (File No. 001-38899), filed with the SEC on March 13, 2025).</w:t>
            </w:r>
          </w:p>
        </w:tc>
      </w:tr>
      <w:tr>
        <w:trPr>
          <w:trHeight w:val="220"/>
        </w:trPr>
        <w:tc>
          <w:tcPr>
            <w:tcW w:w="1060" w:type="dxa"/>
            <w:vAlign w:val="bottom"/>
            <w:tcBorders>
              <w:left w:val="single" w:sz="8" w:color="auto"/>
              <w:bottom w:val="single" w:sz="8" w:color="auto"/>
              <w:right w:val="single" w:sz="8" w:color="auto"/>
            </w:tcBorders>
          </w:tcPr>
          <w:p>
            <w:pPr>
              <w:ind w:left="80"/>
              <w:spacing w:after="0" w:line="220" w:lineRule="exact"/>
              <w:rPr>
                <w:sz w:val="20"/>
                <w:szCs w:val="20"/>
                <w:color w:val="auto"/>
              </w:rPr>
            </w:pPr>
            <w:r>
              <w:rPr>
                <w:rFonts w:ascii="Times New Roman" w:cs="Times New Roman" w:eastAsia="Times New Roman" w:hAnsi="Times New Roman"/>
                <w:sz w:val="20"/>
                <w:szCs w:val="20"/>
                <w:color w:val="auto"/>
              </w:rPr>
              <w:t>23.1</w:t>
            </w:r>
          </w:p>
        </w:tc>
        <w:tc>
          <w:tcPr>
            <w:tcW w:w="8660" w:type="dxa"/>
            <w:vAlign w:val="bottom"/>
            <w:tcBorders>
              <w:bottom w:val="single" w:sz="8" w:color="auto"/>
              <w:right w:val="single" w:sz="8" w:color="auto"/>
            </w:tcBorders>
          </w:tcPr>
          <w:p>
            <w:pPr>
              <w:ind w:left="60"/>
              <w:spacing w:after="0" w:line="220" w:lineRule="exact"/>
              <w:rPr>
                <w:sz w:val="20"/>
                <w:szCs w:val="20"/>
                <w:color w:val="auto"/>
              </w:rPr>
            </w:pPr>
            <w:r>
              <w:rPr>
                <w:rFonts w:ascii="Times New Roman" w:cs="Times New Roman" w:eastAsia="Times New Roman" w:hAnsi="Times New Roman"/>
                <w:sz w:val="20"/>
                <w:szCs w:val="20"/>
                <w:color w:val="auto"/>
              </w:rPr>
              <w:t>Consent of PricewaterhouseCoopers LLP, Independent Registered Public Accounting Firm.</w:t>
            </w:r>
          </w:p>
        </w:tc>
      </w:tr>
      <w:tr>
        <w:trPr>
          <w:trHeight w:val="220"/>
        </w:trPr>
        <w:tc>
          <w:tcPr>
            <w:tcW w:w="1060" w:type="dxa"/>
            <w:vAlign w:val="bottom"/>
            <w:tcBorders>
              <w:left w:val="single" w:sz="8" w:color="auto"/>
              <w:bottom w:val="single" w:sz="8" w:color="auto"/>
              <w:right w:val="single" w:sz="8" w:color="auto"/>
            </w:tcBorders>
          </w:tcPr>
          <w:p>
            <w:pPr>
              <w:ind w:left="80"/>
              <w:spacing w:after="0" w:line="220" w:lineRule="exact"/>
              <w:rPr>
                <w:sz w:val="20"/>
                <w:szCs w:val="20"/>
                <w:color w:val="auto"/>
              </w:rPr>
            </w:pPr>
            <w:r>
              <w:rPr>
                <w:rFonts w:ascii="Times New Roman" w:cs="Times New Roman" w:eastAsia="Times New Roman" w:hAnsi="Times New Roman"/>
                <w:sz w:val="20"/>
                <w:szCs w:val="20"/>
                <w:color w:val="auto"/>
              </w:rPr>
              <w:t>24.1</w:t>
            </w:r>
          </w:p>
        </w:tc>
        <w:tc>
          <w:tcPr>
            <w:tcW w:w="8660" w:type="dxa"/>
            <w:vAlign w:val="bottom"/>
            <w:tcBorders>
              <w:bottom w:val="single" w:sz="8" w:color="auto"/>
              <w:right w:val="single" w:sz="8" w:color="auto"/>
            </w:tcBorders>
          </w:tcPr>
          <w:p>
            <w:pPr>
              <w:ind w:left="60"/>
              <w:spacing w:after="0" w:line="220" w:lineRule="exact"/>
              <w:rPr>
                <w:sz w:val="20"/>
                <w:szCs w:val="20"/>
                <w:color w:val="auto"/>
              </w:rPr>
            </w:pPr>
            <w:r>
              <w:rPr>
                <w:rFonts w:ascii="Times New Roman" w:cs="Times New Roman" w:eastAsia="Times New Roman" w:hAnsi="Times New Roman"/>
                <w:sz w:val="20"/>
                <w:szCs w:val="20"/>
                <w:color w:val="auto"/>
              </w:rPr>
              <w:t>Power of Attorney (included on the signature page to this registration statement).</w:t>
            </w:r>
          </w:p>
        </w:tc>
      </w:tr>
      <w:tr>
        <w:trPr>
          <w:trHeight w:val="198"/>
        </w:trPr>
        <w:tc>
          <w:tcPr>
            <w:tcW w:w="1060" w:type="dxa"/>
            <w:vAlign w:val="bottom"/>
            <w:tcBorders>
              <w:left w:val="single" w:sz="8" w:color="auto"/>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20"/>
                <w:szCs w:val="20"/>
                <w:color w:val="auto"/>
              </w:rPr>
              <w:t>31.1</w:t>
            </w:r>
          </w:p>
        </w:tc>
        <w:tc>
          <w:tcPr>
            <w:tcW w:w="8660" w:type="dxa"/>
            <w:vAlign w:val="bottom"/>
            <w:tcBorders>
              <w:right w:val="single" w:sz="8" w:color="auto"/>
            </w:tcBorders>
          </w:tcPr>
          <w:p>
            <w:pPr>
              <w:ind w:left="60"/>
              <w:spacing w:after="0" w:line="198" w:lineRule="exact"/>
              <w:rPr>
                <w:sz w:val="20"/>
                <w:szCs w:val="20"/>
                <w:color w:val="auto"/>
              </w:rPr>
            </w:pPr>
            <w:r>
              <w:rPr>
                <w:rFonts w:ascii="Times New Roman" w:cs="Times New Roman" w:eastAsia="Times New Roman" w:hAnsi="Times New Roman"/>
                <w:sz w:val="20"/>
                <w:szCs w:val="20"/>
                <w:color w:val="auto"/>
              </w:rPr>
              <w:t>Certification of Principal Executive Officer pursuant to Rules 13a-14(a) and 15d-14(a) promulgated under</w:t>
            </w:r>
          </w:p>
        </w:tc>
      </w:tr>
      <w:tr>
        <w:trPr>
          <w:trHeight w:val="252"/>
        </w:trPr>
        <w:tc>
          <w:tcPr>
            <w:tcW w:w="1060" w:type="dxa"/>
            <w:vAlign w:val="bottom"/>
            <w:tcBorders>
              <w:left w:val="single" w:sz="8" w:color="auto"/>
              <w:bottom w:val="single" w:sz="8" w:color="auto"/>
              <w:right w:val="single" w:sz="8" w:color="auto"/>
            </w:tcBorders>
          </w:tcPr>
          <w:p>
            <w:pPr>
              <w:spacing w:after="0"/>
              <w:rPr>
                <w:sz w:val="21"/>
                <w:szCs w:val="21"/>
                <w:color w:val="auto"/>
              </w:rPr>
            </w:pPr>
          </w:p>
        </w:tc>
        <w:tc>
          <w:tcPr>
            <w:tcW w:w="8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w w:val="98"/>
              </w:rPr>
              <w:t>the Securities Exchange Act of 1934, as adopted pursuant to Section 302 of the Sarbanes-Oxley Act of 2002</w:t>
            </w:r>
          </w:p>
        </w:tc>
      </w:tr>
      <w:tr>
        <w:trPr>
          <w:trHeight w:val="199"/>
        </w:trPr>
        <w:tc>
          <w:tcPr>
            <w:tcW w:w="1060" w:type="dxa"/>
            <w:vAlign w:val="bottom"/>
            <w:tcBorders>
              <w:left w:val="single" w:sz="8" w:color="auto"/>
              <w:right w:val="single" w:sz="8" w:color="auto"/>
            </w:tcBorders>
          </w:tcPr>
          <w:p>
            <w:pPr>
              <w:ind w:left="80"/>
              <w:spacing w:after="0" w:line="199" w:lineRule="exact"/>
              <w:rPr>
                <w:sz w:val="20"/>
                <w:szCs w:val="20"/>
                <w:color w:val="auto"/>
              </w:rPr>
            </w:pPr>
            <w:r>
              <w:rPr>
                <w:rFonts w:ascii="Times New Roman" w:cs="Times New Roman" w:eastAsia="Times New Roman" w:hAnsi="Times New Roman"/>
                <w:sz w:val="20"/>
                <w:szCs w:val="20"/>
                <w:color w:val="auto"/>
              </w:rPr>
              <w:t>31.2</w:t>
            </w:r>
          </w:p>
        </w:tc>
        <w:tc>
          <w:tcPr>
            <w:tcW w:w="8660" w:type="dxa"/>
            <w:vAlign w:val="bottom"/>
            <w:tcBorders>
              <w:right w:val="single" w:sz="8" w:color="auto"/>
            </w:tcBorders>
          </w:tcPr>
          <w:p>
            <w:pPr>
              <w:ind w:left="60"/>
              <w:spacing w:after="0" w:line="199" w:lineRule="exact"/>
              <w:rPr>
                <w:sz w:val="20"/>
                <w:szCs w:val="20"/>
                <w:color w:val="auto"/>
              </w:rPr>
            </w:pPr>
            <w:r>
              <w:rPr>
                <w:rFonts w:ascii="Times New Roman" w:cs="Times New Roman" w:eastAsia="Times New Roman" w:hAnsi="Times New Roman"/>
                <w:sz w:val="20"/>
                <w:szCs w:val="20"/>
                <w:color w:val="auto"/>
              </w:rPr>
              <w:t>Certification of Principal Financial Officer pursuant to Rules 13a-14(a) and 15d-14(a) promulgated under</w:t>
            </w:r>
          </w:p>
        </w:tc>
      </w:tr>
      <w:tr>
        <w:trPr>
          <w:trHeight w:val="252"/>
        </w:trPr>
        <w:tc>
          <w:tcPr>
            <w:tcW w:w="1060" w:type="dxa"/>
            <w:vAlign w:val="bottom"/>
            <w:tcBorders>
              <w:left w:val="single" w:sz="8" w:color="auto"/>
              <w:bottom w:val="single" w:sz="8" w:color="auto"/>
              <w:right w:val="single" w:sz="8" w:color="auto"/>
            </w:tcBorders>
          </w:tcPr>
          <w:p>
            <w:pPr>
              <w:spacing w:after="0"/>
              <w:rPr>
                <w:sz w:val="21"/>
                <w:szCs w:val="21"/>
                <w:color w:val="auto"/>
              </w:rPr>
            </w:pPr>
          </w:p>
        </w:tc>
        <w:tc>
          <w:tcPr>
            <w:tcW w:w="8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w w:val="99"/>
              </w:rPr>
              <w:t>the Securities Exchange Act of 1934, as adopted pursuant to section 302 of the Sarbanes-Oxley Act of 2002</w:t>
            </w:r>
          </w:p>
        </w:tc>
      </w:tr>
      <w:tr>
        <w:trPr>
          <w:trHeight w:val="199"/>
        </w:trPr>
        <w:tc>
          <w:tcPr>
            <w:tcW w:w="1060" w:type="dxa"/>
            <w:vAlign w:val="bottom"/>
            <w:tcBorders>
              <w:left w:val="single" w:sz="8" w:color="auto"/>
              <w:right w:val="single" w:sz="8" w:color="auto"/>
            </w:tcBorders>
          </w:tcPr>
          <w:p>
            <w:pPr>
              <w:ind w:left="80"/>
              <w:spacing w:after="0" w:line="199" w:lineRule="exact"/>
              <w:rPr>
                <w:sz w:val="20"/>
                <w:szCs w:val="20"/>
                <w:color w:val="auto"/>
              </w:rPr>
            </w:pPr>
            <w:r>
              <w:rPr>
                <w:rFonts w:ascii="Times New Roman" w:cs="Times New Roman" w:eastAsia="Times New Roman" w:hAnsi="Times New Roman"/>
                <w:sz w:val="20"/>
                <w:szCs w:val="20"/>
                <w:color w:val="auto"/>
              </w:rPr>
              <w:t>32.1</w:t>
            </w:r>
            <w:r>
              <w:rPr>
                <w:rFonts w:ascii="Arial" w:cs="Arial" w:eastAsia="Arial" w:hAnsi="Arial"/>
                <w:sz w:val="20"/>
                <w:szCs w:val="20"/>
                <w:color w:val="auto"/>
              </w:rPr>
              <w:t>˄</w:t>
            </w:r>
          </w:p>
        </w:tc>
        <w:tc>
          <w:tcPr>
            <w:tcW w:w="8660" w:type="dxa"/>
            <w:vAlign w:val="bottom"/>
            <w:tcBorders>
              <w:right w:val="single" w:sz="8" w:color="auto"/>
            </w:tcBorders>
          </w:tcPr>
          <w:p>
            <w:pPr>
              <w:ind w:left="60"/>
              <w:spacing w:after="0" w:line="199" w:lineRule="exact"/>
              <w:rPr>
                <w:sz w:val="20"/>
                <w:szCs w:val="20"/>
                <w:color w:val="auto"/>
              </w:rPr>
            </w:pPr>
            <w:r>
              <w:rPr>
                <w:rFonts w:ascii="Times New Roman" w:cs="Times New Roman" w:eastAsia="Times New Roman" w:hAnsi="Times New Roman"/>
                <w:sz w:val="20"/>
                <w:szCs w:val="20"/>
                <w:color w:val="auto"/>
                <w:w w:val="99"/>
              </w:rPr>
              <w:t>Certification of Principal Executive Officer and Principal Financial Officer pursuant to Rules 13a-14(b) and</w:t>
            </w:r>
          </w:p>
        </w:tc>
      </w:tr>
      <w:tr>
        <w:trPr>
          <w:trHeight w:val="229"/>
        </w:trPr>
        <w:tc>
          <w:tcPr>
            <w:tcW w:w="1060" w:type="dxa"/>
            <w:vAlign w:val="bottom"/>
            <w:tcBorders>
              <w:left w:val="single" w:sz="8" w:color="auto"/>
              <w:right w:val="single" w:sz="8" w:color="auto"/>
            </w:tcBorders>
          </w:tcPr>
          <w:p>
            <w:pPr>
              <w:spacing w:after="0"/>
              <w:rPr>
                <w:sz w:val="19"/>
                <w:szCs w:val="19"/>
                <w:color w:val="auto"/>
              </w:rPr>
            </w:pPr>
          </w:p>
        </w:tc>
        <w:tc>
          <w:tcPr>
            <w:tcW w:w="86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w w:val="99"/>
              </w:rPr>
              <w:t>15d-14(b) promulgated under the Securities Exchange Act of 1934 and 18 U.S.C. Section 1350, as adopted</w:t>
            </w:r>
          </w:p>
        </w:tc>
      </w:tr>
      <w:tr>
        <w:trPr>
          <w:trHeight w:val="252"/>
        </w:trPr>
        <w:tc>
          <w:tcPr>
            <w:tcW w:w="1060" w:type="dxa"/>
            <w:vAlign w:val="bottom"/>
            <w:tcBorders>
              <w:left w:val="single" w:sz="8" w:color="auto"/>
              <w:bottom w:val="single" w:sz="8" w:color="auto"/>
              <w:right w:val="single" w:sz="8" w:color="auto"/>
            </w:tcBorders>
          </w:tcPr>
          <w:p>
            <w:pPr>
              <w:spacing w:after="0"/>
              <w:rPr>
                <w:sz w:val="21"/>
                <w:szCs w:val="21"/>
                <w:color w:val="auto"/>
              </w:rPr>
            </w:pPr>
          </w:p>
        </w:tc>
        <w:tc>
          <w:tcPr>
            <w:tcW w:w="8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pursuant to section 906 of The Sarbanes-Oxley Act of 2002</w:t>
            </w:r>
          </w:p>
        </w:tc>
      </w:tr>
      <w:tr>
        <w:trPr>
          <w:trHeight w:val="199"/>
        </w:trPr>
        <w:tc>
          <w:tcPr>
            <w:tcW w:w="1060" w:type="dxa"/>
            <w:vAlign w:val="bottom"/>
            <w:tcBorders>
              <w:left w:val="single" w:sz="8" w:color="auto"/>
              <w:right w:val="single" w:sz="8" w:color="auto"/>
            </w:tcBorders>
          </w:tcPr>
          <w:p>
            <w:pPr>
              <w:ind w:left="80"/>
              <w:spacing w:after="0" w:line="199" w:lineRule="exact"/>
              <w:rPr>
                <w:sz w:val="20"/>
                <w:szCs w:val="20"/>
                <w:color w:val="auto"/>
              </w:rPr>
            </w:pPr>
            <w:r>
              <w:rPr>
                <w:rFonts w:ascii="Times New Roman" w:cs="Times New Roman" w:eastAsia="Times New Roman" w:hAnsi="Times New Roman"/>
                <w:sz w:val="20"/>
                <w:szCs w:val="20"/>
                <w:color w:val="auto"/>
              </w:rPr>
              <w:t>97.1</w:t>
            </w:r>
          </w:p>
        </w:tc>
        <w:tc>
          <w:tcPr>
            <w:tcW w:w="8660" w:type="dxa"/>
            <w:vAlign w:val="bottom"/>
            <w:tcBorders>
              <w:right w:val="single" w:sz="8" w:color="auto"/>
            </w:tcBorders>
          </w:tcPr>
          <w:p>
            <w:pPr>
              <w:ind w:left="60"/>
              <w:spacing w:after="0" w:line="199" w:lineRule="exact"/>
              <w:rPr>
                <w:sz w:val="20"/>
                <w:szCs w:val="20"/>
                <w:color w:val="auto"/>
              </w:rPr>
            </w:pPr>
            <w:r>
              <w:rPr>
                <w:rFonts w:ascii="Times New Roman" w:cs="Times New Roman" w:eastAsia="Times New Roman" w:hAnsi="Times New Roman"/>
                <w:sz w:val="20"/>
                <w:szCs w:val="20"/>
                <w:color w:val="auto"/>
              </w:rPr>
              <w:t>Incentive Compensation Recoupment Policy (incorporated herein by reference to Exhibit 97.1 to the</w:t>
            </w:r>
          </w:p>
        </w:tc>
      </w:tr>
      <w:tr>
        <w:trPr>
          <w:trHeight w:val="252"/>
        </w:trPr>
        <w:tc>
          <w:tcPr>
            <w:tcW w:w="1060" w:type="dxa"/>
            <w:vAlign w:val="bottom"/>
            <w:tcBorders>
              <w:left w:val="single" w:sz="8" w:color="auto"/>
              <w:bottom w:val="single" w:sz="8" w:color="auto"/>
              <w:right w:val="single" w:sz="8" w:color="auto"/>
            </w:tcBorders>
          </w:tcPr>
          <w:p>
            <w:pPr>
              <w:spacing w:after="0"/>
              <w:rPr>
                <w:sz w:val="21"/>
                <w:szCs w:val="21"/>
                <w:color w:val="auto"/>
              </w:rPr>
            </w:pPr>
          </w:p>
        </w:tc>
        <w:tc>
          <w:tcPr>
            <w:tcW w:w="8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Registrant’s Annual Report on Form 10-K (File No. 001-38899), filed with the SEC on March 21, 2024).</w:t>
            </w:r>
          </w:p>
        </w:tc>
      </w:tr>
      <w:tr>
        <w:trPr>
          <w:trHeight w:val="220"/>
        </w:trPr>
        <w:tc>
          <w:tcPr>
            <w:tcW w:w="1060" w:type="dxa"/>
            <w:vAlign w:val="bottom"/>
            <w:tcBorders>
              <w:left w:val="single" w:sz="8" w:color="auto"/>
              <w:bottom w:val="single" w:sz="8" w:color="auto"/>
              <w:right w:val="single" w:sz="8" w:color="auto"/>
            </w:tcBorders>
          </w:tcPr>
          <w:p>
            <w:pPr>
              <w:ind w:left="80"/>
              <w:spacing w:after="0" w:line="220" w:lineRule="exact"/>
              <w:rPr>
                <w:sz w:val="20"/>
                <w:szCs w:val="20"/>
                <w:color w:val="auto"/>
              </w:rPr>
            </w:pPr>
            <w:r>
              <w:rPr>
                <w:rFonts w:ascii="Times New Roman" w:cs="Times New Roman" w:eastAsia="Times New Roman" w:hAnsi="Times New Roman"/>
                <w:sz w:val="20"/>
                <w:szCs w:val="20"/>
                <w:color w:val="auto"/>
              </w:rPr>
              <w:t>101.INS</w:t>
            </w:r>
          </w:p>
        </w:tc>
        <w:tc>
          <w:tcPr>
            <w:tcW w:w="8660" w:type="dxa"/>
            <w:vAlign w:val="bottom"/>
            <w:tcBorders>
              <w:bottom w:val="single" w:sz="8" w:color="auto"/>
              <w:right w:val="single" w:sz="8" w:color="auto"/>
            </w:tcBorders>
          </w:tcPr>
          <w:p>
            <w:pPr>
              <w:ind w:left="60"/>
              <w:spacing w:after="0" w:line="220" w:lineRule="exact"/>
              <w:rPr>
                <w:sz w:val="20"/>
                <w:szCs w:val="20"/>
                <w:color w:val="auto"/>
              </w:rPr>
            </w:pPr>
            <w:r>
              <w:rPr>
                <w:rFonts w:ascii="Times New Roman" w:cs="Times New Roman" w:eastAsia="Times New Roman" w:hAnsi="Times New Roman"/>
                <w:sz w:val="20"/>
                <w:szCs w:val="20"/>
                <w:color w:val="auto"/>
              </w:rPr>
              <w:t>Inline XBRL Instance Document</w:t>
            </w:r>
          </w:p>
        </w:tc>
      </w:tr>
      <w:tr>
        <w:trPr>
          <w:trHeight w:val="220"/>
        </w:trPr>
        <w:tc>
          <w:tcPr>
            <w:tcW w:w="1060" w:type="dxa"/>
            <w:vAlign w:val="bottom"/>
            <w:tcBorders>
              <w:left w:val="single" w:sz="8" w:color="auto"/>
              <w:bottom w:val="single" w:sz="8" w:color="auto"/>
              <w:right w:val="single" w:sz="8" w:color="auto"/>
            </w:tcBorders>
          </w:tcPr>
          <w:p>
            <w:pPr>
              <w:ind w:left="80"/>
              <w:spacing w:after="0" w:line="220" w:lineRule="exact"/>
              <w:rPr>
                <w:sz w:val="20"/>
                <w:szCs w:val="20"/>
                <w:color w:val="auto"/>
              </w:rPr>
            </w:pPr>
            <w:r>
              <w:rPr>
                <w:rFonts w:ascii="Times New Roman" w:cs="Times New Roman" w:eastAsia="Times New Roman" w:hAnsi="Times New Roman"/>
                <w:sz w:val="20"/>
                <w:szCs w:val="20"/>
                <w:color w:val="auto"/>
              </w:rPr>
              <w:t>101.SCH</w:t>
            </w:r>
          </w:p>
        </w:tc>
        <w:tc>
          <w:tcPr>
            <w:tcW w:w="8660" w:type="dxa"/>
            <w:vAlign w:val="bottom"/>
            <w:tcBorders>
              <w:bottom w:val="single" w:sz="8" w:color="auto"/>
              <w:right w:val="single" w:sz="8" w:color="auto"/>
            </w:tcBorders>
          </w:tcPr>
          <w:p>
            <w:pPr>
              <w:ind w:left="60"/>
              <w:spacing w:after="0" w:line="220" w:lineRule="exact"/>
              <w:rPr>
                <w:sz w:val="20"/>
                <w:szCs w:val="20"/>
                <w:color w:val="auto"/>
              </w:rPr>
            </w:pPr>
            <w:r>
              <w:rPr>
                <w:rFonts w:ascii="Times New Roman" w:cs="Times New Roman" w:eastAsia="Times New Roman" w:hAnsi="Times New Roman"/>
                <w:sz w:val="20"/>
                <w:szCs w:val="20"/>
                <w:color w:val="auto"/>
              </w:rPr>
              <w:t>Inline XBRL Taxonomy Extension Schema Document</w:t>
            </w:r>
          </w:p>
        </w:tc>
      </w:tr>
      <w:tr>
        <w:trPr>
          <w:trHeight w:val="220"/>
        </w:trPr>
        <w:tc>
          <w:tcPr>
            <w:tcW w:w="1060" w:type="dxa"/>
            <w:vAlign w:val="bottom"/>
            <w:tcBorders>
              <w:left w:val="single" w:sz="8" w:color="auto"/>
              <w:bottom w:val="single" w:sz="8" w:color="auto"/>
              <w:right w:val="single" w:sz="8" w:color="auto"/>
            </w:tcBorders>
          </w:tcPr>
          <w:p>
            <w:pPr>
              <w:ind w:left="80"/>
              <w:spacing w:after="0" w:line="220" w:lineRule="exact"/>
              <w:rPr>
                <w:sz w:val="20"/>
                <w:szCs w:val="20"/>
                <w:color w:val="auto"/>
              </w:rPr>
            </w:pPr>
            <w:r>
              <w:rPr>
                <w:rFonts w:ascii="Times New Roman" w:cs="Times New Roman" w:eastAsia="Times New Roman" w:hAnsi="Times New Roman"/>
                <w:sz w:val="20"/>
                <w:szCs w:val="20"/>
                <w:color w:val="auto"/>
              </w:rPr>
              <w:t>101.CAL</w:t>
            </w:r>
          </w:p>
        </w:tc>
        <w:tc>
          <w:tcPr>
            <w:tcW w:w="8660" w:type="dxa"/>
            <w:vAlign w:val="bottom"/>
            <w:tcBorders>
              <w:bottom w:val="single" w:sz="8" w:color="auto"/>
              <w:right w:val="single" w:sz="8" w:color="auto"/>
            </w:tcBorders>
          </w:tcPr>
          <w:p>
            <w:pPr>
              <w:ind w:left="60"/>
              <w:spacing w:after="0" w:line="220" w:lineRule="exact"/>
              <w:rPr>
                <w:sz w:val="20"/>
                <w:szCs w:val="20"/>
                <w:color w:val="auto"/>
              </w:rPr>
            </w:pPr>
            <w:r>
              <w:rPr>
                <w:rFonts w:ascii="Times New Roman" w:cs="Times New Roman" w:eastAsia="Times New Roman" w:hAnsi="Times New Roman"/>
                <w:sz w:val="20"/>
                <w:szCs w:val="20"/>
                <w:color w:val="auto"/>
              </w:rPr>
              <w:t>Inline XBRL Taxonomy Extension Calculation Linkbase Documen t</w:t>
            </w:r>
          </w:p>
        </w:tc>
      </w:tr>
      <w:tr>
        <w:trPr>
          <w:trHeight w:val="220"/>
        </w:trPr>
        <w:tc>
          <w:tcPr>
            <w:tcW w:w="1060" w:type="dxa"/>
            <w:vAlign w:val="bottom"/>
            <w:tcBorders>
              <w:left w:val="single" w:sz="8" w:color="auto"/>
              <w:bottom w:val="single" w:sz="8" w:color="auto"/>
              <w:right w:val="single" w:sz="8" w:color="auto"/>
            </w:tcBorders>
          </w:tcPr>
          <w:p>
            <w:pPr>
              <w:ind w:left="80"/>
              <w:spacing w:after="0" w:line="220" w:lineRule="exact"/>
              <w:rPr>
                <w:sz w:val="20"/>
                <w:szCs w:val="20"/>
                <w:color w:val="auto"/>
              </w:rPr>
            </w:pPr>
            <w:r>
              <w:rPr>
                <w:rFonts w:ascii="Times New Roman" w:cs="Times New Roman" w:eastAsia="Times New Roman" w:hAnsi="Times New Roman"/>
                <w:sz w:val="20"/>
                <w:szCs w:val="20"/>
                <w:color w:val="auto"/>
              </w:rPr>
              <w:t>101.DEF</w:t>
            </w:r>
          </w:p>
        </w:tc>
        <w:tc>
          <w:tcPr>
            <w:tcW w:w="8660" w:type="dxa"/>
            <w:vAlign w:val="bottom"/>
            <w:tcBorders>
              <w:bottom w:val="single" w:sz="8" w:color="auto"/>
              <w:right w:val="single" w:sz="8" w:color="auto"/>
            </w:tcBorders>
          </w:tcPr>
          <w:p>
            <w:pPr>
              <w:ind w:left="60"/>
              <w:spacing w:after="0" w:line="220" w:lineRule="exact"/>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r>
      <w:tr>
        <w:trPr>
          <w:trHeight w:val="220"/>
        </w:trPr>
        <w:tc>
          <w:tcPr>
            <w:tcW w:w="1060" w:type="dxa"/>
            <w:vAlign w:val="bottom"/>
            <w:tcBorders>
              <w:left w:val="single" w:sz="8" w:color="auto"/>
              <w:bottom w:val="single" w:sz="8" w:color="auto"/>
              <w:right w:val="single" w:sz="8" w:color="auto"/>
            </w:tcBorders>
          </w:tcPr>
          <w:p>
            <w:pPr>
              <w:ind w:left="80"/>
              <w:spacing w:after="0" w:line="220" w:lineRule="exact"/>
              <w:rPr>
                <w:sz w:val="20"/>
                <w:szCs w:val="20"/>
                <w:color w:val="auto"/>
              </w:rPr>
            </w:pPr>
            <w:r>
              <w:rPr>
                <w:rFonts w:ascii="Times New Roman" w:cs="Times New Roman" w:eastAsia="Times New Roman" w:hAnsi="Times New Roman"/>
                <w:sz w:val="20"/>
                <w:szCs w:val="20"/>
                <w:color w:val="auto"/>
              </w:rPr>
              <w:t>101.LAB</w:t>
            </w:r>
          </w:p>
        </w:tc>
        <w:tc>
          <w:tcPr>
            <w:tcW w:w="8660" w:type="dxa"/>
            <w:vAlign w:val="bottom"/>
            <w:tcBorders>
              <w:bottom w:val="single" w:sz="8" w:color="auto"/>
              <w:right w:val="single" w:sz="8" w:color="auto"/>
            </w:tcBorders>
          </w:tcPr>
          <w:p>
            <w:pPr>
              <w:ind w:left="60"/>
              <w:spacing w:after="0" w:line="220" w:lineRule="exact"/>
              <w:rPr>
                <w:sz w:val="20"/>
                <w:szCs w:val="20"/>
                <w:color w:val="auto"/>
              </w:rPr>
            </w:pPr>
            <w:r>
              <w:rPr>
                <w:rFonts w:ascii="Times New Roman" w:cs="Times New Roman" w:eastAsia="Times New Roman" w:hAnsi="Times New Roman"/>
                <w:sz w:val="20"/>
                <w:szCs w:val="20"/>
                <w:color w:val="auto"/>
              </w:rPr>
              <w:t>Inline XBRL Taxonomy Extension Label Linkbase Document</w:t>
            </w:r>
          </w:p>
        </w:tc>
      </w:tr>
      <w:tr>
        <w:trPr>
          <w:trHeight w:val="220"/>
        </w:trPr>
        <w:tc>
          <w:tcPr>
            <w:tcW w:w="1060" w:type="dxa"/>
            <w:vAlign w:val="bottom"/>
            <w:tcBorders>
              <w:left w:val="single" w:sz="8" w:color="auto"/>
              <w:bottom w:val="single" w:sz="8" w:color="auto"/>
              <w:right w:val="single" w:sz="8" w:color="auto"/>
            </w:tcBorders>
          </w:tcPr>
          <w:p>
            <w:pPr>
              <w:ind w:left="80"/>
              <w:spacing w:after="0" w:line="220" w:lineRule="exact"/>
              <w:rPr>
                <w:sz w:val="20"/>
                <w:szCs w:val="20"/>
                <w:color w:val="auto"/>
              </w:rPr>
            </w:pPr>
            <w:r>
              <w:rPr>
                <w:rFonts w:ascii="Times New Roman" w:cs="Times New Roman" w:eastAsia="Times New Roman" w:hAnsi="Times New Roman"/>
                <w:sz w:val="20"/>
                <w:szCs w:val="20"/>
                <w:color w:val="auto"/>
              </w:rPr>
              <w:t>101.PRE</w:t>
            </w:r>
          </w:p>
        </w:tc>
        <w:tc>
          <w:tcPr>
            <w:tcW w:w="8660" w:type="dxa"/>
            <w:vAlign w:val="bottom"/>
            <w:tcBorders>
              <w:bottom w:val="single" w:sz="8" w:color="auto"/>
              <w:right w:val="single" w:sz="8" w:color="auto"/>
            </w:tcBorders>
          </w:tcPr>
          <w:p>
            <w:pPr>
              <w:ind w:left="60"/>
              <w:spacing w:after="0" w:line="220" w:lineRule="exact"/>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r>
      <w:tr>
        <w:trPr>
          <w:trHeight w:val="198"/>
        </w:trPr>
        <w:tc>
          <w:tcPr>
            <w:tcW w:w="1060" w:type="dxa"/>
            <w:vAlign w:val="bottom"/>
            <w:tcBorders>
              <w:left w:val="single" w:sz="8" w:color="auto"/>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20"/>
                <w:szCs w:val="20"/>
                <w:color w:val="auto"/>
              </w:rPr>
              <w:t>104</w:t>
            </w:r>
          </w:p>
        </w:tc>
        <w:tc>
          <w:tcPr>
            <w:tcW w:w="8660" w:type="dxa"/>
            <w:vAlign w:val="bottom"/>
            <w:tcBorders>
              <w:right w:val="single" w:sz="8" w:color="auto"/>
            </w:tcBorders>
          </w:tcPr>
          <w:p>
            <w:pPr>
              <w:ind w:left="60"/>
              <w:spacing w:after="0" w:line="198" w:lineRule="exact"/>
              <w:rPr>
                <w:sz w:val="20"/>
                <w:szCs w:val="20"/>
                <w:color w:val="auto"/>
              </w:rPr>
            </w:pPr>
            <w:r>
              <w:rPr>
                <w:rFonts w:ascii="Times New Roman" w:cs="Times New Roman" w:eastAsia="Times New Roman" w:hAnsi="Times New Roman"/>
                <w:sz w:val="20"/>
                <w:szCs w:val="20"/>
                <w:color w:val="auto"/>
              </w:rPr>
              <w:t>Cover Page Interactive Data File (formatted as inline XBRL with applicable taxonomy extension</w:t>
            </w:r>
          </w:p>
        </w:tc>
      </w:tr>
      <w:tr>
        <w:trPr>
          <w:trHeight w:val="252"/>
        </w:trPr>
        <w:tc>
          <w:tcPr>
            <w:tcW w:w="1060" w:type="dxa"/>
            <w:vAlign w:val="bottom"/>
            <w:tcBorders>
              <w:left w:val="single" w:sz="8" w:color="auto"/>
              <w:bottom w:val="single" w:sz="8" w:color="auto"/>
              <w:right w:val="single" w:sz="8" w:color="auto"/>
            </w:tcBorders>
          </w:tcPr>
          <w:p>
            <w:pPr>
              <w:spacing w:after="0"/>
              <w:rPr>
                <w:sz w:val="21"/>
                <w:szCs w:val="21"/>
                <w:color w:val="auto"/>
              </w:rPr>
            </w:pPr>
          </w:p>
        </w:tc>
        <w:tc>
          <w:tcPr>
            <w:tcW w:w="8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information contained in Exhibit 101)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136525</wp:posOffset>
                </wp:positionV>
                <wp:extent cx="154178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3">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0.75pt" to="121.65pt,10.75pt" o:allowincell="f" strokecolor="#000000" strokeweight="1.0199pt"/>
            </w:pict>
          </mc:Fallback>
        </mc:AlternateContent>
      </w:r>
    </w:p>
    <w:p>
      <w:pPr>
        <w:spacing w:after="0" w:line="235" w:lineRule="exact"/>
        <w:rPr>
          <w:sz w:val="20"/>
          <w:szCs w:val="20"/>
          <w:color w:val="auto"/>
        </w:rPr>
      </w:pPr>
    </w:p>
    <w:p>
      <w:pPr>
        <w:ind w:left="720" w:hanging="713"/>
        <w:spacing w:after="0" w:line="280" w:lineRule="auto"/>
        <w:tabs>
          <w:tab w:leader="none" w:pos="7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portions of this exhibit have been omitted pursuant to Item 601(b)(10) of Regulation S-K. The Registrant hereby undertakes to furnish to the SEC, upon request, copies of any such instruments.</w:t>
      </w:r>
    </w:p>
    <w:p>
      <w:pPr>
        <w:spacing w:after="0" w:line="164" w:lineRule="exact"/>
        <w:rPr>
          <w:sz w:val="20"/>
          <w:szCs w:val="20"/>
          <w:color w:val="auto"/>
        </w:rPr>
      </w:pPr>
    </w:p>
    <w:p>
      <w:pPr>
        <w:ind w:left="720" w:hanging="713"/>
        <w:spacing w:after="0" w:line="279" w:lineRule="auto"/>
        <w:tabs>
          <w:tab w:leader="none" w:pos="72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In accordance with Item 601(b)(10)(iv) of Regulation S-K, certain information (indicated by “[***]”) has been excluded from this exhibit.</w:t>
      </w:r>
    </w:p>
    <w:p>
      <w:pPr>
        <w:spacing w:after="0" w:line="164" w:lineRule="exact"/>
        <w:rPr>
          <w:sz w:val="20"/>
          <w:szCs w:val="20"/>
          <w:color w:val="auto"/>
        </w:rPr>
      </w:pPr>
    </w:p>
    <w:p>
      <w:pPr>
        <w:ind w:left="720" w:hanging="713"/>
        <w:spacing w:after="0"/>
        <w:tabs>
          <w:tab w:leader="none" w:pos="7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Indicates a management contract or compensatory plan</w:t>
      </w:r>
    </w:p>
    <w:p>
      <w:pPr>
        <w:sectPr>
          <w:pgSz w:w="11880" w:h="15480" w:orient="portrait"/>
          <w:cols w:equalWidth="0" w:num="1">
            <w:col w:w="9720"/>
          </w:cols>
          <w:pgMar w:left="1080" w:top="1055"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130</w:t>
      </w:r>
    </w:p>
    <w:p>
      <w:pPr>
        <w:sectPr>
          <w:pgSz w:w="11880" w:h="15480" w:orient="portrait"/>
          <w:cols w:equalWidth="0" w:num="1">
            <w:col w:w="9720"/>
          </w:cols>
          <w:pgMar w:left="1080" w:top="1055" w:right="1080" w:bottom="544" w:gutter="0" w:footer="0" w:header="0"/>
          <w:type w:val="continuous"/>
        </w:sectPr>
      </w:pPr>
    </w:p>
    <w:bookmarkStart w:id="132" w:name="page133"/>
    <w:bookmarkEnd w:id="132"/>
    <w:p>
      <w:pPr>
        <w:jc w:val="both"/>
        <w:ind w:firstLine="7"/>
        <w:spacing w:after="0" w:line="253" w:lineRule="auto"/>
        <w:tabs>
          <w:tab w:leader="none" w:pos="72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These certifications are being furnished solely to accompany this Annual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20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16.</w:t>
      </w:r>
      <w:r>
        <w:rPr>
          <w:sz w:val="20"/>
          <w:szCs w:val="20"/>
          <w:color w:val="auto"/>
        </w:rPr>
        <w:tab/>
      </w:r>
      <w:r>
        <w:rPr>
          <w:rFonts w:ascii="Times New Roman" w:cs="Times New Roman" w:eastAsia="Times New Roman" w:hAnsi="Times New Roman"/>
          <w:sz w:val="19"/>
          <w:szCs w:val="19"/>
          <w:b w:val="1"/>
          <w:bCs w:val="1"/>
          <w:color w:val="auto"/>
        </w:rPr>
        <w:t>FORM 10-K SUMMARY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131</w:t>
      </w:r>
    </w:p>
    <w:p>
      <w:pPr>
        <w:sectPr>
          <w:pgSz w:w="11880" w:h="15480" w:orient="portrait"/>
          <w:cols w:equalWidth="0" w:num="1">
            <w:col w:w="9720"/>
          </w:cols>
          <w:pgMar w:left="1080" w:top="1064" w:right="1080" w:bottom="544"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20"/>
          <w:szCs w:val="20"/>
          <w:b w:val="1"/>
          <w:bCs w:val="1"/>
          <w:u w:val="single" w:color="auto"/>
          <w:color w:val="auto"/>
        </w:rPr>
        <w:t>SIGNATURES</w:t>
      </w:r>
    </w:p>
    <w:p>
      <w:pPr>
        <w:spacing w:after="0" w:line="24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Company has duly caused this report to be signed on its behalf by the undersigned, thereunto duly authorized.</w:t>
      </w:r>
    </w:p>
    <w:p>
      <w:pPr>
        <w:spacing w:after="0" w:line="18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b w:val="1"/>
          <w:bCs w:val="1"/>
          <w:color w:val="auto"/>
        </w:rPr>
        <w:t>Milestone Pharmaceuticals Inc.</w:t>
      </w:r>
    </w:p>
    <w:p>
      <w:pPr>
        <w:spacing w:after="0" w:line="234" w:lineRule="exact"/>
        <w:rPr>
          <w:sz w:val="20"/>
          <w:szCs w:val="20"/>
          <w:color w:val="auto"/>
        </w:rPr>
      </w:pPr>
    </w:p>
    <w:p>
      <w:pPr>
        <w:spacing w:after="0"/>
        <w:tabs>
          <w:tab w:leader="none" w:pos="4840" w:val="left"/>
        </w:tabs>
        <w:rPr>
          <w:sz w:val="20"/>
          <w:szCs w:val="20"/>
          <w:color w:val="auto"/>
        </w:rPr>
      </w:pPr>
      <w:r>
        <w:rPr>
          <w:rFonts w:ascii="Times New Roman" w:cs="Times New Roman" w:eastAsia="Times New Roman" w:hAnsi="Times New Roman"/>
          <w:sz w:val="20"/>
          <w:szCs w:val="20"/>
          <w:color w:val="auto"/>
        </w:rPr>
        <w:t>Dated: March 20, 2026</w:t>
      </w:r>
      <w:r>
        <w:rPr>
          <w:sz w:val="20"/>
          <w:szCs w:val="20"/>
          <w:color w:val="auto"/>
        </w:rPr>
        <w:tab/>
      </w:r>
      <w:r>
        <w:rPr>
          <w:rFonts w:ascii="Times New Roman" w:cs="Times New Roman" w:eastAsia="Times New Roman" w:hAnsi="Times New Roman"/>
          <w:sz w:val="20"/>
          <w:szCs w:val="20"/>
          <w:color w:val="auto"/>
        </w:rPr>
        <w:t>/s/ Joseph Oliveto</w:t>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Joseph Oliveto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3086100</wp:posOffset>
                </wp:positionH>
                <wp:positionV relativeFrom="paragraph">
                  <wp:posOffset>-134620</wp:posOffset>
                </wp:positionV>
                <wp:extent cx="308102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81020" cy="4763"/>
                        </a:xfrm>
                        <a:prstGeom prst="line">
                          <a:avLst/>
                        </a:prstGeom>
                        <a:solidFill>
                          <a:srgbClr val="FFFFFF"/>
                        </a:solidFill>
                        <a:ln w="6121">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3pt,-10.5999pt" to="485.6pt,-10.5999pt" o:allowincell="f" strokecolor="#000000" strokeweight="0.482pt"/>
            </w:pict>
          </mc:Fallback>
        </mc:AlternateContent>
      </w:r>
    </w:p>
    <w:p>
      <w:pPr>
        <w:ind w:left="486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KNOW ALL BY THESE PRESENTS, that each person whose signature appears below constitutes and appoints Joseph Oliveto and Amit Hasija, and each of them, as his or her true and lawful attorneys-in-fact and agents, each with the full power of substitution, for him or her and in his or her name, place or stead, in any and all capacities, to sign any and all amendments to this report,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his substitute or substitutes, may lawfully do or cause to be done by virtue hereof.</w:t>
      </w:r>
    </w:p>
    <w:p>
      <w:pPr>
        <w:spacing w:after="0" w:line="203"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Company and in the capacities indicated on the 20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of March 2026.</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Joseph Oliveto</w:t>
            </w:r>
          </w:p>
        </w:tc>
        <w:tc>
          <w:tcPr>
            <w:tcW w:w="4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Chief Executive Officer and Director</w:t>
            </w:r>
          </w:p>
        </w:tc>
      </w:tr>
      <w:tr>
        <w:trPr>
          <w:trHeight w:val="268"/>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Joseph Oliveto</w:t>
            </w:r>
          </w:p>
        </w:tc>
        <w:tc>
          <w:tcPr>
            <w:tcW w:w="4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(principal executive officer)</w:t>
            </w:r>
          </w:p>
        </w:tc>
      </w:tr>
      <w:tr>
        <w:trPr>
          <w:trHeight w:val="411"/>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Amit Hasija</w:t>
            </w:r>
          </w:p>
        </w:tc>
        <w:tc>
          <w:tcPr>
            <w:tcW w:w="4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268"/>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Amit Hasija</w:t>
            </w:r>
          </w:p>
        </w:tc>
        <w:tc>
          <w:tcPr>
            <w:tcW w:w="498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9"/>
              </w:rPr>
              <w:t>(principal financial officer and principal accounting officer)</w:t>
            </w:r>
          </w:p>
        </w:tc>
      </w:tr>
      <w:tr>
        <w:trPr>
          <w:trHeight w:val="422"/>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Robert J. Wills</w:t>
            </w:r>
          </w:p>
        </w:tc>
        <w:tc>
          <w:tcPr>
            <w:tcW w:w="4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Chairman of the Board</w:t>
            </w:r>
          </w:p>
        </w:tc>
      </w:tr>
      <w:tr>
        <w:trPr>
          <w:trHeight w:val="258"/>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Robert Wills</w:t>
            </w:r>
          </w:p>
        </w:tc>
        <w:tc>
          <w:tcPr>
            <w:tcW w:w="4980" w:type="dxa"/>
            <w:vAlign w:val="bottom"/>
          </w:tcPr>
          <w:p>
            <w:pPr>
              <w:spacing w:after="0"/>
              <w:rPr>
                <w:sz w:val="22"/>
                <w:szCs w:val="22"/>
                <w:color w:val="auto"/>
              </w:rPr>
            </w:pPr>
          </w:p>
        </w:tc>
      </w:tr>
      <w:tr>
        <w:trPr>
          <w:trHeight w:val="422"/>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Seth Fischer</w:t>
            </w:r>
          </w:p>
        </w:tc>
        <w:tc>
          <w:tcPr>
            <w:tcW w:w="4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Director</w:t>
            </w:r>
          </w:p>
        </w:tc>
      </w:tr>
      <w:tr>
        <w:trPr>
          <w:trHeight w:val="258"/>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Seth Fischer</w:t>
            </w:r>
          </w:p>
        </w:tc>
        <w:tc>
          <w:tcPr>
            <w:tcW w:w="4980" w:type="dxa"/>
            <w:vAlign w:val="bottom"/>
          </w:tcPr>
          <w:p>
            <w:pPr>
              <w:spacing w:after="0"/>
              <w:rPr>
                <w:sz w:val="22"/>
                <w:szCs w:val="22"/>
                <w:color w:val="auto"/>
              </w:rPr>
            </w:pPr>
          </w:p>
        </w:tc>
      </w:tr>
      <w:tr>
        <w:trPr>
          <w:trHeight w:val="423"/>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Lisa Giles</w:t>
            </w:r>
          </w:p>
        </w:tc>
        <w:tc>
          <w:tcPr>
            <w:tcW w:w="4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Director</w:t>
            </w:r>
          </w:p>
        </w:tc>
      </w:tr>
      <w:tr>
        <w:trPr>
          <w:trHeight w:val="258"/>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Lisa M. Giles</w:t>
            </w:r>
          </w:p>
        </w:tc>
        <w:tc>
          <w:tcPr>
            <w:tcW w:w="4980" w:type="dxa"/>
            <w:vAlign w:val="bottom"/>
          </w:tcPr>
          <w:p>
            <w:pPr>
              <w:spacing w:after="0"/>
              <w:rPr>
                <w:sz w:val="22"/>
                <w:szCs w:val="22"/>
                <w:color w:val="auto"/>
              </w:rPr>
            </w:pPr>
          </w:p>
        </w:tc>
      </w:tr>
      <w:tr>
        <w:trPr>
          <w:trHeight w:val="422"/>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Michael Tomsicek</w:t>
            </w:r>
          </w:p>
        </w:tc>
        <w:tc>
          <w:tcPr>
            <w:tcW w:w="4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Director</w:t>
            </w:r>
          </w:p>
        </w:tc>
      </w:tr>
      <w:tr>
        <w:trPr>
          <w:trHeight w:val="258"/>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Michael Tomsicek</w:t>
            </w:r>
          </w:p>
        </w:tc>
        <w:tc>
          <w:tcPr>
            <w:tcW w:w="4980" w:type="dxa"/>
            <w:vAlign w:val="bottom"/>
          </w:tcPr>
          <w:p>
            <w:pPr>
              <w:spacing w:after="0"/>
              <w:rPr>
                <w:sz w:val="22"/>
                <w:szCs w:val="22"/>
                <w:color w:val="auto"/>
              </w:rPr>
            </w:pPr>
          </w:p>
        </w:tc>
      </w:tr>
      <w:tr>
        <w:trPr>
          <w:trHeight w:val="422"/>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Andrew Saik</w:t>
            </w:r>
          </w:p>
        </w:tc>
        <w:tc>
          <w:tcPr>
            <w:tcW w:w="4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Director</w:t>
            </w:r>
          </w:p>
        </w:tc>
      </w:tr>
      <w:tr>
        <w:trPr>
          <w:trHeight w:val="258"/>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Andrew Saik</w:t>
            </w:r>
          </w:p>
        </w:tc>
        <w:tc>
          <w:tcPr>
            <w:tcW w:w="4980" w:type="dxa"/>
            <w:vAlign w:val="bottom"/>
          </w:tcPr>
          <w:p>
            <w:pPr>
              <w:spacing w:after="0"/>
              <w:rPr>
                <w:sz w:val="22"/>
                <w:szCs w:val="22"/>
                <w:color w:val="auto"/>
              </w:rPr>
            </w:pPr>
          </w:p>
        </w:tc>
      </w:tr>
      <w:tr>
        <w:trPr>
          <w:trHeight w:val="423"/>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Stuart Duty</w:t>
            </w:r>
          </w:p>
        </w:tc>
        <w:tc>
          <w:tcPr>
            <w:tcW w:w="4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Director</w:t>
            </w:r>
          </w:p>
        </w:tc>
      </w:tr>
      <w:tr>
        <w:trPr>
          <w:trHeight w:val="258"/>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Stuart Duty</w:t>
            </w:r>
          </w:p>
        </w:tc>
        <w:tc>
          <w:tcPr>
            <w:tcW w:w="4980" w:type="dxa"/>
            <w:vAlign w:val="bottom"/>
          </w:tcPr>
          <w:p>
            <w:pPr>
              <w:spacing w:after="0"/>
              <w:rPr>
                <w:sz w:val="22"/>
                <w:szCs w:val="22"/>
                <w:color w:val="auto"/>
              </w:rPr>
            </w:pPr>
          </w:p>
        </w:tc>
      </w:tr>
      <w:tr>
        <w:trPr>
          <w:trHeight w:val="422"/>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Joseph Papa</w:t>
            </w:r>
          </w:p>
        </w:tc>
        <w:tc>
          <w:tcPr>
            <w:tcW w:w="4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Director</w:t>
            </w:r>
          </w:p>
        </w:tc>
      </w:tr>
      <w:tr>
        <w:trPr>
          <w:trHeight w:val="258"/>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Joseph Papa</w:t>
            </w:r>
          </w:p>
        </w:tc>
        <w:tc>
          <w:tcPr>
            <w:tcW w:w="4980" w:type="dxa"/>
            <w:vAlign w:val="bottom"/>
          </w:tcPr>
          <w:p>
            <w:pPr>
              <w:spacing w:after="0"/>
              <w:rPr>
                <w:sz w:val="22"/>
                <w:szCs w:val="22"/>
                <w:color w:val="auto"/>
              </w:rPr>
            </w:pPr>
          </w:p>
        </w:tc>
      </w:tr>
    </w:tbl>
    <w:p>
      <w:pPr>
        <w:spacing w:after="0" w:line="200" w:lineRule="exact"/>
        <w:rPr>
          <w:sz w:val="20"/>
          <w:szCs w:val="20"/>
          <w:color w:val="auto"/>
        </w:rPr>
      </w:pPr>
    </w:p>
    <w:p>
      <w:pPr>
        <w:sectPr>
          <w:pgSz w:w="11880" w:h="15480" w:orient="portrait"/>
          <w:cols w:equalWidth="0" w:num="1">
            <w:col w:w="9720"/>
          </w:cols>
          <w:pgMar w:left="1080" w:top="1085"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132</w:t>
      </w:r>
    </w:p>
    <w:p>
      <w:pPr>
        <w:sectPr>
          <w:pgSz w:w="11880" w:h="15480" w:orient="portrait"/>
          <w:cols w:equalWidth="0" w:num="1">
            <w:col w:w="9720"/>
          </w:cols>
          <w:pgMar w:left="1080" w:top="1085" w:right="1080" w:bottom="544" w:gutter="0" w:footer="0" w:header="0"/>
          <w:type w:val="continuous"/>
        </w:sectPr>
      </w:pPr>
    </w:p>
    <w:bookmarkStart w:id="134" w:name="page135"/>
    <w:bookmarkEnd w:id="134"/>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35" w:name="page136"/>
    <w:bookmarkEnd w:id="135"/>
    <w:p>
      <w:pPr>
        <w:ind w:left="60"/>
        <w:spacing w:after="0"/>
        <w:rPr>
          <w:sz w:val="20"/>
          <w:szCs w:val="20"/>
          <w:color w:val="auto"/>
        </w:rPr>
      </w:pPr>
      <w:r>
        <w:rPr>
          <w:rFonts w:ascii="Times New Roman" w:cs="Times New Roman" w:eastAsia="Times New Roman" w:hAnsi="Times New Roman"/>
          <w:sz w:val="20"/>
          <w:szCs w:val="20"/>
          <w:b w:val="1"/>
          <w:bCs w:val="1"/>
          <w:color w:val="auto"/>
        </w:rPr>
        <w:t>EXECUTIVE OFFICERS</w:t>
      </w:r>
    </w:p>
    <w:p>
      <w:pPr>
        <w:spacing w:after="0" w:line="1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Joseph Oliveto</w:t>
      </w:r>
    </w:p>
    <w:p>
      <w:pPr>
        <w:spacing w:after="0" w:line="26"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President, Chief Executive Officer and Director</w:t>
      </w:r>
    </w:p>
    <w:p>
      <w:pPr>
        <w:spacing w:after="0" w:line="2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David Bharucha, M.D., PhD., FACC</w:t>
      </w:r>
    </w:p>
    <w:p>
      <w:pPr>
        <w:spacing w:after="0" w:line="30"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Chief Medical Officer</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Amit Hasija</w:t>
      </w:r>
    </w:p>
    <w:p>
      <w:pPr>
        <w:ind w:left="60"/>
        <w:spacing w:after="0"/>
        <w:rPr>
          <w:sz w:val="20"/>
          <w:szCs w:val="20"/>
          <w:color w:val="auto"/>
        </w:rPr>
      </w:pPr>
      <w:r>
        <w:rPr>
          <w:rFonts w:ascii="Arial" w:cs="Arial" w:eastAsia="Arial" w:hAnsi="Arial"/>
          <w:sz w:val="17"/>
          <w:szCs w:val="17"/>
          <w:b w:val="1"/>
          <w:bCs w:val="1"/>
          <w:color w:val="auto"/>
        </w:rPr>
        <w:t>Chief Financial Officer and Executive Vice President</w:t>
      </w:r>
    </w:p>
    <w:p>
      <w:pPr>
        <w:spacing w:after="0" w:line="61"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of Corporate Development</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Lorenz Muller</w:t>
      </w:r>
    </w:p>
    <w:p>
      <w:pPr>
        <w:spacing w:after="0" w:line="30"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Chief Commercial Officer</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Jeffrey Nelson</w:t>
      </w:r>
    </w:p>
    <w:p>
      <w:pPr>
        <w:spacing w:after="0" w:line="30"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Chief Operating Officer</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David Sandoval</w:t>
      </w:r>
    </w:p>
    <w:p>
      <w:pPr>
        <w:spacing w:after="0" w:line="30"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General Counsel and Chief Legal Officer</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OF DIRECTORS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Robert J. Wills</w:t>
      </w:r>
    </w:p>
    <w:p>
      <w:pPr>
        <w:spacing w:after="0" w:line="6"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Chairman</w:t>
      </w: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Stuart M. Duty</w:t>
      </w: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Seth H.Z. Fischer</w:t>
      </w:r>
    </w:p>
    <w:p>
      <w:pPr>
        <w:spacing w:after="0" w:line="2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Lisa M. Giles</w:t>
      </w: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Joseph Oliveto</w:t>
      </w:r>
    </w:p>
    <w:p>
      <w:pPr>
        <w:spacing w:after="0" w:line="2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Joseph C. Papa</w:t>
      </w: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Andrew R. Saik</w:t>
      </w:r>
    </w:p>
    <w:p>
      <w:pPr>
        <w:spacing w:after="0" w:line="2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Michael Tomsicek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b w:val="1"/>
          <w:bCs w:val="1"/>
          <w:color w:val="auto"/>
        </w:rPr>
        <w:t>LISTING</w:t>
      </w:r>
    </w:p>
    <w:p>
      <w:pPr>
        <w:spacing w:after="0" w:line="124" w:lineRule="exact"/>
        <w:rPr>
          <w:sz w:val="20"/>
          <w:szCs w:val="20"/>
          <w:color w:val="auto"/>
        </w:rPr>
      </w:pPr>
    </w:p>
    <w:p>
      <w:pPr>
        <w:ind w:right="240"/>
        <w:spacing w:after="0" w:line="346" w:lineRule="auto"/>
        <w:rPr>
          <w:sz w:val="20"/>
          <w:szCs w:val="20"/>
          <w:color w:val="auto"/>
        </w:rPr>
      </w:pPr>
      <w:r>
        <w:rPr>
          <w:rFonts w:ascii="Times New Roman" w:cs="Times New Roman" w:eastAsia="Times New Roman" w:hAnsi="Times New Roman"/>
          <w:sz w:val="20"/>
          <w:szCs w:val="20"/>
          <w:b w:val="1"/>
          <w:bCs w:val="1"/>
          <w:color w:val="auto"/>
        </w:rPr>
        <w:t xml:space="preserve">Our common stock is listed on Nasdaq under the ticker symbol </w:t>
      </w:r>
      <w:r>
        <w:rPr>
          <w:rFonts w:ascii="Arial" w:cs="Arial" w:eastAsia="Arial" w:hAnsi="Arial"/>
          <w:sz w:val="16"/>
          <w:szCs w:val="16"/>
          <w:b w:val="1"/>
          <w:bCs w:val="1"/>
          <w:color w:val="auto"/>
        </w:rPr>
        <w:t>“</w:t>
      </w:r>
      <w:r>
        <w:rPr>
          <w:rFonts w:ascii="Times New Roman" w:cs="Times New Roman" w:eastAsia="Times New Roman" w:hAnsi="Times New Roman"/>
          <w:sz w:val="20"/>
          <w:szCs w:val="20"/>
          <w:b w:val="1"/>
          <w:bCs w:val="1"/>
          <w:color w:val="auto"/>
        </w:rPr>
        <w:t xml:space="preserve"> MIST.</w:t>
      </w:r>
      <w:r>
        <w:rPr>
          <w:rFonts w:ascii="Arial" w:cs="Arial" w:eastAsia="Arial" w:hAnsi="Arial"/>
          <w:sz w:val="16"/>
          <w:szCs w:val="16"/>
          <w:b w:val="1"/>
          <w:bCs w:val="1"/>
          <w:color w:val="auto"/>
        </w:rPr>
        <w: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TRANSFER AGENT AND REGISTRAR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Computershare Investor Services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1500 Robert-Bourassa Boulevard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7th Floor</w:t>
      </w:r>
    </w:p>
    <w:p>
      <w:pPr>
        <w:spacing w:after="0"/>
        <w:rPr>
          <w:sz w:val="20"/>
          <w:szCs w:val="20"/>
          <w:color w:val="auto"/>
        </w:rPr>
      </w:pPr>
      <w:r>
        <w:rPr>
          <w:rFonts w:ascii="Times New Roman" w:cs="Times New Roman" w:eastAsia="Times New Roman" w:hAnsi="Times New Roman"/>
          <w:sz w:val="20"/>
          <w:szCs w:val="20"/>
          <w:b w:val="1"/>
          <w:bCs w:val="1"/>
          <w:color w:val="auto"/>
        </w:rPr>
        <w:t>Montréal, Quebec</w:t>
      </w:r>
    </w:p>
    <w:p>
      <w:pPr>
        <w:spacing w:after="0"/>
        <w:rPr>
          <w:sz w:val="20"/>
          <w:szCs w:val="20"/>
          <w:color w:val="auto"/>
        </w:rPr>
      </w:pPr>
      <w:r>
        <w:rPr>
          <w:rFonts w:ascii="Times New Roman" w:cs="Times New Roman" w:eastAsia="Times New Roman" w:hAnsi="Times New Roman"/>
          <w:sz w:val="20"/>
          <w:szCs w:val="20"/>
          <w:b w:val="1"/>
          <w:bCs w:val="1"/>
          <w:color w:val="auto"/>
        </w:rPr>
        <w:t>H3A 3S8</w:t>
      </w:r>
    </w:p>
    <w:p>
      <w:pPr>
        <w:ind w:right="1300"/>
        <w:spacing w:after="0" w:line="278" w:lineRule="auto"/>
        <w:rPr>
          <w:sz w:val="20"/>
          <w:szCs w:val="20"/>
          <w:color w:val="auto"/>
        </w:rPr>
      </w:pPr>
      <w:r>
        <w:rPr>
          <w:rFonts w:ascii="Times New Roman" w:cs="Times New Roman" w:eastAsia="Times New Roman" w:hAnsi="Times New Roman"/>
          <w:sz w:val="19"/>
          <w:szCs w:val="19"/>
          <w:b w:val="1"/>
          <w:bCs w:val="1"/>
          <w:color w:val="auto"/>
        </w:rPr>
        <w:t>www.computershare.com webqueries@computershare.com</w:t>
      </w:r>
    </w:p>
    <w:p>
      <w:pPr>
        <w:spacing w:after="0" w:line="273" w:lineRule="exact"/>
        <w:rPr>
          <w:sz w:val="20"/>
          <w:szCs w:val="20"/>
          <w:color w:val="auto"/>
        </w:rPr>
      </w:pPr>
    </w:p>
    <w:p>
      <w:pPr>
        <w:ind w:right="520"/>
        <w:spacing w:after="0" w:line="285" w:lineRule="auto"/>
        <w:rPr>
          <w:sz w:val="20"/>
          <w:szCs w:val="20"/>
          <w:color w:val="auto"/>
        </w:rPr>
      </w:pPr>
      <w:r>
        <w:rPr>
          <w:rFonts w:ascii="Times New Roman" w:cs="Times New Roman" w:eastAsia="Times New Roman" w:hAnsi="Times New Roman"/>
          <w:sz w:val="20"/>
          <w:szCs w:val="20"/>
          <w:b w:val="1"/>
          <w:bCs w:val="1"/>
          <w:color w:val="auto"/>
        </w:rPr>
        <w:t>INDEPENDENT REGISTERED PUBLIC ACCOUNTING FIRM</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PricewaterhouseCoopers LLP</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LEGAL COUNSEL</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Cooley LLP</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ANNUAL MEETING</w:t>
      </w:r>
    </w:p>
    <w:p>
      <w:pPr>
        <w:spacing w:after="0" w:line="121" w:lineRule="exact"/>
        <w:rPr>
          <w:sz w:val="20"/>
          <w:szCs w:val="20"/>
          <w:color w:val="auto"/>
        </w:rPr>
      </w:pPr>
    </w:p>
    <w:p>
      <w:pPr>
        <w:ind w:right="880"/>
        <w:spacing w:after="0" w:line="256" w:lineRule="auto"/>
        <w:rPr>
          <w:sz w:val="20"/>
          <w:szCs w:val="20"/>
          <w:color w:val="auto"/>
        </w:rPr>
      </w:pPr>
      <w:r>
        <w:rPr>
          <w:rFonts w:ascii="Times New Roman" w:cs="Times New Roman" w:eastAsia="Times New Roman" w:hAnsi="Times New Roman"/>
          <w:sz w:val="20"/>
          <w:szCs w:val="20"/>
          <w:b w:val="1"/>
          <w:bCs w:val="1"/>
          <w:color w:val="auto"/>
        </w:rPr>
        <w:t>June 10, 2026 at 11:00 a.m. Eastern time Virtual Meeting Only: https://meetnow.global/M7XP457</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121"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9"/>
          <w:szCs w:val="19"/>
          <w:b w:val="1"/>
          <w:bCs w:val="1"/>
          <w:color w:val="auto"/>
        </w:rPr>
        <w:t>A copy of our Form 10-K filed with the Securities and Exchange Commission (SEC) will be made</w:t>
      </w:r>
    </w:p>
    <w:p>
      <w:pPr>
        <w:spacing w:after="0"/>
        <w:rPr>
          <w:sz w:val="20"/>
          <w:szCs w:val="20"/>
          <w:color w:val="auto"/>
        </w:rPr>
      </w:pPr>
      <w:r>
        <w:rPr>
          <w:rFonts w:ascii="Times New Roman" w:cs="Times New Roman" w:eastAsia="Times New Roman" w:hAnsi="Times New Roman"/>
          <w:sz w:val="20"/>
          <w:szCs w:val="20"/>
          <w:b w:val="1"/>
          <w:bCs w:val="1"/>
          <w:color w:val="auto"/>
        </w:rPr>
        <w:t>available to all stockholders at no charge.</w:t>
      </w:r>
    </w:p>
    <w:p>
      <w:pPr>
        <w:spacing w:after="0" w:line="20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b w:val="1"/>
          <w:bCs w:val="1"/>
          <w:color w:val="auto"/>
        </w:rPr>
        <w:t>The Form 10-K also can be accessed through the SEC website at www.sec.gov, or through our</w:t>
      </w:r>
    </w:p>
    <w:p>
      <w:pPr>
        <w:spacing w:after="0" w:line="1" w:lineRule="exact"/>
        <w:rPr>
          <w:sz w:val="20"/>
          <w:szCs w:val="20"/>
          <w:color w:val="auto"/>
        </w:rPr>
      </w:pPr>
    </w:p>
    <w:p>
      <w:pPr>
        <w:ind w:right="1380"/>
        <w:spacing w:after="0" w:line="278" w:lineRule="auto"/>
        <w:rPr>
          <w:sz w:val="20"/>
          <w:szCs w:val="20"/>
          <w:color w:val="auto"/>
        </w:rPr>
      </w:pPr>
      <w:r>
        <w:rPr>
          <w:rFonts w:ascii="Times New Roman" w:cs="Times New Roman" w:eastAsia="Times New Roman" w:hAnsi="Times New Roman"/>
          <w:sz w:val="19"/>
          <w:szCs w:val="19"/>
          <w:b w:val="1"/>
          <w:bCs w:val="1"/>
          <w:color w:val="auto"/>
        </w:rPr>
        <w:t>Investor website at investors.milestonepharma.com.</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To receive a copy by mail please contact: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Relations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Milestone Pharmaceuticals Inc.</w:t>
      </w:r>
    </w:p>
    <w:p>
      <w:pPr>
        <w:ind w:right="340"/>
        <w:spacing w:after="0" w:line="247" w:lineRule="auto"/>
        <w:rPr>
          <w:sz w:val="20"/>
          <w:szCs w:val="20"/>
          <w:color w:val="auto"/>
        </w:rPr>
      </w:pPr>
      <w:r>
        <w:rPr>
          <w:rFonts w:ascii="Times New Roman" w:cs="Times New Roman" w:eastAsia="Times New Roman" w:hAnsi="Times New Roman"/>
          <w:sz w:val="20"/>
          <w:szCs w:val="20"/>
          <w:b w:val="1"/>
          <w:bCs w:val="1"/>
          <w:color w:val="auto"/>
        </w:rPr>
        <w:t>1111 Dr. Frederik- Philips Boulevard, Suite 420 Montréal, Québec, Canada H4M 2X6 ir@milestonepharma.com</w:t>
      </w:r>
    </w:p>
    <w:sectPr>
      <w:pgSz w:w="11880" w:h="15480" w:orient="portrait"/>
      <w:cols w:equalWidth="0" w:num="2">
        <w:col w:w="4380" w:space="720"/>
        <w:col w:w="4140"/>
      </w:cols>
      <w:pgMar w:left="1200" w:top="12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MS PMincho">
    <w:panose1 w:val="02020600040205080304"/>
    <w:charset w:val="80"/>
    <w:family w:val="roman"/>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
      <w:numFmt w:val="bullet"/>
      <w:start w:val="1"/>
    </w:lvl>
  </w:abstractNum>
  <w:abstractNum w:abstractNumId="3">
    <w:nsid w:val="54E49EB4"/>
    <w:multiLevelType w:val="hybridMultilevel"/>
    <w:lvl w:ilvl="0">
      <w:lvlJc w:val="left"/>
      <w:lvlText w:val=" "/>
      <w:numFmt w:val="bullet"/>
      <w:start w:val="1"/>
    </w:lvl>
  </w:abstractNum>
  <w:abstractNum w:abstractNumId="4">
    <w:nsid w:val="71F32454"/>
    <w:multiLevelType w:val="hybridMultilevel"/>
    <w:lvl w:ilvl="0">
      <w:lvlJc w:val="left"/>
      <w:lvlText w:val=" "/>
      <w:numFmt w:val="bullet"/>
      <w:start w:val="1"/>
    </w:lvl>
  </w:abstractNum>
  <w:abstractNum w:abstractNumId="5">
    <w:nsid w:val="2CA88611"/>
    <w:multiLevelType w:val="hybridMultilevel"/>
    <w:lvl w:ilvl="0">
      <w:lvlJc w:val="left"/>
      <w:lvlText w:val=" "/>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1"/>
      <w:numFmt w:val="decimal"/>
      <w:start w:val="1"/>
    </w:lvl>
  </w:abstractNum>
  <w:abstractNum w:abstractNumId="9">
    <w:nsid w:val="8138641"/>
    <w:multiLevelType w:val="hybridMultilevel"/>
    <w:lvl w:ilvl="0">
      <w:lvlJc w:val="left"/>
      <w:lvlText w:val=" "/>
      <w:numFmt w:val="bullet"/>
      <w:start w:val="1"/>
    </w:lvl>
  </w:abstractNum>
  <w:abstractNum w:abstractNumId="10">
    <w:nsid w:val="1E7FF521"/>
    <w:multiLevelType w:val="hybridMultilevel"/>
    <w:lvl w:ilvl="0">
      <w:lvlJc w:val="left"/>
      <w:lvlText w:val=" "/>
      <w:numFmt w:val="bullet"/>
      <w:start w:val="1"/>
    </w:lvl>
  </w:abstractNum>
  <w:abstractNum w:abstractNumId="11">
    <w:nsid w:val="7C3DBD3D"/>
    <w:multiLevelType w:val="hybridMultilevel"/>
    <w:lvl w:ilvl="0">
      <w:lvlJc w:val="left"/>
      <w:lvlText w:val=" "/>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
      <w:numFmt w:val="bullet"/>
      <w:start w:val="1"/>
    </w:lvl>
  </w:abstractNum>
  <w:abstractNum w:abstractNumId="15">
    <w:nsid w:val="4516DDE9"/>
    <w:multiLevelType w:val="hybridMultilevel"/>
    <w:lvl w:ilvl="0">
      <w:lvlJc w:val="left"/>
      <w:lvlText w:val=" "/>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1)"/>
      <w:numFmt w:val="decimal"/>
      <w:start w:val="20"/>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
      <w:numFmt w:val="bullet"/>
      <w:start w:val="1"/>
    </w:lvl>
  </w:abstractNum>
  <w:abstractNum w:abstractNumId="39">
    <w:nsid w:val="57E4CCAF"/>
    <w:multiLevelType w:val="hybridMultilevel"/>
    <w:lvl w:ilvl="0">
      <w:lvlJc w:val="left"/>
      <w:lvlText w:val=" "/>
      <w:numFmt w:val="bullet"/>
      <w:start w:val="1"/>
    </w:lvl>
  </w:abstractNum>
  <w:abstractNum w:abstractNumId="40">
    <w:nsid w:val="7A6D8D3C"/>
    <w:multiLevelType w:val="hybridMultilevel"/>
    <w:lvl w:ilvl="0">
      <w:lvlJc w:val="left"/>
      <w:lvlText w:val=" "/>
      <w:numFmt w:val="bullet"/>
      <w:start w:val="1"/>
    </w:lvl>
  </w:abstractNum>
  <w:abstractNum w:abstractNumId="41">
    <w:nsid w:val="4B588F54"/>
    <w:multiLevelType w:val="hybridMultilevel"/>
    <w:lvl w:ilvl="0">
      <w:lvlJc w:val="left"/>
      <w:lvlText w:val=" "/>
      <w:numFmt w:val="bullet"/>
      <w:start w:val="1"/>
    </w:lvl>
  </w:abstractNum>
  <w:abstractNum w:abstractNumId="42">
    <w:nsid w:val="542289EC"/>
    <w:multiLevelType w:val="hybridMultilevel"/>
    <w:lvl w:ilvl="0">
      <w:lvlJc w:val="left"/>
      <w:lvlText w:val="%1."/>
      <w:numFmt w:val="decimal"/>
      <w:start w:val="2"/>
    </w:lvl>
  </w:abstractNum>
  <w:abstractNum w:abstractNumId="43">
    <w:nsid w:val="6DE91B18"/>
    <w:multiLevelType w:val="hybridMultilevel"/>
    <w:lvl w:ilvl="0">
      <w:lvlJc w:val="left"/>
      <w:lvlText w:val=" "/>
      <w:numFmt w:val="bullet"/>
      <w:start w:val="1"/>
    </w:lvl>
  </w:abstractNum>
  <w:abstractNum w:abstractNumId="44">
    <w:nsid w:val="38437FDB"/>
    <w:multiLevelType w:val="hybridMultilevel"/>
    <w:lvl w:ilvl="0">
      <w:lvlJc w:val="left"/>
      <w:lvlText w:val="(%1)"/>
      <w:numFmt w:val="decimal"/>
      <w:start w:val="1"/>
    </w:lvl>
  </w:abstractNum>
  <w:abstractNum w:abstractNumId="45">
    <w:nsid w:val="7644A45C"/>
    <w:multiLevelType w:val="hybridMultilevel"/>
    <w:lvl w:ilvl="0">
      <w:lvlJc w:val="left"/>
      <w:lvlText w:val="(%1)"/>
      <w:numFmt w:val="decimal"/>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
      <w:numFmt w:val="bullet"/>
      <w:start w:val="1"/>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2026-05-02T21:10:04Z</dcterms:created>
  <dcterms:modified xsi:type="dcterms:W3CDTF">2026-05-02T21:10:04Z</dcterms:modified>
</cp:coreProperties>
</file>