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(Mark One)</w:t>
      </w:r>
    </w:p>
    <w:p>
      <w:pPr>
        <w:spacing w:after="0" w:line="63" w:lineRule="exact"/>
        <w:rPr>
          <w:sz w:val="24"/>
          <w:szCs w:val="24"/>
          <w:color w:val="auto"/>
        </w:rPr>
      </w:pPr>
    </w:p>
    <w:p>
      <w:pPr>
        <w:ind w:left="1860" w:hanging="221"/>
        <w:spacing w:after="0"/>
        <w:tabs>
          <w:tab w:leader="none" w:pos="186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OR</w:t>
      </w:r>
    </w:p>
    <w:p>
      <w:pPr>
        <w:spacing w:after="0" w:line="63" w:lineRule="exact"/>
        <w:rPr>
          <w:sz w:val="24"/>
          <w:szCs w:val="24"/>
          <w:color w:val="auto"/>
        </w:rPr>
      </w:pPr>
    </w:p>
    <w:p>
      <w:pPr>
        <w:ind w:left="1740" w:hanging="233"/>
        <w:spacing w:after="0"/>
        <w:tabs>
          <w:tab w:leader="none" w:pos="174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60" w:type="dxa"/>
        <w:tblCellMar>
          <w:top w:w="0" w:type="dxa"/>
          <w:left w:w="0" w:type="dxa"/>
          <w:bottom w:w="0" w:type="dxa"/>
          <w:right w:w="0" w:type="dxa"/>
        </w:tblCellMar>
      </w:tblPr>
      <w:tr>
        <w:trPr>
          <w:trHeight w:val="166"/>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4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03"/>
        </w:trPr>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001-38899</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08"/>
        </w:trPr>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40" w:type="dxa"/>
            <w:vAlign w:val="bottom"/>
            <w:gridSpan w:val="5"/>
          </w:tcPr>
          <w:p>
            <w:pPr>
              <w:jc w:val="center"/>
              <w:ind w:right="2797"/>
              <w:spacing w:after="0"/>
              <w:rPr>
                <w:sz w:val="20"/>
                <w:szCs w:val="20"/>
                <w:color w:val="auto"/>
              </w:rPr>
            </w:pPr>
            <w:r>
              <w:rPr>
                <w:rFonts w:ascii="Times New Roman" w:cs="Times New Roman" w:eastAsia="Times New Roman" w:hAnsi="Times New Roman"/>
                <w:sz w:val="23"/>
                <w:szCs w:val="23"/>
                <w:b w:val="1"/>
                <w:bCs w:val="1"/>
                <w:color w:val="auto"/>
              </w:rPr>
              <w:t>Milestone Pharmaceuticals Inc.</w:t>
            </w:r>
          </w:p>
        </w:tc>
      </w:tr>
      <w:tr>
        <w:trPr>
          <w:trHeight w:val="164"/>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80" w:type="dxa"/>
            <w:vAlign w:val="bottom"/>
            <w:gridSpan w:val="4"/>
          </w:tcPr>
          <w:p>
            <w:pPr>
              <w:jc w:val="center"/>
              <w:ind w:right="2977"/>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r>
      <w:tr>
        <w:trPr>
          <w:trHeight w:val="200"/>
        </w:trPr>
        <w:tc>
          <w:tcPr>
            <w:tcW w:w="1940" w:type="dxa"/>
            <w:vAlign w:val="bottom"/>
          </w:tcPr>
          <w:p>
            <w:pPr>
              <w:spacing w:after="0"/>
              <w:rPr>
                <w:sz w:val="17"/>
                <w:szCs w:val="17"/>
                <w:color w:val="auto"/>
              </w:rPr>
            </w:pPr>
          </w:p>
        </w:tc>
        <w:tc>
          <w:tcPr>
            <w:tcW w:w="3520" w:type="dxa"/>
            <w:vAlign w:val="bottom"/>
            <w:gridSpan w:val="3"/>
          </w:tcPr>
          <w:p>
            <w:pPr>
              <w:jc w:val="center"/>
              <w:ind w:right="2977"/>
              <w:spacing w:after="0"/>
              <w:rPr>
                <w:sz w:val="20"/>
                <w:szCs w:val="20"/>
                <w:color w:val="auto"/>
              </w:rPr>
            </w:pPr>
            <w:r>
              <w:rPr>
                <w:rFonts w:ascii="Times New Roman" w:cs="Times New Roman" w:eastAsia="Times New Roman" w:hAnsi="Times New Roman"/>
                <w:sz w:val="13"/>
                <w:szCs w:val="13"/>
                <w:b w:val="1"/>
                <w:bCs w:val="1"/>
                <w:color w:val="auto"/>
                <w:w w:val="95"/>
              </w:rPr>
              <w:t>Québec</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jc w:val="center"/>
              <w:ind w:right="1477"/>
              <w:spacing w:after="0"/>
              <w:rPr>
                <w:sz w:val="20"/>
                <w:szCs w:val="20"/>
                <w:color w:val="auto"/>
              </w:rPr>
            </w:pPr>
            <w:r>
              <w:rPr>
                <w:rFonts w:ascii="Times New Roman" w:cs="Times New Roman" w:eastAsia="Times New Roman" w:hAnsi="Times New Roman"/>
                <w:sz w:val="13"/>
                <w:szCs w:val="13"/>
                <w:b w:val="1"/>
                <w:bCs w:val="1"/>
                <w:color w:val="auto"/>
                <w:w w:val="96"/>
              </w:rPr>
              <w:t>Not applicable</w:t>
            </w:r>
          </w:p>
        </w:tc>
      </w:tr>
      <w:tr>
        <w:trPr>
          <w:trHeight w:val="164"/>
        </w:trPr>
        <w:tc>
          <w:tcPr>
            <w:tcW w:w="5460" w:type="dxa"/>
            <w:vAlign w:val="bottom"/>
            <w:gridSpan w:val="4"/>
          </w:tcPr>
          <w:p>
            <w:pPr>
              <w:jc w:val="center"/>
              <w:ind w:right="1037"/>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40" w:type="dxa"/>
            <w:vAlign w:val="bottom"/>
            <w:gridSpan w:val="3"/>
          </w:tcPr>
          <w:p>
            <w:pPr>
              <w:jc w:val="center"/>
              <w:ind w:right="877"/>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198"/>
        </w:trPr>
        <w:tc>
          <w:tcPr>
            <w:tcW w:w="5460" w:type="dxa"/>
            <w:vAlign w:val="bottom"/>
            <w:gridSpan w:val="4"/>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5"/>
              </w:rPr>
              <w:t>1111 Dr. Frederik-Phillips Boulevard, Suite 420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37"/>
        </w:trPr>
        <w:tc>
          <w:tcPr>
            <w:tcW w:w="5460" w:type="dxa"/>
            <w:vAlign w:val="bottom"/>
            <w:gridSpan w:val="4"/>
          </w:tcPr>
          <w:p>
            <w:pPr>
              <w:jc w:val="center"/>
              <w:ind w:right="1057"/>
              <w:spacing w:after="0" w:line="137" w:lineRule="exact"/>
              <w:rPr>
                <w:sz w:val="20"/>
                <w:szCs w:val="20"/>
                <w:color w:val="auto"/>
              </w:rPr>
            </w:pPr>
            <w:r>
              <w:rPr>
                <w:rFonts w:ascii="Times New Roman" w:cs="Times New Roman" w:eastAsia="Times New Roman" w:hAnsi="Times New Roman"/>
                <w:sz w:val="13"/>
                <w:szCs w:val="13"/>
                <w:b w:val="1"/>
                <w:bCs w:val="1"/>
                <w:color w:val="auto"/>
                <w:w w:val="96"/>
              </w:rPr>
              <w:t>Montréal, Québec CA</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40" w:type="dxa"/>
            <w:vAlign w:val="bottom"/>
          </w:tcPr>
          <w:p>
            <w:pPr>
              <w:jc w:val="center"/>
              <w:ind w:right="1477"/>
              <w:spacing w:after="0" w:line="137" w:lineRule="exact"/>
              <w:rPr>
                <w:sz w:val="20"/>
                <w:szCs w:val="20"/>
                <w:color w:val="auto"/>
              </w:rPr>
            </w:pPr>
            <w:r>
              <w:rPr>
                <w:rFonts w:ascii="Times New Roman" w:cs="Times New Roman" w:eastAsia="Times New Roman" w:hAnsi="Times New Roman"/>
                <w:sz w:val="13"/>
                <w:szCs w:val="13"/>
                <w:b w:val="1"/>
                <w:bCs w:val="1"/>
                <w:color w:val="auto"/>
                <w:w w:val="98"/>
              </w:rPr>
              <w:t>H4M 2X6</w:t>
            </w:r>
          </w:p>
        </w:tc>
      </w:tr>
      <w:tr>
        <w:trPr>
          <w:trHeight w:val="164"/>
        </w:trPr>
        <w:tc>
          <w:tcPr>
            <w:tcW w:w="5460" w:type="dxa"/>
            <w:vAlign w:val="bottom"/>
            <w:gridSpan w:val="4"/>
          </w:tcPr>
          <w:p>
            <w:pPr>
              <w:jc w:val="center"/>
              <w:ind w:right="1057"/>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jc w:val="center"/>
              <w:ind w:right="1457"/>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16"/>
        </w:trPr>
        <w:tc>
          <w:tcPr>
            <w:tcW w:w="1940" w:type="dxa"/>
            <w:vAlign w:val="bottom"/>
          </w:tcPr>
          <w:p>
            <w:pPr>
              <w:spacing w:after="0"/>
              <w:rPr>
                <w:sz w:val="18"/>
                <w:szCs w:val="18"/>
                <w:color w:val="auto"/>
              </w:rPr>
            </w:pPr>
          </w:p>
        </w:tc>
        <w:tc>
          <w:tcPr>
            <w:tcW w:w="6960" w:type="dxa"/>
            <w:vAlign w:val="bottom"/>
            <w:gridSpan w:val="6"/>
          </w:tcPr>
          <w:p>
            <w:pPr>
              <w:jc w:val="center"/>
              <w:ind w:right="1897"/>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(514)-336-0444</w:t>
            </w:r>
          </w:p>
        </w:tc>
      </w:tr>
      <w:tr>
        <w:trPr>
          <w:trHeight w:val="203"/>
        </w:trPr>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40" w:type="dxa"/>
            <w:vAlign w:val="bottom"/>
            <w:gridSpan w:val="5"/>
          </w:tcPr>
          <w:p>
            <w:pPr>
              <w:jc w:val="center"/>
              <w:ind w:right="281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r>
      <w:tr>
        <w:trPr>
          <w:trHeight w:val="245"/>
        </w:trPr>
        <w:tc>
          <w:tcPr>
            <w:tcW w:w="1940" w:type="dxa"/>
            <w:vAlign w:val="bottom"/>
            <w:tcBorders>
              <w:bottom w:val="single" w:sz="8" w:color="auto"/>
            </w:tcBorders>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8"/>
        </w:trPr>
        <w:tc>
          <w:tcPr>
            <w:tcW w:w="1940" w:type="dxa"/>
            <w:vAlign w:val="bottom"/>
          </w:tcPr>
          <w:p>
            <w:pPr>
              <w:jc w:val="center"/>
              <w:ind w:left="837"/>
              <w:spacing w:after="0"/>
              <w:rPr>
                <w:sz w:val="20"/>
                <w:szCs w:val="20"/>
                <w:color w:val="auto"/>
              </w:rPr>
            </w:pPr>
            <w:r>
              <w:rPr>
                <w:rFonts w:ascii="Times New Roman" w:cs="Times New Roman" w:eastAsia="Times New Roman" w:hAnsi="Times New Roman"/>
                <w:sz w:val="13"/>
                <w:szCs w:val="13"/>
                <w:color w:val="auto"/>
                <w:w w:val="97"/>
              </w:rPr>
              <w:t>Common Shares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tcPr>
          <w:p>
            <w:pPr>
              <w:jc w:val="center"/>
              <w:ind w:left="357"/>
              <w:spacing w:after="0"/>
              <w:rPr>
                <w:sz w:val="20"/>
                <w:szCs w:val="20"/>
                <w:color w:val="auto"/>
              </w:rPr>
            </w:pPr>
            <w:r>
              <w:rPr>
                <w:rFonts w:ascii="Times New Roman" w:cs="Times New Roman" w:eastAsia="Times New Roman" w:hAnsi="Times New Roman"/>
                <w:sz w:val="13"/>
                <w:szCs w:val="13"/>
                <w:color w:val="auto"/>
                <w:w w:val="96"/>
              </w:rPr>
              <w:t>MIST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8" w:lineRule="exact"/>
        <w:rPr>
          <w:sz w:val="24"/>
          <w:szCs w:val="24"/>
          <w:color w:val="auto"/>
        </w:rPr>
      </w:pPr>
    </w:p>
    <w:p>
      <w:pPr>
        <w:ind w:left="1360" w:right="939" w:firstLine="41"/>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left="140" w:right="159" w:firstLine="480"/>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720" w:right="319" w:firstLine="13"/>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260" w:right="219" w:firstLine="381"/>
        <w:spacing w:after="0" w:line="24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Exchange Act.</w:t>
      </w:r>
    </w:p>
    <w:p>
      <w:pPr>
        <w:spacing w:after="0" w:line="1" w:lineRule="exact"/>
        <w:rPr>
          <w:sz w:val="24"/>
          <w:szCs w:val="24"/>
          <w:color w:val="auto"/>
        </w:rPr>
      </w:pPr>
    </w:p>
    <w:p>
      <w:pPr>
        <w:ind w:left="400"/>
        <w:spacing w:after="0" w:line="288" w:lineRule="exact"/>
        <w:tabs>
          <w:tab w:leader="none" w:pos="2300" w:val="left"/>
          <w:tab w:leader="none" w:pos="3920" w:val="left"/>
          <w:tab w:leader="none" w:pos="5640" w:val="left"/>
          <w:tab w:leader="none" w:pos="744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22"/>
          <w:szCs w:val="22"/>
          <w:color w:val="auto"/>
          <w:vertAlign w:val="subscript"/>
        </w:rPr>
        <w:t xml:space="preserve">Non-accelerated filer </w:t>
      </w:r>
      <w:r>
        <w:rPr>
          <w:rFonts w:ascii="MS PGothic" w:cs="MS PGothic" w:eastAsia="MS PGothic" w:hAnsi="MS PGothic"/>
          <w:sz w:val="25"/>
          <w:szCs w:val="25"/>
          <w:color w:val="auto"/>
          <w:vertAlign w:val="subscript"/>
        </w:rPr>
        <w:t>☒</w:t>
      </w:r>
      <w:r>
        <w:rPr>
          <w:sz w:val="20"/>
          <w:szCs w:val="20"/>
          <w:color w:val="auto"/>
        </w:rPr>
        <w:tab/>
      </w: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96" w:lineRule="exact"/>
        <w:rPr>
          <w:sz w:val="24"/>
          <w:szCs w:val="24"/>
          <w:color w:val="auto"/>
        </w:rPr>
      </w:pPr>
    </w:p>
    <w:p>
      <w:pPr>
        <w:ind w:left="2240" w:right="159" w:hanging="1651"/>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left="120" w:right="119" w:firstLine="566"/>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44" w:lineRule="exact"/>
        <w:rPr>
          <w:sz w:val="24"/>
          <w:szCs w:val="24"/>
          <w:color w:val="auto"/>
        </w:rPr>
      </w:pPr>
    </w:p>
    <w:p>
      <w:pPr>
        <w:ind w:left="2760" w:right="139" w:hanging="2186"/>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3" w:lineRule="exact"/>
        <w:rPr>
          <w:sz w:val="24"/>
          <w:szCs w:val="24"/>
          <w:color w:val="auto"/>
        </w:rPr>
      </w:pPr>
    </w:p>
    <w:p>
      <w:pPr>
        <w:ind w:left="2000" w:right="159" w:hanging="1435"/>
        <w:spacing w:after="0" w:line="173"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based compensation received by any of the registrant’s executive officers during the relevant recovery period pursuant to §240.10D</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1(b).</w:t>
      </w:r>
      <w:r>
        <w:rPr>
          <w:rFonts w:ascii="MS PGothic" w:cs="MS PGothic" w:eastAsia="MS PGothic" w:hAnsi="MS PGothic"/>
          <w:sz w:val="13"/>
          <w:szCs w:val="13"/>
          <w:color w:val="auto"/>
        </w:rPr>
        <w:t>☐</w:t>
      </w:r>
    </w:p>
    <w:p>
      <w:pPr>
        <w:spacing w:after="0" w:line="3" w:lineRule="exact"/>
        <w:rPr>
          <w:sz w:val="24"/>
          <w:szCs w:val="24"/>
          <w:color w:val="auto"/>
        </w:rPr>
      </w:pPr>
    </w:p>
    <w:p>
      <w:pPr>
        <w:jc w:val="center"/>
        <w:ind w:right="-4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left="480" w:right="179" w:firstLine="128"/>
        <w:spacing w:after="0" w:line="280" w:lineRule="auto"/>
        <w:rPr>
          <w:sz w:val="20"/>
          <w:szCs w:val="20"/>
          <w:color w:val="auto"/>
        </w:rPr>
      </w:pPr>
      <w:r>
        <w:rPr>
          <w:rFonts w:ascii="Times New Roman" w:cs="Times New Roman" w:eastAsia="Times New Roman" w:hAnsi="Times New Roman"/>
          <w:sz w:val="12"/>
          <w:szCs w:val="12"/>
          <w:color w:val="auto"/>
        </w:rPr>
        <w:t>The aggregate market value (approximate) of the registrant’s common equity held by non-affiliates based on the closing price of a share of the registrant’s common share for The Nasdaq Stock Market on June 30, 2025 (the last business day of the registrant’s most recently completed second fiscal quarter) was $98.9 million.</w:t>
      </w:r>
    </w:p>
    <w:p>
      <w:pPr>
        <w:spacing w:after="0" w:line="29" w:lineRule="exact"/>
        <w:rPr>
          <w:sz w:val="24"/>
          <w:szCs w:val="24"/>
          <w:color w:val="auto"/>
        </w:rPr>
      </w:pPr>
    </w:p>
    <w:p>
      <w:pPr>
        <w:jc w:val="center"/>
        <w:ind w:left="1920" w:right="600"/>
        <w:spacing w:after="0" w:line="325" w:lineRule="auto"/>
        <w:rPr>
          <w:sz w:val="20"/>
          <w:szCs w:val="20"/>
          <w:color w:val="auto"/>
        </w:rPr>
      </w:pPr>
      <w:r>
        <w:rPr>
          <w:rFonts w:ascii="Times New Roman" w:cs="Times New Roman" w:eastAsia="Times New Roman" w:hAnsi="Times New Roman"/>
          <w:sz w:val="13"/>
          <w:szCs w:val="13"/>
          <w:color w:val="auto"/>
        </w:rPr>
        <w:t xml:space="preserve">As of March 20, 2026, the total number of shares outstanding of the registrant’s Common Shares was 117,667,277 shares, net of treasury shares. </w:t>
      </w:r>
      <w:r>
        <w:rPr>
          <w:rFonts w:ascii="Times New Roman" w:cs="Times New Roman" w:eastAsia="Times New Roman" w:hAnsi="Times New Roman"/>
          <w:sz w:val="13"/>
          <w:szCs w:val="13"/>
          <w:b w:val="1"/>
          <w:bCs w:val="1"/>
          <w:color w:val="auto"/>
        </w:rPr>
        <w:t>DOCUMENTS INCORPORATED BY REFERENCE:</w:t>
      </w:r>
    </w:p>
    <w:p>
      <w:pPr>
        <w:jc w:val="center"/>
        <w:ind w:left="1920" w:right="24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2025 annual meeting of stockholders, to be filed within 120 days after the close of the registrant’s fiscal year, are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593090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70485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113030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20" w:type="dxa"/>
            <w:vAlign w:val="bottom"/>
            <w:gridSpan w:val="31"/>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38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5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w:t>
            </w:r>
          </w:p>
        </w:tc>
      </w:tr>
      <w:tr>
        <w:trPr>
          <w:trHeight w:val="318"/>
        </w:trPr>
        <w:tc>
          <w:tcPr>
            <w:tcW w:w="20" w:type="dxa"/>
            <w:vAlign w:val="bottom"/>
          </w:tcPr>
          <w:p>
            <w:pPr>
              <w:spacing w:after="0"/>
              <w:rPr>
                <w:sz w:val="24"/>
                <w:szCs w:val="24"/>
                <w:color w:val="auto"/>
              </w:rPr>
            </w:pPr>
          </w:p>
        </w:tc>
        <w:tc>
          <w:tcPr>
            <w:tcW w:w="1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Summary of Risk Factors</w:t>
            </w:r>
          </w:p>
        </w:tc>
        <w:tc>
          <w:tcPr>
            <w:tcW w:w="6560" w:type="dxa"/>
            <w:vAlign w:val="bottom"/>
            <w:gridSpan w:val="2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7200" w:type="dxa"/>
            <w:vAlign w:val="bottom"/>
            <w:gridSpan w:val="2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68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8"/>
        </w:trPr>
        <w:tc>
          <w:tcPr>
            <w:tcW w:w="20" w:type="dxa"/>
            <w:vAlign w:val="bottom"/>
          </w:tcPr>
          <w:p>
            <w:pPr>
              <w:spacing w:after="0"/>
              <w:rPr>
                <w:sz w:val="24"/>
                <w:szCs w:val="24"/>
                <w:color w:val="auto"/>
              </w:rPr>
            </w:pPr>
          </w:p>
        </w:tc>
        <w:tc>
          <w:tcPr>
            <w:tcW w:w="1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720" w:type="dxa"/>
            <w:vAlign w:val="bottom"/>
            <w:gridSpan w:val="21"/>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8"/>
        </w:trPr>
        <w:tc>
          <w:tcPr>
            <w:tcW w:w="20" w:type="dxa"/>
            <w:vAlign w:val="bottom"/>
          </w:tcPr>
          <w:p>
            <w:pPr>
              <w:spacing w:after="0"/>
              <w:rPr>
                <w:sz w:val="24"/>
                <w:szCs w:val="24"/>
                <w:color w:val="auto"/>
              </w:rPr>
            </w:pPr>
          </w:p>
        </w:tc>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7120" w:type="dxa"/>
            <w:vAlign w:val="bottom"/>
            <w:gridSpan w:val="2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8"/>
        </w:trPr>
        <w:tc>
          <w:tcPr>
            <w:tcW w:w="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740" w:type="dxa"/>
            <w:vAlign w:val="bottom"/>
            <w:gridSpan w:val="28"/>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84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2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6. Selected Financial Data</w:t>
            </w:r>
          </w:p>
        </w:tc>
        <w:tc>
          <w:tcPr>
            <w:tcW w:w="61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17"/>
        </w:trPr>
        <w:tc>
          <w:tcPr>
            <w:tcW w:w="2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24"/>
                <w:szCs w:val="24"/>
                <w:color w:val="auto"/>
              </w:rPr>
            </w:pPr>
          </w:p>
        </w:tc>
        <w:tc>
          <w:tcPr>
            <w:tcW w:w="14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18"/>
        </w:trPr>
        <w:tc>
          <w:tcPr>
            <w:tcW w:w="20" w:type="dxa"/>
            <w:vAlign w:val="bottom"/>
          </w:tcPr>
          <w:p>
            <w:pPr>
              <w:spacing w:after="0"/>
              <w:rPr>
                <w:sz w:val="24"/>
                <w:szCs w:val="24"/>
                <w:color w:val="auto"/>
              </w:rPr>
            </w:pPr>
          </w:p>
        </w:tc>
        <w:tc>
          <w:tcPr>
            <w:tcW w:w="20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8. Financial Statements</w:t>
            </w:r>
          </w:p>
        </w:tc>
        <w:tc>
          <w:tcPr>
            <w:tcW w:w="634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18"/>
        </w:trPr>
        <w:tc>
          <w:tcPr>
            <w:tcW w:w="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0"/>
          </w:tcPr>
          <w:p>
            <w:pPr>
              <w:spacing w:after="0"/>
              <w:rPr>
                <w:sz w:val="24"/>
                <w:szCs w:val="24"/>
                <w:color w:val="auto"/>
              </w:rPr>
            </w:pPr>
          </w:p>
        </w:tc>
        <w:tc>
          <w:tcPr>
            <w:tcW w:w="13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18"/>
        </w:trPr>
        <w:tc>
          <w:tcPr>
            <w:tcW w:w="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4820" w:type="dxa"/>
            <w:vAlign w:val="bottom"/>
            <w:tcBorders>
              <w:top w:val="single" w:sz="8" w:color="0000EE"/>
            </w:tcBorders>
            <w:gridSpan w:val="20"/>
          </w:tcPr>
          <w:p>
            <w:pPr>
              <w:spacing w:after="0"/>
              <w:rPr>
                <w:sz w:val="24"/>
                <w:szCs w:val="24"/>
                <w:color w:val="auto"/>
              </w:rPr>
            </w:pPr>
          </w:p>
        </w:tc>
        <w:tc>
          <w:tcPr>
            <w:tcW w:w="28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66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18"/>
        </w:trPr>
        <w:tc>
          <w:tcPr>
            <w:tcW w:w="20" w:type="dxa"/>
            <w:vAlign w:val="bottom"/>
          </w:tcPr>
          <w:p>
            <w:pPr>
              <w:spacing w:after="0"/>
              <w:rPr>
                <w:sz w:val="24"/>
                <w:szCs w:val="24"/>
                <w:color w:val="auto"/>
              </w:rPr>
            </w:pPr>
          </w:p>
        </w:tc>
        <w:tc>
          <w:tcPr>
            <w:tcW w:w="2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9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18"/>
        </w:trPr>
        <w:tc>
          <w:tcPr>
            <w:tcW w:w="20" w:type="dxa"/>
            <w:vAlign w:val="bottom"/>
          </w:tcPr>
          <w:p>
            <w:pPr>
              <w:spacing w:after="0"/>
              <w:rPr>
                <w:sz w:val="24"/>
                <w:szCs w:val="24"/>
                <w:color w:val="auto"/>
              </w:rPr>
            </w:pPr>
          </w:p>
        </w:tc>
        <w:tc>
          <w:tcPr>
            <w:tcW w:w="79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18"/>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18"/>
        </w:trPr>
        <w:tc>
          <w:tcPr>
            <w:tcW w:w="20" w:type="dxa"/>
            <w:vAlign w:val="bottom"/>
          </w:tcPr>
          <w:p>
            <w:pPr>
              <w:spacing w:after="0"/>
              <w:rPr>
                <w:sz w:val="24"/>
                <w:szCs w:val="24"/>
                <w:color w:val="auto"/>
              </w:rPr>
            </w:pPr>
          </w:p>
        </w:tc>
        <w:tc>
          <w:tcPr>
            <w:tcW w:w="350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580" w:type="dxa"/>
            <w:vAlign w:val="bottom"/>
            <w:tcBorders>
              <w:top w:val="single" w:sz="8" w:color="0000EE"/>
            </w:tcBorders>
            <w:gridSpan w:val="6"/>
          </w:tcPr>
          <w:p>
            <w:pPr>
              <w:spacing w:after="0"/>
              <w:rPr>
                <w:sz w:val="24"/>
                <w:szCs w:val="24"/>
                <w:color w:val="auto"/>
              </w:rPr>
            </w:pPr>
          </w:p>
        </w:tc>
        <w:tc>
          <w:tcPr>
            <w:tcW w:w="23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18"/>
        </w:trPr>
        <w:tc>
          <w:tcPr>
            <w:tcW w:w="2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7680" w:type="dxa"/>
            <w:vAlign w:val="bottom"/>
            <w:gridSpan w:val="26"/>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38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6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17"/>
        </w:trPr>
        <w:tc>
          <w:tcPr>
            <w:tcW w:w="20" w:type="dxa"/>
            <w:vAlign w:val="bottom"/>
          </w:tcPr>
          <w:p>
            <w:pPr>
              <w:spacing w:after="0"/>
              <w:rPr>
                <w:sz w:val="24"/>
                <w:szCs w:val="24"/>
                <w:color w:val="auto"/>
              </w:rPr>
            </w:pPr>
          </w:p>
        </w:tc>
        <w:tc>
          <w:tcPr>
            <w:tcW w:w="84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803"/>
        </w:trPr>
        <w:tc>
          <w:tcPr>
            <w:tcW w:w="20" w:type="dxa"/>
            <w:vAlign w:val="bottom"/>
          </w:tcPr>
          <w:p>
            <w:pPr>
              <w:spacing w:after="0"/>
              <w:rPr>
                <w:sz w:val="24"/>
                <w:szCs w:val="24"/>
                <w:color w:val="auto"/>
              </w:rPr>
            </w:pPr>
          </w:p>
        </w:tc>
        <w:tc>
          <w:tcPr>
            <w:tcW w:w="2180" w:type="dxa"/>
            <w:vAlign w:val="bottom"/>
            <w:tcBorders>
              <w:top w:val="single" w:sz="8" w:color="0000EE"/>
            </w:tcBorders>
            <w:gridSpan w:val="14"/>
          </w:tcPr>
          <w:p>
            <w:pPr>
              <w:spacing w:after="0"/>
              <w:rPr>
                <w:sz w:val="24"/>
                <w:szCs w:val="24"/>
                <w:color w:val="auto"/>
              </w:rPr>
            </w:pPr>
          </w:p>
        </w:tc>
        <w:tc>
          <w:tcPr>
            <w:tcW w:w="2560" w:type="dxa"/>
            <w:vAlign w:val="bottom"/>
            <w:gridSpan w:val="9"/>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“Milestone Pharmaceuticals” and the Milestone logo appearing in this Annual Report on Form 10-K are unregistered trademarks of Milestone Pharmaceuticals Inc. All other trademarks, trade names and service marks appearing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contains references to United States dollars and Canadian dollars. All dollar amounts referenced, unless otherwise indicated, are expressed in United States dollars. References to “$” are to United States dollars and references to “C$” are to Canadian dollars.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Annual Report on Form 10-K, regarding, among other things:</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commercialization of CARDAMYST™ (etripamil) nasal spray for the conversion of acute symptomatic episodes of paroxysmal supraventricular tachycardia, or “PSVT,” to sinus rhythm in adults as well as our plans to develop and commercialize our product candidates;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clinical trials of etripamil, including our Phase 3 clinical trial of etripamil for the treatment of atrial fibrillation and rapid ventricular rate, and of our research and development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by regulatory authorities, commercialize etripamil in China, Hong Kong, Macau, and Taiwan through our license agreement with Corxel Pharmaceuticals, or “Corxel,” formerly Ji Xing Pharmaceuticals Limited, JIXING;</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or obtain additional funding;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products for new indications and/or of our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etripamil and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 and expectations regarding the sufficiency of our capital resources;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etripamil, and any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serve;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international trade policies, including tariffs, sanctions, and trade barriers;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foregoing list of risks is not exhaustive.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or the Securities Act, do not protect any forward-looking statements that we make in connection with this Annual Report on Form 10-K.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but are not limited to the following:</w:t>
      </w:r>
    </w:p>
    <w:p>
      <w:pPr>
        <w:spacing w:after="0" w:line="160" w:lineRule="exact"/>
        <w:rPr>
          <w:sz w:val="20"/>
          <w:szCs w:val="20"/>
          <w:color w:val="auto"/>
        </w:rPr>
      </w:pPr>
    </w:p>
    <w:p>
      <w:pPr>
        <w:jc w:val="both"/>
        <w:ind w:left="720" w:right="7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and anticipate that we will continue to incur substantial operating losses for the foreseeable future until revenue from CARDAMYST is sufficient to fund our operations, if ever, and may never achieve or maintain profitability.</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If we are unable to raise capital when needed, we could be forced to delay, reduce, or terminate our development of etripamil or other operations, including the continued commercialization of CARDAMYST.</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expected returns of CARDAMYST may exceed our reserve for returns, which would adversely affect our revenue and operating results.</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shareholders, restrict our operations, or require us to relinquish rights to our product candidates.</w:t>
      </w: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one approved product, CARDAMYST™ (etripamil) nasal spray, a prescription medication for the conversion of acute symptomatic episodes of PSVT. We are currently pursuing clinical development for subsequent etripamil indications. If we are not able to obtain required regulatory approvals for subsequent etripamil indications or any future product candidates, our ability to generate revenue will be adversely affected.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beyond etripamil.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additional product candidates is risky and uncertain.</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or difficulties in our clinical trials.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retention of patients in clinical trials is an expensive and time-consuming process and could be delayed, made more difficult, or rendered impossible by multiple factors outside our control.</w:t>
      </w: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implement and maintain sales, marketing and distribution capabilities for CARDAMYST for the treatment of PSVT or any product candidate that may receive regulatory approval, we may not be successful in commercializing CARDAMYST for the treatment of PSVT or our product candidates if and when they are approved.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CARDAMYST, along with any subsequent etripamil indications or any other product candidates, if approved, may fail to achieve market acceptance by physicians, patients, third-party payors or others in the medical community necessary for commercial success.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etripamil will be dependent on its use in accordance with labeled instructions for use.</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CARDAMYST, any subsequent indications for etripamil, and any future product candidates are smaller than we estimate, our business may suffer.</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adequate reimbursement may not be available for etripamil or any future product candidates, which could make it difficult for us to gain market acceptance.</w:t>
      </w: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maintain regulatory approval for etripamil or any future product candidates from the Food and Drug Administration, or “FDA,” we may never obtain approval of etripamil or any future product candidates outside of the United States, which would limit our market opportunities and could harm our business.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maintain approval for CARDAMYST, or we obtain regulatory approval for subsequent etripamil indications or any future product candidates, they, and etripamil for the treatment of PSVT, will remain subject to ongoing regulatory oversight.</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rely on third parties to produce clinical and commercial supplies of etripamil and any future product candidates, and if those third parties perform in an unsatisfactory manner, it may harm our business.</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supervise, and monitor our preclinical studies and clinical trials, and if those third parties perform in an unsatisfactory manner, it may harm our business.</w:t>
      </w:r>
    </w:p>
    <w:p>
      <w:pPr>
        <w:ind w:left="720" w:right="79" w:hanging="319"/>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Etripamil is intended to be used with a nasal spray device, which may result in additional regulatory and supply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etripamil or any future product candidates, or if the scope of the patent protection obtained is not sufficiently broad, our competitors could develop and commercialize drugs similar or identical to ours, and our ability to successfully commercialize our product candidates may be impaired.</w:t>
      </w:r>
    </w:p>
    <w:p>
      <w:pPr>
        <w:spacing w:after="0" w:line="2"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has been and may continue to be volatile and fluctuate substantially, and you could lose all or part of your investment.</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are thinly traded, and our shareholders may be unable to sell their shares quickly or at market price.</w:t>
      </w:r>
    </w:p>
    <w:p>
      <w:pPr>
        <w:ind w:left="720" w:right="79" w:hanging="319"/>
        <w:spacing w:after="0" w:line="26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shares among our existing executive officers, directors and principal shareholders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cardiovascular medicines. Our approved product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is available in the United States and is the first and only FDA approved self-administered treatment for use by patients anywhere, anytime an attack of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spacing w:after="0" w:line="188" w:lineRule="exact"/>
        <w:rPr>
          <w:sz w:val="20"/>
          <w:szCs w:val="20"/>
          <w:color w:val="auto"/>
        </w:rPr>
      </w:pPr>
    </w:p>
    <w:p>
      <w:pPr>
        <w:jc w:val="both"/>
        <w:ind w:left="60" w:right="59"/>
        <w:spacing w:after="0" w:line="228" w:lineRule="auto"/>
        <w:rPr>
          <w:sz w:val="20"/>
          <w:szCs w:val="20"/>
          <w:color w:val="auto"/>
        </w:rPr>
      </w:pPr>
      <w:r>
        <w:rPr>
          <w:rFonts w:ascii="Times New Roman" w:cs="Times New Roman" w:eastAsia="Times New Roman" w:hAnsi="Times New Roman"/>
          <w:sz w:val="18"/>
          <w:szCs w:val="18"/>
          <w:color w:val="auto"/>
        </w:rPr>
        <w:t>We are currently focusing our efforts and financial resources on (i) the commercialization of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for the treatment of PSVT, (ii) the development of etripamil for the treatment of AFib-RVR and (iii) corporate development activities that have the potential to increase company value through strategic collaborations.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(etripamil) nasal spray for the Treatment of PSVT</w:t>
      </w:r>
    </w:p>
    <w:p>
      <w:pPr>
        <w:spacing w:after="0" w:line="14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12, 2025, we announced that the FDA approved our first commercial product, CARDAMYST (etripamil) nasal spray, a prescription medication for the conversion of acute symptomatic episodes of PSVT, to sinus rhythm in adults. We are focused on the commercialization of CARDAMYST, which became available in retail pharmacies in the first quarter of 2026. We manufacture CARDAMYST with a global supply chain that produces the active pharmaceutical ingredient, etripamil, and then formulates and assembles it into the delivery device, a nasal spray, before completing packaging of the saleable product which is then distributed via a third party logistics provider to wholesalers for delivery to retail pharmacies once prescriptions are received. To create demand, our sales team of approximately 60 representatives expects to engage healthcare providers who we believe will treat around 500,000 patients with a diagnosis of PSVT in 2026.</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designed the molecule of etripamil, and we are commercializing and further developing the drug, a novel, potent, and rapid-onset calcium channel blocker, as a nasal spray to be administered by the patient to terminate episodes of transient cardiovascular conditions as they occur. Rapid pharmacological action is both appropriate and sufficient to resolve an episode of supraventricular tachycardia, or “SVT.” We are also developing etripamil to provide acute ventricular rate control for patients with symptomatic episodes of atrial fibrillation with rapid ventricular rate and are exploring other therapeutic applications in which a patient-administered, rapid-onset, non-dihydropyridine calcium channel blocking agent could provide patient benefit.</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our work to develop potential therapies, we sought to create new chemical entities as analogs of known molecular classes with clinically validated mechanisms of action. Our goal was to preserve the beneficial pharmacology of existing molecules while altering their pharmacokinetic profile with focused medicinal chemistry to produce drugs that are fast acting. As a result, we created a series of novel non-dihydropyridine, L-type calcium channel blockers containing chemical ester moieties that preserved the desired pharmacology on the heart but that could be rapidly metabolized in the blood by serum esterases. Etripamil resulted from this effort as a new chemical entity with a fast pharmacodynamic effect in humans, relative to oral calcium channel blockers.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the following attributes of etripamil make it a better treatment candidate for certain episodic cardiovascular conditions than current standards of care:</w:t>
      </w:r>
    </w:p>
    <w:p>
      <w:pPr>
        <w:spacing w:after="0" w:line="162" w:lineRule="exact"/>
        <w:rPr>
          <w:sz w:val="20"/>
          <w:szCs w:val="20"/>
          <w:color w:val="auto"/>
        </w:rPr>
      </w:pPr>
    </w:p>
    <w:p>
      <w:pPr>
        <w:jc w:val="both"/>
        <w:ind w:left="1020" w:right="79" w:hanging="322"/>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Etripamil is designed to be rapidly metabolized by blood-borne esterases, with the goal of reducing either the duration of side effects that may occur with acute treatment or the long-term side effects that may occur with chronic drug therapy.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Absorption: Etripamil is designed to be absorbed into the bloodstream in less than 10 minutes through the inner lining of the nose, yielding a rapid-onset pharmacologic pattern consistent with parenterally administered drugs.</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Etripamil is designed, and has been investigated, to empower patients to self-administer treatment outside of a medical setting and as prompted by a patient’s symptoms.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PSVT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PSVT is a serious, markedly symptomatic, and recurring cardiac arrhythmia, caused by altered electrical conduction within the heart involving the atrioventricular, or “AV,” node and over an abnormal electrical circuit in most cases. The common form of PSVT, AV nodal reentrant tachycardia, or “AVNRT,” has an abnormal limb of electrical circuitry within the AV node that is the substrate of the tachycardia and forms the basis for a reentrant arrhythmia, resulting in excessively rapid beating of both the atria and ventricles.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128270</wp:posOffset>
            </wp:positionV>
            <wp:extent cx="4732020" cy="2211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3202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next most common form of PSVT, atrioventricular reciprocating tachycardia, or “AVRT,” there is an abnormal limb of electrical tissue, or bypass tract, that directly connects the atria and the ventricles. In AVRT, the bypass tract allows the signal to travel between the atria and ventricles as a “short circuit.” AVRT also involves the AV node, in addition to the bypass tract. Thus, for both AVNRT and AVRT – two PSVT types that require the AV node as a part of their abnormal circuit (i.e., AV-nodal dependent PSVTs) – a drug which targets the AV node can represent a potential treatment. Non-dihydropyridine calcium channel blockers are a class of drugs that target the AV node, reflecting why etripamil has been an excellent therapeutic candidate for AVNRT and AVRT disruption and termination.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 for PSVT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Treatment for PSVT depends on the frequency, duration, and severity of the episodes, as well as patient preference for pharmacologic or invasive treatment. Current options for patients with PSVT to acutely terminate an episode of arrhythmia include intravenous, or “IV,” medication (e.g., IV adenosine, IV calcium channel blockers), administered in an emergency department, which transiently alter electrical conduction over the AV node leading to termination of AV-dependent arrhythmias and restoration of sinus rhythm; or an external shock delivered in the emergency department. Of note, IV adenosine temporarily causes complete heart block and patients have reported experiencing chest tightness, flushing, and a sense of impending doom. Two other modalities, though of low effectiveness, are vagal maneuvers or oral medications administered at the onset of an episode (e.g., calcium channel blockers, beta blockers). Long-term, preventative strategies include chronic drug therapy to reduce the frequency of episodes, though patients exhibit break-through episodes of PSVT and emergency department visits for the same, despite chronic medications and cardiac ablation to potentially cure the disease. Patients may also elect not to treat their PSVT and simply endure episodes of SVT when they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note, chronic medication can lead to side effects such as sexual dysfunction or fatigue in the case of beta blockers and constipation in the case of verapamil. Some patients discontinue chronic oral medication due to intolerable side effects. Based on our market research, we estimate that approximately two thirds of patients with PSVT have been prescribed chronic medications such as beta blockers or calcium channel blockers to prevent episodes of SVT or to treat other concomitant conditions such as hypertension.</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Ablations, a potentially curative treatment for PSVT, is an invasive procedure, which works by directly cauterizing or freezing the short circuit that is the substrate for the abnormal rhythm. This is achieved in an electrophysiology lab via catheters that enter the patient’s heart through the blood vessels and that deliver burning or freezing to ablate the abnormal electrical tissue. Ablation single-procedure success rates for PSVT are reported to be 91% to 96%. However, we estimate that less than 10% of eligible patients with PSVT per year choose this option, which we believe is due primarily to anxiety related to the procedure. Although ablations are generally considered to be safe by the treating community, as with any invasive procedure there are potential complications, which include bleeding, blood clots, pericardial tamponade, and transient or permanent heart block, with the latter requiring permanent pacemaker implantation.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Market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w:t>
      </w:r>
    </w:p>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 time, as they are inconsistently managed (cycling in and out of the healthcare system). Furthermore, PSVT is expected to 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Continued Development Highlights</w:t>
      </w:r>
    </w:p>
    <w:p>
      <w:pPr>
        <w:spacing w:after="0" w:line="229" w:lineRule="exact"/>
        <w:rPr>
          <w:sz w:val="20"/>
          <w:szCs w:val="20"/>
          <w:color w:val="auto"/>
        </w:rPr>
      </w:pPr>
    </w:p>
    <w:p>
      <w:pPr>
        <w:ind w:left="60" w:right="139"/>
        <w:spacing w:after="0" w:line="219" w:lineRule="auto"/>
        <w:rPr>
          <w:sz w:val="20"/>
          <w:szCs w:val="20"/>
          <w:color w:val="auto"/>
        </w:rPr>
      </w:pPr>
      <w:r>
        <w:rPr>
          <w:rFonts w:ascii="Times New Roman" w:cs="Times New Roman" w:eastAsia="Times New Roman" w:hAnsi="Times New Roman"/>
          <w:sz w:val="18"/>
          <w:szCs w:val="18"/>
          <w:color w:val="auto"/>
        </w:rPr>
        <w:t>In November 2025, we submitted our marketing authorization application, or “MAA,” to the European Medicines Agency, or “EMA,” for review for approval to market etripamil nasal spray, under the trade name TACHYMIST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in European Union. The MAA utilizes much of the clinical, manufacturing and quality data package that was submitted in the NDA which lead to the US FDA approval.</w:t>
      </w:r>
    </w:p>
    <w:p>
      <w:pPr>
        <w:spacing w:after="0" w:line="17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January 2025, our licensing partner, Corxel (formerly Ji Xing Pharmaceuticals Limited, JIXING), announced that the Center for Drug Evaluation, or “CDE,” of the National Medical Products Administration, or “NMPA,” of the People’s Republic of China has accepted the New Drug Application, or “NDA,” for etripamil nasal spray for the treatment of PSVT. The NDA to the NMPA included data from the successful Phase 3 JX02002 clinical trial of etripamil nasal spray in patients with PSVT in China in addition to data included in the NDA that Milestone submitted to the FDA.</w:t>
      </w:r>
    </w:p>
    <w:p>
      <w:pPr>
        <w:spacing w:after="0" w:line="183"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500-patient Phase 3 trial (JX02002) met its primary endpoint, with a Kaplan Meier analysis shows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spacing w:after="0" w:line="183"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Etripamil Nasal Spray for the Treatment of AFib-RVR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spacing w:after="0" w:line="188"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Incorporating FDA’s guidance, we have developed a Phase 3 registrational program to evaluate self-administered etripamil as a potential treatment for patients with AFib-RVR. We intend to pursue a supplemental new drug application, or “sNDA,”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regulatory approval pathway for a potential second indication for etripamil in Afib-RVR. As such, we will leverage the PSVT indication and PSVT program data, along with a single pivotal Phase 3 study in patients with AFib-RVR.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Atrial Fibrillation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AFib is a common arrhythmia with an irregular and often rapid heart rate that can increase the risk of stroke, embolism, heart failure, and other cardiac morbidities. AFib is often highly symptomatic, particularly when episodes have rapid heart rates. Symptoms include heart palpitations, shortness of breath, fatigue, and weakness, and underlying cardiac disorders can be worsened. Episodes of atrial fibrillation can come and go, or patients may have AFib that does not resolve. Although the heart arrhythmia in AFib itself usually is not life-threatening, it is a serious medical condition that sometimes requires emergency treatment. Because AFib is associated with elevated risk of embolism and stroke, anticoagulant medications, also called blood thinners, are commonly prescribed to manage this risk. Uncertainty around symptom timing and episode length may impact a patient’s quality of life. During AFib, the heart’s two upper chambers, the atria, beat chaotically and irregularly—out of coordination with the two lower chambers, the ventricles, of the heart,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134620</wp:posOffset>
            </wp:positionV>
            <wp:extent cx="3086100" cy="1474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610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Categorization of AFib is customarily defined as: paroxysmal, which involves episodes of AFib that resolve spontaneously within seven days of symptom onset; persistent, which involves episodes that fail to terminate within seven days of symptom onset and require treatment to convert back to sinus rhythm; long-standing persistent, which involves episodes of atrial fibrillation that last longer than one year despite continued attempts to restore sinus rhythm; and permanent, which involves a joint decision by the treating provider and patient to no longer pursue cardioversion and leave the patient in AFib, focusing on rate control and symptom management. Prevalence of categories includes approximately 40% of patients with AFib as paroxysmal stage, 30% as persistent and long-standing persistent stage, and 30% as permanent. Concomitant structural heart irregularities including valvular dysfunction and the presence of active symptoms may also help to characterize patients and influence treatment decisions.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 for Atrial Fibrillation with Rapid Ventricular Rate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common complication of AFib is an RVR which can be defined as a heart rate of ≥110 beats per minute. Irregular and inefficient cardiac pumping function caused by a RVR accounts for hemodynamic instability and many of the arrhythmia’s symptoms.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currently two major approaches to managing AFib: rate control to lower a RVR or upward excursions in rate, and rhythm control to both restore and maintain normal sinus rhythm and to prevent recurrent AFib. Either of these treatment approaches, often performed by pharmacological means, may be given chronically or acutely, depending on patient preference and episode frequency and severity, though each has limitations. The decision to pursue rate or rhythm control for episodes of AFib is dependent on factors including episode severity, episode frequency, patient preference, and safety and tolerability of treatments. Several rhythm control strategies exist, including electrical cardioversion, catheter-based cardiac ablation, and antiarrhythmic drug therapy. For rate control, the rapid heart rate of AFib is can be treated with chronically administered AV nodal acting drugs (e.g., calcium channel blockers, beta blockers, digoxin) to control RVR and symptoms from RVR, and to improve cardiac function/hemodynamic stability. Oral rate control drugs used acutely do not provide immediate ventricular rate control due to a 30-to-120-minute delayed onset of action. Breakthrough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episodes of symptomatic atrial fibrillation often require urgent medical treatment with IV calcium channel blockers and IV beta blockers under medical supervision in an emergency department to quickly reduce heart rate before transitioning a patient back to oral therapy.</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Of note, AHA and ACC guidelines do not explicitly acknowledge the as needed (PRN) approach to acutely administering oral rate control agents, however, market research conducted by us indicates a significant share of patients are managed this way. This market research, from 2018, estimated that approximately 40% of patients use acutely administered rate control medication to manage symptoms of atrial fibrillation. Additionally, our physician market research, from 2021, suggests that both clinical/interventional cardiologists and electrophysiologists prescribe PRN rate control for some of their patients with AFib.</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for Atrial Fibrillation with Rapid Ventricular Rate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 w:cs="Times New Roman" w:eastAsia="Times New Roman" w:hAnsi="Times New Roman"/>
          <w:sz w:val="18"/>
          <w:szCs w:val="18"/>
          <w:i w:val="1"/>
          <w:iCs w:val="1"/>
          <w:color w:val="auto"/>
        </w:rPr>
        <w:t>Circulation: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Arrhythmia and Electrophysiology</w:t>
      </w:r>
      <w:r>
        <w:rPr>
          <w:rFonts w:ascii="Times New Roman" w:cs="Times New Roman" w:eastAsia="Times New Roman" w:hAnsi="Times New Roman"/>
          <w:sz w:val="18"/>
          <w:szCs w:val="18"/>
          <w:color w:val="auto"/>
        </w:rPr>
        <w:t>. The Phase 2, double-blind, placebo-controlled, study, Reduction of Ventricular 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Atrial Fibrillation, or “ReVeRA”, was conducted in patients presenting urgently (e.g., to an emergency department) with AFib-RVR. ReVeRA’s objectives included evaluation of the potential effectiveness of etripamil NS to reduce RVR and to improve symptoms in patients with AFib and evaluation of the drug’s safety. The trial enrolled 87 patients and dosed 56 patients with blinded study drug (the latter having a ventricular rate of ≥110 beats per minute, or “bpm”) prior to receiving study drug.</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Data showed that delivery of etripamil nasal spray significantly and rapidly reduced ventricular rate, with a time course consistent with the drug’s pharmacologic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114300</wp:posOffset>
            </wp:positionV>
            <wp:extent cx="5486400" cy="3008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Etripamil achieved the primary endpoint with high statistical significance with patients experiencing a ventricular rate reduction of 29.91 bpm (95% confidence interval: -40.31, -19.52; p&lt;0.0001) in the etripamil arm compared to placebo. The maximum absolute reduction in rate in the etripamil arm was 34.97 bpm. The median time to maximum reduction in ventricular rate, or “VR,” was 13 minutes in patients taking etripamil, and the duration of effect (reduction in VR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baseline and from placebo) was at least 150 min. The median duration of maintaining a VR &lt;100 bpm was 45.5 min in the first 60 min following drug in the etripamil arm.</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ReVeRA Primary Endpoint – Maximum Reduction in Ventricular Rate from Baseline</w:t>
      </w:r>
    </w:p>
    <w:p>
      <w:pPr>
        <w:spacing w:after="0" w:line="268" w:lineRule="exact"/>
        <w:rPr>
          <w:sz w:val="20"/>
          <w:szCs w:val="20"/>
          <w:color w:val="auto"/>
        </w:rPr>
      </w:pPr>
    </w:p>
    <w:tbl>
      <w:tblPr>
        <w:tblLayout w:type="fixed"/>
        <w:tblInd w:w="70" w:type="dxa"/>
        <w:tblCellMar>
          <w:top w:w="0" w:type="dxa"/>
          <w:left w:w="0" w:type="dxa"/>
          <w:bottom w:w="0" w:type="dxa"/>
          <w:right w:w="0" w:type="dxa"/>
        </w:tblCellMar>
      </w:tblPr>
      <w:tr>
        <w:trPr>
          <w:trHeight w:val="240"/>
        </w:trPr>
        <w:tc>
          <w:tcPr>
            <w:tcW w:w="3980" w:type="dxa"/>
            <w:vAlign w:val="bottom"/>
            <w:tcBorders>
              <w:top w:val="single" w:sz="8" w:color="auto"/>
              <w:left w:val="single" w:sz="8" w:color="A6A6A6"/>
              <w:right w:val="single" w:sz="8" w:color="A6A6A6"/>
            </w:tcBorders>
            <w:shd w:val="clear" w:color="auto" w:fill="EFF2F5"/>
          </w:tcPr>
          <w:p>
            <w:pPr>
              <w:ind w:left="1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rimary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ndpoint</w:t>
            </w:r>
            <w:r>
              <w:rPr>
                <w:rFonts w:ascii="Times New Roman" w:cs="Times New Roman" w:eastAsia="Times New Roman" w:hAnsi="Times New Roman"/>
                <w:sz w:val="18"/>
                <w:szCs w:val="18"/>
                <w:b w:val="1"/>
                <w:bCs w:val="1"/>
                <w:color w:val="auto"/>
              </w:rPr>
              <w:t>: Maximum Reduction in VR</w:t>
            </w:r>
          </w:p>
        </w:tc>
        <w:tc>
          <w:tcPr>
            <w:tcW w:w="2460" w:type="dxa"/>
            <w:vAlign w:val="bottom"/>
            <w:tcBorders>
              <w:top w:val="single" w:sz="8" w:color="auto"/>
              <w:right w:val="single" w:sz="8" w:color="A6A6A6"/>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Placebo NS,</w:t>
            </w:r>
          </w:p>
        </w:tc>
        <w:tc>
          <w:tcPr>
            <w:tcW w:w="2480" w:type="dxa"/>
            <w:vAlign w:val="bottom"/>
            <w:tcBorders>
              <w:top w:val="single" w:sz="8" w:color="auto"/>
              <w:right w:val="single" w:sz="8" w:color="A6A6A6"/>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Etripamil NS, 70 mg,</w:t>
            </w:r>
          </w:p>
        </w:tc>
      </w:tr>
      <w:tr>
        <w:trPr>
          <w:trHeight w:val="300"/>
        </w:trPr>
        <w:tc>
          <w:tcPr>
            <w:tcW w:w="3980" w:type="dxa"/>
            <w:vAlign w:val="bottom"/>
            <w:tcBorders>
              <w:left w:val="single" w:sz="8" w:color="A6A6A6"/>
              <w:bottom w:val="single" w:sz="8" w:color="D9D9D9"/>
              <w:right w:val="single" w:sz="8" w:color="A6A6A6"/>
            </w:tcBorders>
            <w:shd w:val="clear" w:color="auto" w:fill="EFF2F5"/>
          </w:tcPr>
          <w:p>
            <w:pPr>
              <w:ind w:left="100"/>
              <w:spacing w:after="0"/>
              <w:rPr>
                <w:sz w:val="20"/>
                <w:szCs w:val="20"/>
                <w:color w:val="auto"/>
              </w:rPr>
            </w:pPr>
            <w:r>
              <w:rPr>
                <w:rFonts w:ascii="Times New Roman" w:cs="Times New Roman" w:eastAsia="Times New Roman" w:hAnsi="Times New Roman"/>
                <w:sz w:val="18"/>
                <w:szCs w:val="18"/>
                <w:b w:val="1"/>
                <w:bCs w:val="1"/>
                <w:color w:val="auto"/>
              </w:rPr>
              <w:t>from Baseline</w:t>
            </w:r>
          </w:p>
        </w:tc>
        <w:tc>
          <w:tcPr>
            <w:tcW w:w="2460" w:type="dxa"/>
            <w:vAlign w:val="bottom"/>
            <w:tcBorders>
              <w:bottom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6"/>
              </w:rPr>
              <w:t>N=25</w:t>
            </w:r>
            <w:r>
              <w:rPr>
                <w:rFonts w:ascii="Times New Roman" w:cs="Times New Roman" w:eastAsia="Times New Roman" w:hAnsi="Times New Roman"/>
                <w:sz w:val="26"/>
                <w:szCs w:val="26"/>
                <w:b w:val="1"/>
                <w:bCs w:val="1"/>
                <w:color w:val="auto"/>
                <w:w w:val="96"/>
                <w:vertAlign w:val="superscript"/>
              </w:rPr>
              <w:t>1</w:t>
            </w:r>
          </w:p>
        </w:tc>
        <w:tc>
          <w:tcPr>
            <w:tcW w:w="2480" w:type="dxa"/>
            <w:vAlign w:val="bottom"/>
            <w:tcBorders>
              <w:bottom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6"/>
              </w:rPr>
              <w:t>N=24</w:t>
            </w:r>
            <w:r>
              <w:rPr>
                <w:rFonts w:ascii="Times New Roman" w:cs="Times New Roman" w:eastAsia="Times New Roman" w:hAnsi="Times New Roman"/>
                <w:sz w:val="26"/>
                <w:szCs w:val="26"/>
                <w:b w:val="1"/>
                <w:bCs w:val="1"/>
                <w:color w:val="auto"/>
                <w:w w:val="96"/>
                <w:vertAlign w:val="superscript"/>
              </w:rPr>
              <w:t>1</w:t>
            </w:r>
          </w:p>
        </w:tc>
      </w:tr>
      <w:tr>
        <w:trPr>
          <w:trHeight w:val="304"/>
        </w:trPr>
        <w:tc>
          <w:tcPr>
            <w:tcW w:w="3980" w:type="dxa"/>
            <w:vAlign w:val="bottom"/>
            <w:tcBorders>
              <w:left w:val="single" w:sz="8" w:color="A6A6A6"/>
              <w:bottom w:val="single" w:sz="8" w:color="EFF2F5"/>
              <w:right w:val="single" w:sz="8" w:color="A6A6A6"/>
            </w:tcBorders>
            <w:shd w:val="clear" w:color="auto" w:fill="EFF2F5"/>
          </w:tcPr>
          <w:p>
            <w:pPr>
              <w:ind w:left="100"/>
              <w:spacing w:after="0"/>
              <w:rPr>
                <w:sz w:val="20"/>
                <w:szCs w:val="20"/>
                <w:color w:val="auto"/>
              </w:rPr>
            </w:pPr>
            <w:r>
              <w:rPr>
                <w:rFonts w:ascii="Times New Roman" w:cs="Times New Roman" w:eastAsia="Times New Roman" w:hAnsi="Times New Roman"/>
                <w:sz w:val="18"/>
                <w:szCs w:val="18"/>
                <w:color w:val="auto"/>
              </w:rPr>
              <w:t>Mean (95% CI), bpm</w:t>
            </w:r>
          </w:p>
        </w:tc>
        <w:tc>
          <w:tcPr>
            <w:tcW w:w="246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-5.06 (-7.44, -2.67)</w:t>
            </w:r>
          </w:p>
        </w:tc>
        <w:tc>
          <w:tcPr>
            <w:tcW w:w="248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-34.97 (-45.13, -24.87)</w:t>
            </w:r>
          </w:p>
        </w:tc>
      </w:tr>
      <w:tr>
        <w:trPr>
          <w:trHeight w:val="331"/>
        </w:trPr>
        <w:tc>
          <w:tcPr>
            <w:tcW w:w="3980" w:type="dxa"/>
            <w:vAlign w:val="bottom"/>
            <w:tcBorders>
              <w:top w:val="single" w:sz="8" w:color="D9D9D9"/>
              <w:left w:val="single" w:sz="8" w:color="A6A6A6"/>
              <w:right w:val="single" w:sz="8" w:color="A6A6A6"/>
            </w:tcBorders>
            <w:shd w:val="clear" w:color="auto" w:fill="EFF2F5"/>
          </w:tcPr>
          <w:p>
            <w:pPr>
              <w:ind w:left="100"/>
              <w:spacing w:after="0"/>
              <w:rPr>
                <w:sz w:val="20"/>
                <w:szCs w:val="20"/>
                <w:color w:val="auto"/>
              </w:rPr>
            </w:pPr>
            <w:r>
              <w:rPr>
                <w:rFonts w:ascii="Times New Roman" w:cs="Times New Roman" w:eastAsia="Times New Roman" w:hAnsi="Times New Roman"/>
                <w:sz w:val="18"/>
                <w:szCs w:val="18"/>
                <w:color w:val="auto"/>
              </w:rPr>
              <w:t>Difference in means (95% CI), bpm</w:t>
            </w:r>
          </w:p>
        </w:tc>
        <w:tc>
          <w:tcPr>
            <w:tcW w:w="2460" w:type="dxa"/>
            <w:vAlign w:val="bottom"/>
            <w:tcBorders>
              <w:top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-29.91 (-40.31, -19.52)</w:t>
            </w:r>
          </w:p>
        </w:tc>
      </w:tr>
      <w:tr>
        <w:trPr>
          <w:trHeight w:val="122"/>
        </w:trPr>
        <w:tc>
          <w:tcPr>
            <w:tcW w:w="3980" w:type="dxa"/>
            <w:vAlign w:val="bottom"/>
            <w:tcBorders>
              <w:left w:val="single" w:sz="8" w:color="A6A6A6"/>
              <w:bottom w:val="single" w:sz="8" w:color="D9D9D9"/>
              <w:right w:val="single" w:sz="8" w:color="A6A6A6"/>
            </w:tcBorders>
            <w:shd w:val="clear" w:color="auto" w:fill="EFF2F5"/>
          </w:tcPr>
          <w:p>
            <w:pPr>
              <w:spacing w:after="0"/>
              <w:rPr>
                <w:sz w:val="10"/>
                <w:szCs w:val="10"/>
                <w:color w:val="auto"/>
              </w:rPr>
            </w:pPr>
          </w:p>
        </w:tc>
        <w:tc>
          <w:tcPr>
            <w:tcW w:w="2460" w:type="dxa"/>
            <w:vAlign w:val="bottom"/>
            <w:tcBorders>
              <w:bottom w:val="single" w:sz="8" w:color="D9D9D9"/>
              <w:right w:val="single" w:sz="8" w:color="A6A6A6"/>
            </w:tcBorders>
          </w:tcPr>
          <w:p>
            <w:pPr>
              <w:spacing w:after="0"/>
              <w:rPr>
                <w:sz w:val="10"/>
                <w:szCs w:val="10"/>
                <w:color w:val="auto"/>
              </w:rPr>
            </w:pPr>
          </w:p>
        </w:tc>
        <w:tc>
          <w:tcPr>
            <w:tcW w:w="2480" w:type="dxa"/>
            <w:vAlign w:val="bottom"/>
            <w:tcBorders>
              <w:bottom w:val="single" w:sz="8" w:color="D9D9D9"/>
              <w:right w:val="single" w:sz="8" w:color="A6A6A6"/>
            </w:tcBorders>
          </w:tcPr>
          <w:p>
            <w:pPr>
              <w:spacing w:after="0"/>
              <w:rPr>
                <w:sz w:val="10"/>
                <w:szCs w:val="10"/>
                <w:color w:val="auto"/>
              </w:rPr>
            </w:pPr>
          </w:p>
        </w:tc>
      </w:tr>
      <w:tr>
        <w:trPr>
          <w:trHeight w:val="277"/>
        </w:trPr>
        <w:tc>
          <w:tcPr>
            <w:tcW w:w="3980" w:type="dxa"/>
            <w:vAlign w:val="bottom"/>
            <w:tcBorders>
              <w:left w:val="single" w:sz="8" w:color="A6A6A6"/>
              <w:bottom w:val="single" w:sz="8" w:color="D9D9D9"/>
              <w:right w:val="single" w:sz="8" w:color="A6A6A6"/>
            </w:tcBorders>
            <w:shd w:val="clear" w:color="auto" w:fill="EFF2F5"/>
          </w:tcPr>
          <w:p>
            <w:pPr>
              <w:ind w:left="100"/>
              <w:spacing w:after="0" w:line="277" w:lineRule="exact"/>
              <w:rPr>
                <w:sz w:val="20"/>
                <w:szCs w:val="20"/>
                <w:color w:val="auto"/>
              </w:rPr>
            </w:pPr>
            <w:r>
              <w:rPr>
                <w:rFonts w:ascii="Times New Roman" w:cs="Times New Roman" w:eastAsia="Times New Roman" w:hAnsi="Times New Roman"/>
                <w:sz w:val="18"/>
                <w:szCs w:val="18"/>
                <w:b w:val="1"/>
                <w:bCs w:val="1"/>
                <w:color w:val="auto"/>
              </w:rPr>
              <w:t>p-value</w:t>
            </w:r>
            <w:r>
              <w:rPr>
                <w:rFonts w:ascii="Times New Roman" w:cs="Times New Roman" w:eastAsia="Times New Roman" w:hAnsi="Times New Roman"/>
                <w:sz w:val="26"/>
                <w:szCs w:val="26"/>
                <w:b w:val="1"/>
                <w:bCs w:val="1"/>
                <w:color w:val="auto"/>
                <w:vertAlign w:val="superscript"/>
              </w:rPr>
              <w:t>2</w:t>
            </w:r>
          </w:p>
        </w:tc>
        <w:tc>
          <w:tcPr>
            <w:tcW w:w="2460" w:type="dxa"/>
            <w:vAlign w:val="bottom"/>
            <w:tcBorders>
              <w:bottom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D9D9D9"/>
              <w:right w:val="single" w:sz="8" w:color="A6A6A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&lt;0.0001</w:t>
            </w:r>
          </w:p>
        </w:tc>
      </w:tr>
    </w:tbl>
    <w:p>
      <w:pPr>
        <w:spacing w:after="0" w:line="202" w:lineRule="exact"/>
        <w:rPr>
          <w:sz w:val="20"/>
          <w:szCs w:val="20"/>
          <w:color w:val="auto"/>
        </w:rPr>
      </w:pPr>
    </w:p>
    <w:p>
      <w:pPr>
        <w:ind w:left="60" w:right="59" w:hanging="10"/>
        <w:spacing w:after="0" w:line="215" w:lineRule="auto"/>
        <w:tabs>
          <w:tab w:leader="none" w:pos="188"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Efficacy population (all randomized patients receiving study drug remaining in atrial fibrillation with adequately diagnostic ECG recordings for at least 60 min post drug)</w:t>
      </w:r>
    </w:p>
    <w:p>
      <w:pPr>
        <w:ind w:left="60"/>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 xml:space="preserve"> From ANCOVA; calculations adjust for variance in baseline</w:t>
      </w:r>
    </w:p>
    <w:p>
      <w:pPr>
        <w:spacing w:after="0" w:line="1" w:lineRule="exact"/>
        <w:rPr>
          <w:rFonts w:ascii="Times New Roman" w:cs="Times New Roman" w:eastAsia="Times New Roman" w:hAnsi="Times New Roman"/>
          <w:sz w:val="24"/>
          <w:szCs w:val="24"/>
          <w:color w:val="auto"/>
          <w:vertAlign w:val="superscript"/>
        </w:rPr>
      </w:pPr>
    </w:p>
    <w:p>
      <w:pPr>
        <w:ind w:left="6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Bpm = beats per minute, ECG = electrocardiogram, CI = confidence interval, NS = nasal spray, VR = ventricular rate</w:t>
      </w:r>
    </w:p>
    <w:p>
      <w:pPr>
        <w:spacing w:after="0" w:line="8" w:lineRule="exact"/>
        <w:rPr>
          <w:rFonts w:ascii="Times New Roman" w:cs="Times New Roman" w:eastAsia="Times New Roman" w:hAnsi="Times New Roman"/>
          <w:sz w:val="24"/>
          <w:szCs w:val="24"/>
          <w:color w:val="auto"/>
          <w:vertAlign w:val="superscript"/>
        </w:rPr>
      </w:pPr>
    </w:p>
    <w:p>
      <w:pPr>
        <w:ind w:left="6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Etripamil treatment was associated with significant improvement in symptom relief and in treatment satisfaction as measured by the TSQM-9 patient reported outcome, or “PRO,” instrument. Patients treated with etripamil, compared to those treated with placebo, demonstrated significant improvements in satisfaction ratings in the TSQM-9 Effectiveness Domain (p&lt;0.0001) and on the Relief of Symptoms Question from the Effectiveness Domain (p = 0.0002, with a treatment effect of 1.55 units). Moreover, patients in the placebo arm were given additional AFib-RVR treatments during the window of 60 minutes to 24 hours after study drug to an approximately two-fold greater degree than patients in the etripamil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267970</wp:posOffset>
            </wp:positionV>
            <wp:extent cx="5537835" cy="3068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783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ReVeRA, safety and tolerability data were generally consistent with that observed in our PSVT program. Treatment-emergent serious adverse events, or “TESAEs,” were rare, with two occurring in one patient in the etripamil arm (3.7%) and four occurring in two patients in the placebo arm (6.9%). The TESAEs in the etripamil arm (transient severe bradycardia and syncope, assessed as due to hyper-vagotonia) occurred in a patient with a history of vagal events, and fully resolved by placing the patient supine and was without sequelae. The majority of common AEs were localized to the drug-administration site, and there was a low incidence of serious adverse events. The most common (≥ 5%) adverse events were mild or moderate in intensity and included nasal discomfort, rhinorrhea, increased lacrimation, throat irritation and dizziness.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positive Phase 2 data have supported interactions with the FDA (as summarized in “AFib-RVR Clinical Development Highlights”) that have established a path to potential approval for an indication for etripamil in patients with AFib-RVR. The Phase 3 study is expected to use an optional repeat-dose, self-administration approach of etripamil nasal spray, outside of the medically supervised setting, that is similar to that used in the PSVT development program.</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AFib-RVR Clinical Development Highlights</w:t>
      </w:r>
    </w:p>
    <w:p>
      <w:pPr>
        <w:spacing w:after="0" w:line="15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 could use a PRO measure, and various PROs were discussed with the FDA. We have finalized the Phase 3 study protocol following FDA’s review and obtained concurrence with the FDA to proceed.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Phase 3 study will be conducted in a medically unmonitored setting (e.g., at-home) in a manner very similar to the conduct of our Phase 3 development program for PSVT. The Phase 3 AFib-RVR study will enroll patients with a history of symptomatic AFib episodes, and will use a self-administered, repeat-dose regimen of 70 mg per dose (the dose and dosing approach that was studied in the RAPID trial in patients with PSVT). The Phase 3 study’s target population will be patients with verified history of AFib-RVR, and the ITT population will be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AFib-RVR Market 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by administration of an oral rate control drug; however, such drugs do not adequately provide immediate or dependable enough ventricular rate control due to a 30- to 90-minute delayed onset of action, and, as a result, many patients need faster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more certain rate-reduction and symptom-resolution and so seek acute-medical care by going to the emergency department for treatment utilizing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ED due to AFib symptoms. Initial data suggests that approximately 60% of all AFib ED visits were attributable to AFib-RVR, as symptoms driving patients to seek care generally become more pronounced at higher heart rates. Treatment for such 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Strategy</w:t>
      </w:r>
    </w:p>
    <w:p>
      <w:pPr>
        <w:spacing w:after="0" w:line="22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goal is to identify, develop, and commercialize innovative cardiovascular medicines, including etripamil for the treatment of PSVT, AFib-RVR, and other cardiovascular indications, and potentially including additional clinical stage compounds for other cardiovascular conditions. The key elements of our business strategy to achieve this goal include the following:</w:t>
      </w:r>
    </w:p>
    <w:p>
      <w:pPr>
        <w:spacing w:after="0" w:line="176" w:lineRule="exact"/>
        <w:rPr>
          <w:sz w:val="20"/>
          <w:szCs w:val="20"/>
          <w:color w:val="auto"/>
        </w:rPr>
      </w:pPr>
    </w:p>
    <w:p>
      <w:pPr>
        <w:ind w:left="720" w:right="13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value of our launch of CARDAMYST in the United States. </w:t>
      </w:r>
      <w:r>
        <w:rPr>
          <w:rFonts w:ascii="Times New Roman" w:cs="Times New Roman" w:eastAsia="Times New Roman" w:hAnsi="Times New Roman"/>
          <w:sz w:val="18"/>
          <w:szCs w:val="18"/>
          <w:color w:val="auto"/>
        </w:rPr>
        <w:t>We have launched CARDAMYST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building out our sales team of approximately 60 sales representatives who will be targeting cardiology and high value primary care healthcare providers who we believe will treat up to an estimated 500,000 patients with a diagnosis of PSVT during 2026. We have implemented retail distribution and target most of our launch year marketing mix on increasing healthcare professional, or “HCP,” awareness and the number of trials of</w:t>
      </w:r>
    </w:p>
    <w:p>
      <w:pPr>
        <w:spacing w:after="0" w:line="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CARDAMYST.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179" w:hanging="319"/>
        <w:spacing w:after="0" w:line="259"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scope of cardiovascular indications for etripamil beyond PSVT. </w:t>
      </w:r>
      <w:r>
        <w:rPr>
          <w:rFonts w:ascii="Times New Roman" w:cs="Times New Roman" w:eastAsia="Times New Roman" w:hAnsi="Times New Roman"/>
          <w:sz w:val="18"/>
          <w:szCs w:val="18"/>
          <w:color w:val="auto"/>
        </w:rPr>
        <w:t>We are investigating, through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completed Phase 2 study and an upcoming Phase 3 study, the use of etripamil for the treatment of patients with AFib-RVR. We believe that etripamil could benefit patients with AFib-RVR based on the approved use of IV calcium channel blockers in this indication. We also intend to explore additional cardiovascular opportunities for the use of etripamil.</w:t>
      </w:r>
    </w:p>
    <w:p>
      <w:pPr>
        <w:spacing w:after="0" w:line="179" w:lineRule="exact"/>
        <w:rPr>
          <w:rFonts w:ascii="Times New Roman" w:cs="Times New Roman" w:eastAsia="Times New Roman" w:hAnsi="Times New Roman"/>
          <w:sz w:val="18"/>
          <w:szCs w:val="18"/>
          <w:color w:val="auto"/>
        </w:rPr>
      </w:pPr>
    </w:p>
    <w:p>
      <w:pPr>
        <w:ind w:left="720" w:right="99" w:hanging="319"/>
        <w:spacing w:after="0" w:line="26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Successfully complete development and obtain regulatory approval of etripamil in other major markets.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seeking regulatory approval in China through our partner, Corxel. We intend to seek regulatory approvals in other major markets through additional strategic partnerships.</w:t>
      </w:r>
    </w:p>
    <w:p>
      <w:pPr>
        <w:spacing w:after="0" w:line="170" w:lineRule="exact"/>
        <w:rPr>
          <w:rFonts w:ascii="Times New Roman" w:cs="Times New Roman" w:eastAsia="Times New Roman" w:hAnsi="Times New Roman"/>
          <w:sz w:val="18"/>
          <w:szCs w:val="18"/>
          <w:color w:val="auto"/>
        </w:rPr>
      </w:pPr>
    </w:p>
    <w:p>
      <w:pPr>
        <w:ind w:left="720" w:right="159" w:hanging="319"/>
        <w:spacing w:after="0" w:line="257"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expertise and experience to expand our pipeline of product candidates. </w:t>
      </w:r>
      <w:r>
        <w:rPr>
          <w:rFonts w:ascii="Times New Roman" w:cs="Times New Roman" w:eastAsia="Times New Roman" w:hAnsi="Times New Roman"/>
          <w:sz w:val="18"/>
          <w:szCs w:val="18"/>
          <w:color w:val="auto"/>
        </w:rPr>
        <w:t>We seek to maximize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opportunities by acquiring or in-licensing product candidates for indications with significant unmet need with a focus on novel treatments for cardiovascular or other conditions. Our leadership team has extensive experience in developing and commercializing successful drugs and has developed a deep understanding of the PSVT and Atrial Fibrillation markets. We intend to leverage the collective talent within our organization and our network to guide our development plans and pipeline expansion.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Etripamil in Other Therapeutic Applications</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goal in expanding our pipeline around etripamil is to apply the same paradigm-changing aspiration that we have for supraventricular tachycardias, like PSVT and AFib-RVR, to other cardiac and potentially non-cardiac conditions where we believe that a rapid-onset dihydropyridine L-type calcium channel blocker could potentially deliver significant clinical and quality of life benefits for patients. We believe that the insights that led to the development of etripamil for the treatment of PSVT are relevant in other indications where AV-nodal blocking agents with blood vessel widening activity have demonstrated clinical utility. Both calcium channel blockers and beta blockers are commonly used to manage supraventricular tachycardias like PSVT or AFib-RVR, and other conditions.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commercializing CARDAMYST in the United States by targeting high volume healthcare providers, primarily cardiologists, with a focused specialty sales force supported by digital/omnichannel investments and robust reimbursement and patient support. Specifically, the launch of CARDAMYST is being led by a focused national field force calling on approximately 8,000 clinical/interventional cardiologists, 1,500 electrophysiologists, and 500 primary care physicians who treat large populations of patients with PSVT, supported by strategic investments in medical affairs, digital/targeted non-personal promotion, and robust reimbursement and patient support programs. Although we will initially focus on obtaining broad commercial insurance coverage from large Pharmacy Benefit Managers, or “PBMs,” and targeted national and regional commercial payors, as we expand reimbursement for CARDAMYST to include government payors and targeted integrated delivery networks we anticipate that this investment in omnichannel promotion will grow, targeting both prescribers and patients. As we expand, we believe our field force could potentially grow to call on up to 25,000 clinical cardiologists, interventional cardiologists, electrophysiologists, and high-volume primary care physicians/advanced practice providers who have a history of prescribing cardiovascular therapies. We believe an organization of this size could potentially allow us to reach prescribers that collectively care for most patients diagnosed with PSVT in the United States. Given the importance of increasing awareness and educating patients with PSVT, as we establish favorable broad payor reimbursement, we also anticipate deploying focused direct-to-patient marketing campaigns for CARDAMYST.</w:t>
      </w:r>
    </w:p>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anticipate that our sales force could also support the commercialization of additional product candidates treating cardiovascular diseases through partnerships and/or co-promotion deals. In addition, we may pursue and believe that we can maximize the value of etripamil by entering into collaboration agreements for certain territories outside the United States, including the European Union, while retaining commercialization rights in the United States.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of Commercial Supply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We rely on, and expect to continue to rely on, third party contract manufacturing organizations, or “CMOs,” for all of our required raw materials, nasal spray device, active pharmaceutical ingredient, or “API,” and finished product for our commercial product, clinical trials and for our preclinical research. 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and have implemented a comprehensive plan for audits of our CMOs. Currently, we have contracts and quality agreements with our CMOs for the manufacturing of etripamil drug substance and drug product. We believe we currently have enough manufactured supply of etripamil to support our commercial launch. We also may elect to pursue additional CMOs for manufacturing supplies of regulatory starting materials in the future and for the filling of the nasal spray device, labeling, packaging, storage, and distribution of investigational and commercial drug products. We plan to continue to rely on third party manufacturers for any future trials and commercialization of etripamil. We anticipate that these CMOs will have capacity to support commercial scale production.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Drug development is highly competitive and subject to rapid and significant technological advancements. Our ability to compete will significantly depend upon our ability to complete necessary clinical trials, regulatory approval processes, and effectively market any drug that we may successfully develop. Our current and potential future competitors include pharmaceutical and biotechnology companies, academic institutions, and government agencies. The primary competitive factors that will affect the commercial success of etripamil or any other product candidate for which we may receive marketing approval, include differentiation of any competitor’s product regarding efficacy, safety, tolerability, dosing convenience, price, coverage, and reimbursement. A number of our potential competitors have substantially greater financial, technical, and human resources than we do and significantly greater experience in the discovery and development of product candidates, as well as in obtaining regulatory approvals and commercializing those product candidates in the United States and in foreign countries. It is also possible that a competitor may develop a cure or more effective treatment method for the diseases we are targeting, which could render our current or future product candidates non-competitive or obsolete, or reduce the demand for our product candidates before we can recover our development and commercialization expenses.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not aware of any approved drug or any drug candidate in clinical development for a patient with PSVT to self-administer treatment to terminate PSVT episodes. In the acute setting, IV treatments of generic drugs such as adenosine, verapamil, and diltiazem, are routinely given. Additionally, some practitioners prescribe oral medications, such as calcium channel blockers, beta blockers and antiarrhythmics to be taken at the onset of an episode. However, these interventions are not acutely effective and are not approved by the FDA or other regulatory agencies for this use.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AFib, there are a number of marketed generic antiarrhythmic drugs that are used for chronic and/or acute rate control, such as metoprolol, propranolol, esmolol, pindolol, atenolol, nadolol, verapamil, and diltiazem. For acute rate control, the intravenous forms of these drugs are the ones most often used. We are aware of several drugs or new formulations of existing drugs under development or recently under development for atrial fibrillation, including InRhythm (flecainide), a sodium channel blocker in Phase 3 from InCarda Therapeutics, Inc., and an IV and potentially oral small-molecule SK channel inhibitor being developed by Acesion Pharma for acute conversion and chronic maintenance of sinus rhythm, respectively, in patients with AFib. Acesion’s lead asset, AAP30663, is the IV-formulated short acting AFib conversion therapy for hospital use that has successfully completed a Phase 2 trial. Rapiblyk (landiolol) is an intravenous beta blocker approved for the short-term reduction of ventricular rate with supraventricular tachycardia including atrial fibrillation and atrial flutter.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filed numerous patent applications pertaining to etripamil and possible future product candidates, formulations containing etripamil, methods of making such formulations, and clinical use. We strive to protect and enhance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proprietary technology, invention, and improvements that are commercially important to the development of our business by seeking, maintaining, and defending our intellectual property. We also rely on know-how, continuing technological innovation and potential in-licensing opportunities to develop, strengthen, and maintain our position in the field of cardiac arrhythmias, such as PSVT, and immediate rate control in atrial fibrillation, as well as other medical conditions affecting the cardiovascular system. Additionally, we intend to rely on regulatory protection afforded through data exclusivity and market exclusivity, as well as patent term extensions, where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our patent portfolio as it pertains to etripamil included:</w:t>
      </w:r>
    </w:p>
    <w:p>
      <w:pPr>
        <w:spacing w:after="0" w:line="225" w:lineRule="exact"/>
        <w:rPr>
          <w:sz w:val="20"/>
          <w:szCs w:val="20"/>
          <w:color w:val="auto"/>
        </w:rPr>
      </w:pPr>
    </w:p>
    <w:p>
      <w:pPr>
        <w:jc w:val="both"/>
        <w:ind w:left="1040" w:right="79" w:hanging="315"/>
        <w:spacing w:after="0" w:line="258"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containing six U.S. patents, projected to expire in 2028, a pending U.S. patent application, which, if granted, is projected to expire in 2028, as well as corresponding patents in Australia, Brazil, Canada, China, Europe, Hong Kong, India, Japan, Mexico, New Zealand, and South Korea, directed to etripamil, pharmaceutical compositions including etripamil, and uses of etripamil such as to treat cardiac arrhythmias, including PSVT and atrial fibrillation; and</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containing one U.S. patent, projected to expire in 2036, a pending U.S. patent application, which, if granted, is projected to expire in 2036, as well as corresponding patents in Australia, Brazil, Canada, China, Europe, Hong Kong, Israel, Japan, Macau, Mexico, Russia, South Africa, South Korea and Ukraine and corresponding patent applications in China, Europe, Hong Kong, and New Zealand, directed to formulations including etripamil, methods of making such formulations, and uses of such formulations to treat cardiac arrhythmias, such as PSVT and atrial fibrillation.</w:t>
      </w:r>
    </w:p>
    <w:p>
      <w:pPr>
        <w:spacing w:after="0" w:line="18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containing one U.S. patent, projected to expire in 2042, a pending U.S. application which, if granted, is projected to expire in 2042, and pending applications in Canada and Europe, which, if granted, are projected to expire in 2041 in Canada and 2042 in Europe, directed to uses of formulations including etripamil to treat cardiac arrhythmias, such as PSVT and atrial fibrillation, or migraines.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terms of individual patents may vary based on the countries in which they are obtained. Generally, patents issued for applications filed in the United States are effective for 20 years from the earliest effective non-provisional filing date in the absence, for example, of a terminal disclaimer shortening the term of the patent or patent term adjustment increasing the term of the patent. In addition, in certain instances, a patent term can be extended to recapture a portion of the term effectively lost as a result of FDA regulatory review periods. The restoration period cannot be longer than five years and the total term, including the restoration period, must not exceed 14 years following FDA approval. The duration of patents outside the United States varies in accordance with provisions of applicable local law, but typically is also 20 years from the earliest non-provisional filing date.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patents and patent applications that we own, we rely on know-how to develop and maintain our competitive position. We seek to protect our proprietary technology and processes, and obtain and maintain ownership of certain technologies, in part, through confidentiality agreements and invention assignment agreements with our employees, consultants, scientific advisors, contractors, and commercial partners.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defend and enforce our patents; and operate without infringing valid enforceable patents and proprietary rights of third parties. Our ability to stop third parties from making, using, selling, offering to sell, or importing our products may depend on the extent to which we have rights under valid and enforceable patents that cover these activities. With respect to our owned intellectual property, we cannot be sure that patents will issue from any of the pending patent applications which we own or from any patent applications that we may file in the future, nor can we be sure that any patents that may be issued in the future to us will be commercially useful in protecting etripamil or any future product candidates and methods of using or manufacturing the same. Moreover, we may be unable to obtain patent protection for certain aspects of etripamil or future product candidates generally, as well as with respect to certain indications. See the section entitled “Risk Factors—Risks Related to Our Intellectual Property” for a more comprehensive description of risks related to our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extensively regulate, among other things, the research, development, testing, manufacture, packaging, storage, recordkeeping, labeling, advertising, promotion, distribution,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Government Regulation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drug development process, approval process or after approval, may subject an applicant to a variety of administrative or judicial sanctions, such as the FDA’s refusal to approve an NDA,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w:t>
      </w:r>
    </w:p>
    <w:p>
      <w:pPr>
        <w:spacing w:after="0" w:line="225" w:lineRule="exact"/>
        <w:rPr>
          <w:sz w:val="20"/>
          <w:szCs w:val="20"/>
          <w:color w:val="auto"/>
        </w:rPr>
      </w:pPr>
    </w:p>
    <w:p>
      <w:pPr>
        <w:ind w:left="1020" w:right="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 controlled clinical trials, in accordance with good clinical practice, or “GCP,” requirements to establish the safety and efficacy of the proposed drug for each indication;</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selected clinical sites to assure compliance with GCPs and the integrity of the clinical data;</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toxicity, and formulation, as well as animal studies to assess potential safety and efficacy. An IND sponsor must submit the results of the nonclinical tests, together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manufacturing information, analytical data, and any available clinical data or literature, among other things, to the FDA as part of an IND. Some nonclinical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such a case, the IND sponsor and the FDA must resolve any outstanding concerns before the clinical trial can begin. As a result, submission of an IND may not result in the FDA allowing clinical trials to commence.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and the IRB must continue to oversee the clinical trial while it is being conducted. Information about certain clinical trials must be submitted within specific timeframes to the National Institutes of Health, or “NIH,” for public dissemination on their ClinicalTrials.gov website.</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 In Phase 1, the drug is initially introduced into healthy human subjects or patients with the target disease or condition and tested for safety, dosage tolerance, absorption, metabolism, distribution, excretion and, if possible, to gain an initial indication of its effectiveness. In Phase 2, the drug typically is administered to a limited patient population to identify possible adverse effects and safety risks, to preliminarily evaluate the efficacy of the product for specific targeted diseases and to determine dosage tolerance and optimal dosage. In Phase 3, the drug is administered to an expanded patient population, generally at geographically dispersed clinical trial sites, in well controlled clinical trials to generate enough data to statistically evaluate the safety and efficacy of the product for approval, to establish the overall risk benefit profile of the product and to provide adequate information for the labeling of the product.</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or all pediatric data until after approval of the product for use in adults, or full or partial waivers from the pediatric data requirements. Unless otherwise required by regulation, the pediatric data requirements do not apply to products with orphan designation.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trial sites to assure compliance with GCP requirements.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manufacturing changes or other labeling claims,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subject to further testing requirements and prior FDA review and approval. There also are continuing annual user fee requirements for any marketed products and the establishments at which such products are manufactured, as well as application fees for supplemental applications with clinical data. The FDA may prevent or limit further marketing of a product based on the results of post-marketing studies or surveillance programs.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1020" w:right="7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although physicians, based on their independent medical judgement, may prescribe approved drugs for unapproved (or “off-label”) indications. The FDA and other agencies actively enforce the laws and regulations prohibiting their promotion of off-label uses, and a company that is found to have improperly promoted off-label uses may be subject to significant civil, criminal and administrative liability.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Drug Supply Security Chain Act, which regulates the distribution of drugs and drug samples at the federal level, and sets minimum standards for the registration and regulation of drug distributors by the states.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 and Regulations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and regulations restrict business practices in the biopharmaceutical industry. These laws regulate, among other things, our current and future business operations, including our clinical research activities, sales, marketing, and education programs. These laws may also constrain the business or financial arrangements and relationships with healthcare providers and other parties through which we market, sell, and distribute our products for which we obtain marketing approval. These laws include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anti-kickback and false claims laws and regulations, data privacy and security laws and regulations, and transparency laws and regulations, including, without limitation, those laws described below.</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any person or entity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federal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Practices that involve remuneration that may be alleged to be intended to induce prescribing, purchases or recommendations may be subject to scrutiny if they do not qualify for an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or the civil monetary penalties laws.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which can be enforced by individuals through civil whistleblower and qui tam actions and civil monetary penalties laws, prohibit any person or entity from, among other things,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we are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on certain types of individuals and entities relating to the privacy, security, and transmission of individually identifiable health information. Among other things, HITECH makes HIPAA’s security standards directly applicable to “business associates,” defined as independent contractors or agents of covered entities, which include certain healthcare providers, healthcare clearinghouse and health plans, that create, receive, maintain, or transmit individually identifiable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certain circumstances, many of which are not preempted by HIPAA, differ from each other in significant ways and may not have the same effect, thus complicating compliance efforts.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specific exceptions,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laws that require drug manufacturers to report information on the pricing of certain drugs, and state and local laws that require certain regulatory licenses to manufacture or distribute our products commercially and/or the registration of pharmaceutical sales representatives.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it is possible that some of our business activities could be subject to challenge under one or more of such laws. There are a number of statutory exceptions and regulatory safe harbors protecting some common activities from prosecution. If our operations are found to be in violation of any of the federal and state laws described above or any other governmental regulations that apply to us, we may be subject to significant criminal, civil and administrative penalties including damages, fines, imprisonment,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reporting of payments or transfers of value to healthcare professionals, and additional data privacy and security requirements.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future commercial success of our, or any of our collaborators’, product candidates, if approved, will depend in part on the extent to which third-party payors, such as governmental payor programs at the federal and state levels, including Medicare and Medicaid, private health insurers and other third-party payors, provide coverage of and establish adequate reimbursement levels for our product candidates. Third-party payors generally decide which products they will pay for and establish reimbursement levels for those products. In particular, in the United States, no uniform policy for coverage and reimbursement exists. Private health insurers and other third-party payors often provide coverage and reimbursement for products based on the level at which the government, through the Medicare program, provides coverage and reimbursement for such products, but also have their own methods and approval process apart from Medicare determinations. Therefore, coverage and reimbursement can differ significantly from payor to payor.</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United States, the European Union, or “EU,” and other potentially significant markets for our product candidates, government authorities and third-party payors are increasingly attempting to limit or regulate the price of products, particularly for new and innovative products, which often has resulted in average selling prices lower than they would otherwise be. Further, the increased emphasis on managed healthcare in the United States and on country and regional pricing and reimbursement controls in the EU will put additional pressure on product pricing, reimbursement and usage. These pressures can arise from rules and practices of managed care groups, judicial decisions and laws and regulations related to Medicare, Medicaid and healthcare reform, pharmaceutical coverage and reimbursement policies and pricing in general. Further, the U.S. Department of Health and Human Services, or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imposing additional requirements and restrictions on coverage and limiting reimbursement levels for products. For example, federal and state governments reimburse products at varying rates generally below average wholesale price. These restrictions and limitations influence the purchase of products. Third-party payors may limit coverage to specific products on an approved list, or formulary, which might not include all of the FDA-approved products for a particular indication. Third-party payors are increasingly challenging the price and examining the medical necessity and cost-effectiveness of products, in addition to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Adequate third-party payor reimbursement may not be available to enable us to realize an appropriate return on our investment in product development. Legislative proposals to reform healthcare or reduce costs under government insurance programs may result in lower reimbursement for our product candidates, if approved, or exclusion of our product candidates from coverage and reimbursement. The cost containment measures that third-party payors and providers are instituting and any healthcare reform could significantly reduce our revenues from the sale of any approved product candidates. Even if favorable coverage and reimbursement status is attained for one or more products for which we receive regulatory approval, less favorable coverage policies and reimbursement rates may be implemented in the future.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to change the healthcare system in ways that could affect our ability to sell our product candidates profitably, if approved.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which include major legislative initiatives to reduce the cost of care through changes in the healthcare system, including limits on the pricing, coverage, and reimbursement of pharmaceutical and biopharmaceutical products, especially under government-funded health care programs, and increased governmental control of drug pricing.</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have been several U.S. government initiatives over the past few years to fund and incentivize certain comparative effectiveness research, including creation of the Patient-Centered Outcomes Research Institute under the Patient Protection and Affordable Care Act of 2010, as amended by the Health Care and Education Reconciliation Act of 2010, or collectively the “PPACA.” It is also possible that comparative effectiveness research demonstrating benefits in a competitor’s product could adversely affect the sales of our product candidates.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have been amendments to, and executive, judicial and Congressional challenges to certain aspects of the Patient Protection and Affordable Care Act, or the “PPACA.” For example, on July 4, 2025, the One Big Beautiful Bill Act, or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 aggregate reductions to Medicare payments to providers of 2% per fiscal year, which began in 2013 and will remain in effect until 2032 unless additional Congressional action is taken.</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 candidates. For example, in the EU, we must obtain authorization of a clinical trial application, or “CTA,” in each member state in which we intend to conduct a clinical trial. Whether or not we obtain FDA approval for a drug, we would need to obtain the necessary approvals by the comparable regulatory authorities of foreign countries before we can commence clinical trials or marketing of the drug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Patients inspire all we do. Our employees are passionate about creating a solution for patients who suffer from PSVT and other related illnesses as we work together on our mission to develop innovative cardiovascular medicines. We have built a culture of high performance based on our core values:</w:t>
      </w:r>
    </w:p>
    <w:p>
      <w:pPr>
        <w:spacing w:after="0" w:line="174" w:lineRule="exact"/>
        <w:rPr>
          <w:sz w:val="20"/>
          <w:szCs w:val="20"/>
          <w:color w:val="auto"/>
        </w:rPr>
      </w:pPr>
    </w:p>
    <w:p>
      <w:pPr>
        <w:ind w:left="720" w:right="7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Patients First: </w:t>
      </w:r>
      <w:r>
        <w:rPr>
          <w:rFonts w:ascii="Times New Roman" w:cs="Times New Roman" w:eastAsia="Times New Roman" w:hAnsi="Times New Roman"/>
          <w:sz w:val="18"/>
          <w:szCs w:val="18"/>
          <w:color w:val="auto"/>
        </w:rPr>
        <w:t>Everything we do is with the patient in mind. We listen to and partner with patients and place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at the core of all our initiatives.</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patients inspire us.</w:t>
      </w:r>
    </w:p>
    <w:p>
      <w:pPr>
        <w:spacing w:after="0" w:line="20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Teamwork: </w:t>
      </w:r>
      <w:r>
        <w:rPr>
          <w:rFonts w:ascii="Times New Roman" w:cs="Times New Roman" w:eastAsia="Times New Roman" w:hAnsi="Times New Roman"/>
          <w:sz w:val="18"/>
          <w:szCs w:val="18"/>
          <w:color w:val="auto"/>
        </w:rPr>
        <w:t>Our employees support, challenge and care for each other.</w:t>
      </w:r>
    </w:p>
    <w:p>
      <w:pPr>
        <w:spacing w:after="0" w:line="29" w:lineRule="exact"/>
        <w:rPr>
          <w:sz w:val="20"/>
          <w:szCs w:val="20"/>
          <w:color w:val="auto"/>
        </w:rPr>
      </w:pPr>
    </w:p>
    <w:p>
      <w:pPr>
        <w:ind w:left="1020" w:right="59" w:hanging="323"/>
        <w:spacing w:after="0" w:line="260" w:lineRule="auto"/>
        <w:rPr>
          <w:sz w:val="20"/>
          <w:szCs w:val="20"/>
          <w:color w:val="auto"/>
        </w:rPr>
      </w:pPr>
      <w:r>
        <w:rPr>
          <w:rFonts w:ascii="Times New Roman" w:cs="Times New Roman" w:eastAsia="Times New Roman" w:hAnsi="Times New Roman"/>
          <w:sz w:val="18"/>
          <w:szCs w:val="18"/>
          <w:color w:val="auto"/>
        </w:rPr>
        <w:t>Employees engage with one another through their teams, but also through our weekly gatherings, outings and friendly competitions and challenges.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is key.</w:t>
      </w:r>
    </w:p>
    <w:p>
      <w:pPr>
        <w:spacing w:after="0" w:line="225" w:lineRule="exact"/>
        <w:rPr>
          <w:sz w:val="20"/>
          <w:szCs w:val="20"/>
          <w:color w:val="auto"/>
        </w:rPr>
      </w:pPr>
    </w:p>
    <w:p>
      <w:pPr>
        <w:ind w:left="720" w:right="79" w:hanging="319"/>
        <w:spacing w:after="0" w:line="26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Entrepreneurial Mindset: </w:t>
      </w:r>
      <w:r>
        <w:rPr>
          <w:rFonts w:ascii="Times New Roman" w:cs="Times New Roman" w:eastAsia="Times New Roman" w:hAnsi="Times New Roman"/>
          <w:sz w:val="18"/>
          <w:szCs w:val="18"/>
          <w:color w:val="auto"/>
        </w:rPr>
        <w:t>We place a high value on grit, courage and resolve. Our organizational energy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sense of a startup.</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 are encouraged to think like an owner.</w:t>
      </w:r>
    </w:p>
    <w:p>
      <w:pPr>
        <w:spacing w:after="0" w:line="20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Every Idea Matters: </w:t>
      </w:r>
      <w:r>
        <w:rPr>
          <w:rFonts w:ascii="Times New Roman" w:cs="Times New Roman" w:eastAsia="Times New Roman" w:hAnsi="Times New Roman"/>
          <w:sz w:val="18"/>
          <w:szCs w:val="18"/>
          <w:color w:val="auto"/>
        </w:rPr>
        <w:t>Sometimes the best ideas evolve from where it is least expected.</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 ideas are welcome.</w:t>
      </w:r>
    </w:p>
    <w:p>
      <w:pPr>
        <w:spacing w:after="0" w:line="205" w:lineRule="exact"/>
        <w:rPr>
          <w:sz w:val="20"/>
          <w:szCs w:val="20"/>
          <w:color w:val="auto"/>
        </w:rPr>
      </w:pPr>
    </w:p>
    <w:p>
      <w:pPr>
        <w:ind w:left="720" w:right="79" w:hanging="319"/>
        <w:spacing w:after="0" w:line="26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Humility, Empathy and Integrity: </w:t>
      </w:r>
      <w:r>
        <w:rPr>
          <w:rFonts w:ascii="Times New Roman" w:cs="Times New Roman" w:eastAsia="Times New Roman" w:hAnsi="Times New Roman"/>
          <w:sz w:val="18"/>
          <w:szCs w:val="18"/>
          <w:color w:val="auto"/>
        </w:rPr>
        <w:t>We act individually and as a team with these three attributes in mind in all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care to do what is right.</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we had 38 full-time employees, 13 of whom were primarily engaged in research and development activities. Four of these employees have an M.D. or Ph.D. degree. None of our employees is represented by a labor union and we consider our employee relations to be excellent.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headquarters is currently located in Montréal (Québec), Canada and consists of 7,700 square feet of leased office space under a lease that expires in November 2027. We also have a U.S. subsidiary in Charlotte, North Carolina that occupies 13,050 square feet of leased office space under a lease that expires in September 2027.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From time to time, we may become involved in legal proceedings arising in the ordinary course of our business. We are not currently a party to any material legal proceedings, and we are not aware of any pending or threatened legal proceedings against us that we believe could have an adverse effect on our business, operating results or financial condition.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Milestone Pharmaceuticals Inc. was incorporated under the laws of the province of Québec in July 2003. Our principal executive offices are located at 1111 Dr. Frederik-Philips Blvd., Suite 420, Montréal, Québec, Canada H4M 2X6, and our telephone number is (514) 336-0444. Our US offices are located at 6210 Ardrey Kell Rd, Suite 650, Charlotte, NC 28277 and our telephone number is (704) 848-5316.</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maintain an internet website at www.milestonepharma.com and make available free of charge through our website our Annual Reports on Form 10-K, Quarterly Reports on Form 10-Q, Current Reports on Form 8-K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Securities and Exchange Commission, or “SEC”. You can review our electronically filed reports and other information that we file with the SEC on the SEC’s website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21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and our corporate website, including without limitation the “Investors” and “Events and Presentations” sections of our website. We use these channels, as well as social media channels such as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“Investors” and “Events and Presentations” sections of our corporate website and on our social media channels. The contents of our corporate website and social media channels are not, however, a part of this Annual Report.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high degree of risk. You should carefully consider the following information about these risks, together with the other information appearing elsewhere in this Annual Report on Form 10-K, consolidated financial statements and related notes thereto and “Management’s Discussion and Analysis of Financial Condition and Results of Operations,” before deciding to invest in our common shares.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shares could decline, and you may lose all or part of your investment. We cannot assure you that any of the events discussed below will not occur.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until revenue from CARDAMYST is sufficient to fund our operations, if ever, and may never achieve or maintain profitability.</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inception in 2003, we have incurred significant operating losses. Our net loss was $63.1 million and $41.5 million for the years ended December 31, 2025 and 2024, respectively. As of December 31, 2025, we had an accumulated deficit of $430.6 million. We expect to continue to incur significant expenses and increase operating losses for the foreseeable future. Since inception, we have devoted substantially all of our efforts to research and preclinical and clinical development of etripamil, as well as to expanding our management team and infrastructure. We expect that our existing cash and cash equivalents and short-term investments will be sufficient to fund our operations for at least the next 12 months from the date of issuance of this 10-K for the year ending December 31, 2025 and that there are no events or conditions that may cast substantial doubt on our ability to continue as a going concern for at least the next 12 months from the date of this filing.</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We anticipate that our expenses will increase if, and as, we:</w:t>
      </w:r>
    </w:p>
    <w:p>
      <w:pPr>
        <w:spacing w:after="0" w:line="162" w:lineRule="exact"/>
        <w:rPr>
          <w:sz w:val="20"/>
          <w:szCs w:val="20"/>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development of etripamil, including future Phase 3 clinical trials for the treatment of AFib-RVR and potential Phase 4 clinical trials for treatment of PSVT;</w:t>
      </w:r>
    </w:p>
    <w:p>
      <w:pPr>
        <w:spacing w:after="0" w:line="161" w:lineRule="exact"/>
        <w:rPr>
          <w:rFonts w:ascii="Times New Roman" w:cs="Times New Roman" w:eastAsia="Times New Roman" w:hAnsi="Times New Roman"/>
          <w:sz w:val="18"/>
          <w:szCs w:val="18"/>
          <w:color w:val="auto"/>
        </w:rPr>
      </w:pPr>
    </w:p>
    <w:p>
      <w:pPr>
        <w:ind w:left="1060" w:right="79" w:hanging="362"/>
        <w:spacing w:after="0" w:line="282"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either directly or through collaboration with our partners, marketing approval for etripamil nasal spray for the treatment of PSVT from regulatory agencies responsible for regions outside the United States;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etripamil for the treatment of AFib-RVR and other cardiovascular indications;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marketing, manufacturing and distribution capabilities, either directly or indirectly with third parties;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portfolio of product candidates through development, or the acquisition or in-license of drugs, product candidates or technologies;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potential expansion of our future commercialization efforts;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insurance related, accounting and other expenses associated with operating as a public company.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commercializing CARDAMYST for the treatment of PSVT and developing and eventually commercializing product candidates that generate significant revenue. This will require us to be successful in a range of challenging activities, including commercialization of CARDAMYST for the treatment of PSVT, completing any further clinical trials of etripamil and any future product candidates that way may pursue, obtaining regulatory approval, and manufacturing, marketing and selling etripamil and any future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profitability.-scale manufacturing, marketing and selling etripamil and any future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have gained or may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accurately predict the timing or amount of expenses or when, or if, we will be able to achieve profitability.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or other regulatory authorities to perform studies in addition to those we currently expect, or if there are any delays in the initiation and completion of our clinical trials or the development of etripamil or any future product candidates.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limited history of commercializing products may make it difficult for you to evaluate the success of our business to date and to assess our future viability.</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commercial pharmaceutical company founded in 2003, and our operations to date have been largely focused on raising capital, organizing, staffing our Company and undertaking preclinical studies and conducting clinical trials for etripamil. As an organization, we have not yet demonstrated the ability to conduct sales and marketing activities necessary for successful commercialization. Consequently, any predictions about our future success or viability may not be as accurate as they could be if we had a longer operating history or a history of scaling product or arranging for a third party to do so on our behalf, or conducting sales and marketing activities necessary for successful commercialization. Consequently, any predictions about our future success or viability may not be as accurate as they could be if we had a longer operating history or a history of successful clinical development and commercialization of products.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are currently transitioning from a company with a research and development focus to a company primarily focused on commercial activities. We may not be successful in such a transition.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If we are unable to raise capital when needed, we could be forced to delay, reduce or terminate our development of etripamil or other operations, including the continued commercialization of CARDAMYST.</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Based on our commercialization and research and development plans, we expect that our existing cash and cash equivalents and short-term investments will be sufficient to fund our operations for at least the next 12 months from the date of issuance of this 10-K for the year ended December 31, 2025 and that there are no events or conditions that we are aware of that cast substantial doubt on our ability to continue as a going concern for at least the next 12 months from the date of this filing. However, we will need to obtain substantial additional funding in connection with our continuing operations and planned activities, including the continued commercialization of CARDAMYST. Our future capital requirements will depend on many factors, including:</w:t>
      </w:r>
    </w:p>
    <w:p>
      <w:pPr>
        <w:spacing w:after="0" w:line="189" w:lineRule="exact"/>
        <w:rPr>
          <w:sz w:val="20"/>
          <w:szCs w:val="20"/>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of and results of our ongoing and planned clinical trials of etripamil in AFib-RVR and in other indications;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etripamil for additional indications or any future product candidates that we may pursue;</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vendors who we rely on to accurately forecast expenses and deliver on expectations;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etripamil in subsequent indications and any future product candidates;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etripamil and any future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 license other product candidates and technologies;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of additional product candidates and achieve product sales related thereto. For example, our NODE-301 trial of etripamil for PSVT did not meet its primary endpoint. In addition, CARDAMYST, additional indications of etripamil and any future product candidates may not achieve commercial success. In the near term, our commercial revenues will be derived from sales of CARDAMYST, which may not be sufficient to fund our operations. Accordingly, we will need to continue to rely on additional financing to achieve our business objectives. Adequate additional financing may not be available to us on acceptable terms, or at all. We may seek additional capital due to favorable market conditions or strategic considerations even if we believe we have sufficient funds for our current or future operating plans.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Weakness and volatility in capital markets and the economy, in general or as a result of bank failures or macroeconomic conditions such as rising inflation, could limit our access to capital markets and increase our costs of borrowing. If we are unable to raise capital when needed or on attractive terms, we could be forced to delay, reduce, or altogether terminate our research and development programs or future commercialization efforts.</w:t>
      </w:r>
    </w:p>
    <w:p>
      <w:pPr>
        <w:spacing w:after="0" w:line="19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Greater than expected returns of CARDAMYST may exceed our reserve for returns, which would adversely affect our revenue and operating results.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pharmaceutical wholesalers and distributors to which we sell CARDAMYST are permitted to return purchased product under certain circumstances. We estimate expected returns based on our review of similar products in the industry and record discrete reserves if products held by distributors, forecasted sales and expiration of product warrant a reserve. Any significant increase in returns that exceeds our reserve could adversely affect our revenue and operating results.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Geopolitical conflict, including wars, and the related political and economic responses thereto, such as sanctions, may also exacerbate these issues. A severe or prolonged economic downturn could result in a variety of risks to our business, including weakened demand for CARDAMYST,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8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product candidates.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such as the 2029 Convertible Notes (as defined herein), your ownership interest may be diluted,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non-capital loss carry-forwards to offset future taxable income may be subject to certain limitations.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2025, we had Canadian federal and provincial non-capital loss carry forwards of $230.7 million and $226.6 million, respectively, which expire beginning in 2026 through 2045. In addition, we also have scientific research and experimental development expenditures of $32.7 million and $38.8 million, respectively, for Canadian federal and provincial income tax purposes, which have not been deducted. These expenditures are available to reduce future taxable income and have an unlimited carry-forward period.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w:t>
      </w:r>
    </w:p>
    <w:p>
      <w:pPr>
        <w:spacing w:after="0" w:line="18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subsidiary’s ability to use its U.S. net operating loss carryforwards and certain other tax attributes for U.S. income tax purposes may be limited.</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of December 31, 2025, we had U.S. federal net operating loss carry-forwards, or “NOLs,” of $103.2 million as a result of expenses incurred by Milestone Pharmaceuticals USA, Inc., our wholly owned subsidiary. Under current U.S. federal tax law, NOLs incurred in taxable years ending beginning after December 31, 2017 may be carried forward indefinitely. However, the deductibility of such NOLs is limited to 80% of taxable income. It is uncertain if and to what extent various states will conform to the federal law. In addition, under Sections 382 and 383 of the Internal Revenue Code of 1986, as amended, and corresponding provisions of state law, if a corporation undergoes an “ownership change,” which is generally defined as a greater than 50% change (by value) in its equity ownership over a three year period, the corporation’s ability to use its pre change NOL carryforwards and other pre change tax attributes (such as research tax credits) to offset its post change income may be limited. It is possible that we have experienced one or more ownership changes in the past. In addition, we may also experience ownership changes in the future as a result of subsequent shifts in our share ownership, some of which may be outside of our control. As a result, if we earn net taxable income, our ability to use our pre ownership 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one approved product, CARDAMYST™ (etripamil) nasal spray, a prescription medication for the conversion of acute symptomatic episodes of PSVT. We are currently pursuing clinical development for subsequent etripamil indications. If we are not able to obtain required regulatory approvals for subsequent etripamil indications or any future product candidates, our ability to generate revenue will be adversely affected.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Etripamil is currently our only product. We have not obtained regulatory approval for additional indications of etripamil or any other product candidate, and it is possible that neither new indications of etripamil nor any product candidates we may seek to develop in the future will ever obtain regulatory approval. Neither we nor any future collaborator is permitted to market any drug product candidates in the United States or other countries until we receive regulatory approval from the FDA or applicable foreign regulatory agency. The time required to obtain approval or other marketing authorizations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obtaining approval to commercialize etripamil for additional indications and any other drug product candidate in the United States or elsewhere, we must demonstrate with substantial evidence from well 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nonclinical studies, including human factor studies, or clinical trials for our product candidates either prior to or post-approval, or it may object to elements of our clinical development program. For example, the approval of CARDAMYST is subject to a postmarketing requirement to conduct a safety, pharmacokinetics and pharmacodynamics trial in pediatric patients with PSVT.</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etripamil or any future product candidates, which would significantly harm our business, financial condition, results of operations and prospects.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etripamil. Our business would be enhanced if we are able to successfully develop etripamil and obtain regulatory approval for subsequent indications and other potential product candidates.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 NDA, or foreign marketing application for additional indications of etripamil and any future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that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have received approval of CARDAMYST in the United States, the FDA may change their policies, adopt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beyond etripamil for PSVT.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intend to build a pipeline of product candidates beyond etripamil for PSVT and progress these product candidates through clinical development. For example, on November 11, 2023, we announced positive Phase 2 clinical trial data on etripamil for the treatment of AFib-RVR and we intend to conduct Phase 3 development. We may not be able to successfully expand the scope of cardiovascular indications for etripamil beyond PSVT, or leverage our expertise and experience with etripamil in PSVT to other product candidates. We may not be able to in-license, acquire or develop future product candidates that are safe and effective. Even if we are successful in continuing to expand etripamil to other indications and further build our pipeline, the potential product candidates that we identify may not be suitable for clinical development, including as a result of safety, tolerability, efficacy or other characteristics that indicate that they are unlikely to be drugs that will receive marketing approval, achieve market acceptance or obtain reimbursements from third-party payors. If we do not successfully execute on our strategy of expanding our product pipeline, it could significantly harm our financial position and adversely affect the trading price of our common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of additional product candidates is risky and uncertain.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Efforts to identify, acquire or in-license, and then develop product candidates require substantial technical, financial and human resources, whether or not any product candidates are ultimately identified. Our efforts may initially show promise in identifying potential product candidates, yet fail to yield product candidates for clinical development, approved products or commercial revenues for many reasons, including the following:</w:t>
      </w:r>
    </w:p>
    <w:p>
      <w:pPr>
        <w:spacing w:after="0" w:line="180" w:lineRule="exact"/>
        <w:rPr>
          <w:sz w:val="20"/>
          <w:szCs w:val="20"/>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potential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nevertheless be covered by third parties’ patents or other exclusive rights;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limited financial and management resources and, as a result, we may forego or delay pursuit of opportunities with other product candidates or for other indications that later prove to have greater market potential. Our resource allocation decisions may cause us to fail to capitalize on viable commercial drugs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If we are unsuccessful in identifying and developing additional product candidates or are unable to do so, our business may be harmed.</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and to understand the side effects of product candidates at various doses and schedules. Success in preclinical studies and earlier clinical trials does not ensure that later efficacy trials will be successful, nor does it predict final results. For example, our Phase 2 clinical trial of etripamil for PSVT was conducted in an electrophysiology lab, a controlled setting, in which episodes of SVT were induced and etripamil was administered by healthcare providers. Our Phase 3 clinical trials were conducted in an at-home setting with patients self-administering etripamil and monitoring their cardiac activity as episodes of SVT occur. Additionally, in our Phase 2 clinical trial, four sprays of study drug were dispensed to patients using four separate FDA approved single spray devices. In our Phase 3 clinical trials, patients self-administered two to four sprays of study drug from an FDA approved device that is capable of delivering two separate sprays. While our RAPID Phase 3 trial did meet its primary endpoint, our NODE-301 clinical trial did not meet its primary endpoint. Additional indications of etripamil and any future product candidates may fail to show the desired safety and efficacy in clinical development despite positive results in preclinical studies or having successfully advanced through earlier clinical trials.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design of a clinical trial can determine whether its results will support approval of a product, and flaws in the design of a clinical trial may not become apparent until the clinical trial is well advanced. Clinical trial design flaws are more likely in therapy areas, such as PSVT, where there are limited previous trials from which to learn and model clinical trials. As an organization, we have limited experience designing clinical trials for future indications of etripamil or other product candidates and may be unable to design and execute a clinical trial to support regulatory approval. Many companies in the pharmaceutical and biotechnology industries have suffered significant setbacks in late-stage clinical trials even after achieving promising results in preclinical testing and earlier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or difficulties in our clinical trials.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not commercialize, market, promote or sell any product candidate without obtaining marketing approval from the FDA or comparable foreign regulatory authorities, and we may never receive such approvals in subsequent etripamil indications or any other potential unapproved product candidates. It is impossible to predict when or if any of our future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etripamil and any future product candidates, including:</w:t>
      </w:r>
    </w:p>
    <w:p>
      <w:pPr>
        <w:spacing w:after="0" w:line="162" w:lineRule="exact"/>
        <w:rPr>
          <w:sz w:val="20"/>
          <w:szCs w:val="20"/>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research organizations, or “CROs,” and clinical trial sites;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patients may drop out of these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trials at a higher rate than we anticipate or fail to return for post-treatment follow up or we may fail to recruit suitable patients to participate in a trial;</w:t>
      </w:r>
    </w:p>
    <w:p>
      <w:pPr>
        <w:spacing w:after="0" w:line="162" w:lineRule="exact"/>
        <w:rPr>
          <w:sz w:val="20"/>
          <w:szCs w:val="20"/>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public health emergencies, or other geopolitical tensions;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government agencies, such as the FDA, including as a result of levels of government funding, the ability to fill key leadership roles; or</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risk evaluation and mitigation strategy, or “REMS”;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we, the FDA or an IRB may suspend our clinical trials at any time if it appears that we or our collaborators are failing to conduct a trial in accordance with regulatory requirements, including the FDA’s current GCP regulations, that we are exposing participants to unacceptable health risks, or if the FDA finds deficiencies in our investigational new drug applications, or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product candidates will require clinical testing before we are prepared to submit an NDA, or comparable application to foreign regulatory authorities, for regulatory approval. We cannot predict with any certainty if or when we might submit an application for regulatory approval for any of our product candidates or whether any such application will be approved by the FDA or foreign regulatory authority. Human clinical trials are very expensive and difficult to design and implement, in part because they are subject to rigorous regulatory requirements. For instance, the FDA or foreign regulatory authority may not agree with our proposed endpoints for any future clinical trial of our product candidates, which may delay the commencement of our clinical trials. In addition, we may not succeed in developing and validating disease relevant clinical endpoints based on insights regarding biological pathways for the diseases we are studying. The clinical trial process is also time-consuming. We estimate that the successful completion of clinical trials for etripamil and any future product candidates will take several years to complete. Furthermore, failure can occur at any stage, and we could encounter problems that cause us to abandon or repeat clinical trials.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If the actual number of patients with PSVT, AFib-RVR, or any other indications that we may pursue for etripamil or future product candidates, is smaller than we anticipate, we may encounter difficulties in enrolling patients in our clinical trials, thereby delaying or preventing development and approval of etripamil and any future product candidates. Even once enrolled, we may be unable to retain a sufficient number of patients to complete any of our trials. Patient enrollment and retention in clinical trials depends on many factors, including the size of the patient population, the nature of the trial protocol, the existing body of safety and efficacy data, the number and nature of competing treatments and ongoing clinical trials of competing therapies for the same indication, the proximity of patients to clinical sites, the experience and capabilities of the clinical sites to recruit the correct patients, and the eligibility criteria for the trial. Patient enrollment may also be affected by public health crises, such as patients experiencing difficulty accessing clinical trial sites and complying with clinical trial protocols.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our efforts to build relationships with patient communities may not succeed, which could result in delays in patient enrollment in our clinical trials. In addition, any negative results we may report in clinical trials of etripamil, and any future product candidate may make it difficult or impossible to recruit and retain patients in other clinical trials of that same product candidate. For example, we reported a failed primary endpoint from our NODE-301 trial in March 2020. Delays or failures in planned patient enrollment or retention may result in increased costs, program delays, or both, which could have a harmful effect on our ability to develop etripamil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Similarly, our formulation of etripamil is designed to be self-administered as a nasal spray. While we expect enrolled patients to adhere to the protocol, our ability to ensure patient compliance is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For example, in our Phase 2 clinical trial for PSVT, three serious adverse events, or “SAEs,” were considered possibly related to etripamil, including an episode of second-degree AV block that subsequently and spontaneously resolved. Calcium channel blockers have known side effects, such as slowing AV conduction, slowing the heart rate below normal levels and hypotension, or low blood pressure. While we designed etripamil to have a short pharmacodynamic effect to lower these risks, if etripamil is not quickly metabolized as designed, these known side effects may become more pronounced in patients who use etripamil.</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it is possible that as we test etripamil or any future product candidates in larger, longer, and more extensive clinical trials, or as use of etripamil or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 or patients. Many times, side effects are only detectable after investigational drugs are tested in large-scale pivotal trials or, in some cases, after they are made available to patients on a commercial scale after approval. If additional clinical experience indicates that etripamil or any future product candidates have side effects or causes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explore additional strategic collaborations that may never materialize, or we may be required to relinquish important rights to and control over the development of our product candidates to any future collaborators.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continue to periodically explore a variety of possible strategic collaborations in an effort to gain access to additional product candidates or resources.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strategic collaborations because of the numerous risks and uncertainties associated with establishing them.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collaborations could subject us to a number of risks, including:</w:t>
      </w:r>
    </w:p>
    <w:p>
      <w:pPr>
        <w:spacing w:after="0" w:line="225" w:lineRule="exact"/>
        <w:rPr>
          <w:sz w:val="20"/>
          <w:szCs w:val="20"/>
          <w:color w:val="auto"/>
        </w:rPr>
      </w:pPr>
    </w:p>
    <w:p>
      <w:pPr>
        <w:ind w:left="1020" w:right="7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shareholders’ percentage ownership of our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of products resulting from the strategic collaboration arrangement or may elect to discontinue research and development programs;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revenues from these products;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or development of our product candidates or that result in costly litigation or arbitration that diverts management’s attention and consumes resources;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and Product Candidates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and maintain sales, marketing and distribution capabilities for CARDAMYST for the treatment of PSVT or any product candidate that may receive regulatory approval, we may not be successful in commercializing CARDAMYST for the treatment of PSVT or our product candidates if and when they are approved .</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in the early stages of commercializing CARDAMYST for the treatment of PSVT. To achieve commercial success for CARDAMYST for the treatment of PSVT, any additional indications for etripamil and any other product candidate for which we may obtain marketing approval, we will need to continue to implement and maintain an effective sales and marketing organization. We have built a focused sales and marketing organization to launch CARDAMYST for the treatment of PSVT in the United States. However, we may choose to expand upon our sales force in the future for PSVT, additional etripamil indications, or other product candidates. There are inherent risks to implementing and maintaining a standalone commercial organization, which is also time-consuming and requires significant financial resources.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Factors that create risk and may inhibit our efforts to commercialize our products on our own include: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any future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favorable insurance coverage of any approved product;</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implement and maintain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maintain sales, marketing and distribution capabilities successfully, either on our own or in collaboration with third parties, we will not be successful in commercializing our product candidates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CARDAMYST, along with any subsequent etripamil indications or any other product candidates, if approved, may fail to achieve market acceptance by physicians, patients, third-party payors or others in the medical community necessary for commercial success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CARDAMYST, any subsequent etripamil indications and any other product candidates that receive marketing approval may fail to gain market acceptance by physicians, patients, third-party payors and others in the medical community. If such CARDAMYST, any subsequent etripamil indications or any future product candidates do not achieve an adequate level of acceptance, we may not generate significant drug revenue and may not become profitable. The degree of market acceptance of CARDAMYST, any subsequent etripamil indications or any future product candidates, if approved for commercial sale, will depend on a number of factors, including but not limited to third-party payors and others in the medical community. If such CARDAMYST, any subsequent etripamil indications or any future product candidates do not achieve an adequate level of acceptance, we may not generate significant drug revenue and may not become profitable. The degree of market acceptance of CARDAMYST, any subsequent etripamil indications or any future product candidates, if approved for commercial sale, will depend on a number of factors, including but not limited to:</w:t>
      </w:r>
    </w:p>
    <w:p>
      <w:pPr>
        <w:spacing w:after="0" w:line="194" w:lineRule="exact"/>
        <w:rPr>
          <w:sz w:val="20"/>
          <w:szCs w:val="20"/>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 and therapies;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and therapies;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relationships with patient communities;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therapies, including any similar generic treatments;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drug for sale at competitive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any restrictions on the use of the drug together with other medications; and the awareness and support from key opinion leaders in cardiology.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efforts to educate physicians, patients, third-party payors and others in the medical community on the benefits of CARDAMYST, any subsequent etripamil indications or any future product candidates may require significant resources and may never be successful. Because we expect sales of CARDAMYST, any subsequent etripamil indications or any future product candidates, if approved, to generate substantially all of our revenues for the foreseeable future, the failure of these product candidates to find market acceptance would harm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etripamil for the treatment of PSVT will be dependent on its proper use.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have designed etripamil to be self-administered, we cannot control the successful use of the product. While we have conducted, and intend in the future to conduct, human factors studies to determine how to optimize the instructions for use, the results in our clinical trials may not be replicated by users in the future. If we are not successful in promoting the proper use of etripamil, we may not be able to achieve market acceptance or effectively commercialize the drug. In addition, even in the event of proper use of etripamil, individual devices may fail.</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CARDAMYST, any subsequent indications for etripamil and any future product candidates are smaller than we estimate, our business may suffer.</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eligible patient population may differ significantly from the actual market addressable by our products and product candidates. Our projections of both the number of people who have these conditions, as well as the subset of people with these diseases who have the potential to benefit from treatment with our product candidates, are based on our beliefs and estimates. These estimates have been derived from a variety of sources, including scientific literature, insurance claims databases, or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access. If the market opportunities for our product candidates are smaller than we estimate, our business and results of operations could be adversely affected.</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which may result in others developing or commercializing drugs before or more successfully than us.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may face competition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 established companies may have a competitive advantage over us due to their greater size, resources, and institutional experience. In particular, these companies have greater experience and expertise in securing reimbursement, negotiating government contracts, establishing relationships with key opinion leaders, conducting testing and clinical trials, obtaining and maintaining regulatory approvals, and distribution relationships. These companies also have significantly greater research and marketing capabilities than we do. If we are not able to compete effectively against existing and potential competitors, our business and financial condition may be harmed.</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drugs before we are able to, which may limit our ability to develop or commercialize future product candidates. Our competitors may also develop therapies that are safer, more effective, more widely accepted or less expensive than ours, and may also be more successful than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manufacturing and marketing their drugs. These advantages could render our product candidates obsolete or noncompetitive before we can recover the costs of such product candidates’ development and commercialization.</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etripamil or any future product candidates outside of the United States, a variety of risks associated with international operations could harm our business.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intend to seek approval to market etripamil outside of the United States and may do so for future product candidates. If we market approved products outside of the United States, we expect that we will be subject to additional risks in commercialization including:</w:t>
      </w:r>
    </w:p>
    <w:p>
      <w:pPr>
        <w:spacing w:after="0" w:line="176" w:lineRule="exact"/>
        <w:rPr>
          <w:sz w:val="20"/>
          <w:szCs w:val="20"/>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pandemics and public health crisis (such as the COVID-19 pandemic), geopolitical actions, including war , and terrorism or natural disasters including earthquakes, typhoons, floods and fires.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and outside of Europe with which we will need to comply. Many biopharmaceutical companies have found the process of marketing their own products in foreign countries to be very challenging.</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 which may negatively affect the commercialization of the Company’s medicines and drug candidates in that country.</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15, 2021, the Company entered into a license and collaboration agreement, or the License Agreement, with Corxel, which is an entity affiliated with RTW Investments, LP, or “RTW,” an existing shareholder of the Company. Under the License Agreement, the Company granted Corxel exclusive development and commercialization rights to any pharmaceutical product that uses a device to deliver etripamil by nasal spray for all prophylactic and therapeutic uses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humans in the following territories: People’s Republic of China, including mainland China, Hong Kong, Macau, and Taiwan. The pharmaceutical industry in China is subject to comprehensive government regulation and supervision, encompassing the approval, registration, manufacturing, packaging, licensing, and marketing of new medicines. In recent years, the regulatory framework in China for pharmaceutical companies has undergone significant changes, and the Company expects that such changes will continue in the foreseeable future. Any such change may cause delays in or prevent the successful research, development, manufacturing, or commercialization of etripamil in the greater China region and may reduce the current benefits the Company believes are available to it from licensing such products to be developed, manufactured, and sold in the greater China region. In addition, any failure by the Company or its partners to maintain compliance with applicable laws and regulations or obtain and maintain required licenses and permits may result in the suspension or termination of its business activities in China or create other legal risks and the continuing compliance of such changing regulation may require the Company to incur substantial legal and regulatory expenses.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CARDAMSYT or any future product candidates, which could make it difficult for us to gain market acceptance.</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commercialize,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are reimbursed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 Further, the increased emphasis on cost containment in the United States and abroad will put additional pressure on product pricing, reimbursement and usage.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20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etripamil or any future product candidates that we develop.</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Therefore, even if favorable coverage and reimbursement status is attained for one or more drug products for which we receive regulatory approval, less favorable coverage policies and reimbursement rates may be implemented in the future. If we are unable to obtain and maintain sufficient third-party coverage and adequate reimbursement for our drug products, the commercial success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of our drug products may be greatly hindered, and our financial condition and results of operations may be materially and adversely affected.</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commercializing etripamil or testing and commercializing any future product candidates in clinical trials. If we cannot successfully defend ourselves against claims that any such product candidates caused injuries, we could incur substantial liabilities. Regardless of merit or eventual outcome, liability claims may result in:</w:t>
      </w:r>
    </w:p>
    <w:p>
      <w:pPr>
        <w:spacing w:after="0" w:line="180" w:lineRule="exact"/>
        <w:rPr>
          <w:sz w:val="20"/>
          <w:szCs w:val="20"/>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Although we maintain clinical trial liability insurance coverage with maximum coverage of $10 million per incident and an aggregate loss limit of $10 million such insurance may not be adequate to cover all liabilities that we may incur with a medical product during the clinical trials. We anticipate that we will need to increase our insurance coverage each time we commence a clinical trial and maintain a product liability insurance if we successfully commercialize any product candidate. Insurance coverage is increasingly expensive. We may not be able to maintain insurance coverage at a reasonable cost or in an amount adequate to satisfy any liability that may arise.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maintain approval for CARDAMYST, or we obtain and maintain approval for subsequent etripamil indications or any future product candidates from the FDA, we may never obtain approval of etripamil or any future product candidates outside of the United States, which would limit our market opportunities and could harm our business.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etripamil or any future product candidates outside of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etripamil or any future product candidates in the European Union from the European Commission following the opinion of the European Medicines Agency, if we choose to submit a marketing authorization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application there, would be a lengthy and expensive process. Even if a product candidate is approved, the FDA or the European Commission, as the case may be, may limit the indications for which the drug may be marketed, require extensive warnings on the drug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etripamil or any future product candidates in certain countries.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our product candidates may be withdrawn. If we fail to comply with the regulatory requirements, our target market will be reduced and our ability to realize the full market potential of etripamil or any future product candidates will be harmed and our business, financial condition, results of operations and prospects could be harmed.</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CARDAMYST, and any subsequent etripamil indications or any future product candidates, if approved, will remain subject to ongoing regulatory oversight.</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CARDAMYST, and any subsequent etripamil indications or any future product candidates, if approved, will be subject to ongoing regulatory requirements for manufacturing, labeling, packaging, storage, advertising, promotion, sampling, record-keeping, and submission of safety and other post-market information. Any regulatory approvals that we receive for etripamil or any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 Such regulatory requirements may differ from country to country depending on where we have received regulatory approval.</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for CARDAMYST or any subsequent etripamil indications, a regulatory authority may:</w:t>
      </w:r>
    </w:p>
    <w:p>
      <w:pPr>
        <w:spacing w:after="0" w:line="162" w:lineRule="exact"/>
        <w:rPr>
          <w:sz w:val="20"/>
          <w:szCs w:val="20"/>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NDA or comparable foreign marketing application or any supplements thereto submitted by us or our partners;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Physicians, on the other hand, may prescribe products for off-label uses. Although the FDA and other regulatory agencies do not regulate a physician’s choice of drug treatment made in the physician’s independent medical judgment, they do regulate promotional communications from companies or their sales force with respect to off-label uses of products for which marketing clearance has not been issued. However, biopharmaceutical companies may share truthful and not misleading information that is otherwise consistent with the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etripamil or any future product candidates and harm our business, financial condition, results of operations and prospects.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we cannot predict the likelihood, nature or extent of government regulation that may arise from future legislation or administrative or executive action, either in the United States or abroad.</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our products, if we obtain marketing approval.</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defined to include anything of value, including cash, improper discounts, and free or reduced-price items and services. Additionally, the intent standard under the federal Anti-Kickback Statute was amended by PPACA, to a stricter standard such that a person or entity does not need to have actual knowledge of the statute or specific intent to violate it in order to have committed a violation. Further, PPACA codified case law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federal false claims, including the False Claims Act, and civil monetary penalties laws,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federal Health Information Insurance Portability and Accountability Act of 1996, or “HIPAA,” prohibits, among other things, knowingly and willfully executing, or attempting to execute, a scheme to defraud any healthcare benefit program, or knowingly and willfully falsifying, concealing, or covering up a material fact or making any materially false statement,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also imposes, among other things, certain standards and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transmission, and breach reporting of individually identifiable health information.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Physician Payments Sunshine Act, and its implementing regulations, require certain manufacturers of drugs, devices, biologics, and medical supplies that are reimbursable under Medicare, Medicaid, or the Children’s Health Insurance Program to report annually to Centers for Medicare &amp; Medicaid Services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will also be subject to healthcare regulation and enforcement by the U.S. federal government and the states and any other countries in which we conduct our business, including our research, and the sales, marketing, and distribution of our product candidates and products once they have obtained marketing authorization.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some state and local laws require certain regulatory licenses to manufacture or distribute our products commercially and/or the registration of pharmaceutical sales representatives in the jurisdiction. 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 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For example, in March 2010 the PPACA, was passed, which substantially changed the way healthcare is financed by both governmental and private payors in the United States. There have been amendments, as well as executive, judicial and Congressional challenges, to certain aspects of the PPACA. For example, on July 4, 2025, the One Big Beautiful Bill Act, or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is also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w:t>
      </w:r>
    </w:p>
    <w:p>
      <w:pPr>
        <w:spacing w:after="0" w:line="12"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 aggregate reductions to Medicare payments to providers of 2% per fiscal year, which began in 2013 and will remain in effect until 2032 unless additional Congressional action is taken.</w:t>
      </w:r>
    </w:p>
    <w:p>
      <w:pPr>
        <w:spacing w:after="0" w:line="18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the Centers for Medicare &amp; Medicaid Services, or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owned by us, including the components of etripamil and any future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hazardous waste insurance coverage.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produce clinical and commercial supplies of etripamil and any future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and distribution, or testing. We are dependent on third parties to manufacture the clinical supplies of etripamil and any future product candidates. The facilities used by our contract manufacturers to manufacture etripamil and any future product candidates must be approved by the FDA pursuant to inspections. We do not control the manufacturing process of, and are completely dependent on, our contract manufacturing partners for compliance with regulatory requirements including current Good Manufacturing Practices or, “cGMPs,” for manufacture of active drug substances, nasal spray devices, and finished product candidates.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our contract manufacturers to maintain adequate quality control, quality assurance and qualified personnel. We intend to use multiple contract manufacturers for clinical and commercial supply of our drug product and drug substance. As such, we will need to demonstrate to the FDA that the drug product and drug substance from these contract manufacturers are comparable, which may include conducting additional equivalence studies.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approved products and product candidates, if and when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19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we also will rely on third-party manufacturers to supply us with sufficient quantities of etripamil and any future product candidates, if approved, for commercialization. We do not yet have a commercial supply agreement for the nasal spray device. If we are not able to meet market demand for any approved product, it would negatively affect our ability to generate revenue, harm our reputation, and could have a material and adverse effect on our business and financial condition. Increasing the scale of production inherently creates increased risk of manufacturing errors, and we may not be able to adequately inspect every device that is produced, and it is possible that individual devices may fail to perform as designed. Manufacturing errors could negatively impact market acceptance of any of our product candidates that receive approval, result in negative press coverage, or increase our liability.</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may not be subject if we manufactured product candidates ourselves, including:</w:t>
      </w:r>
    </w:p>
    <w:p>
      <w:pPr>
        <w:spacing w:after="0" w:line="162" w:lineRule="exact"/>
        <w:rPr>
          <w:sz w:val="20"/>
          <w:szCs w:val="20"/>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be able to execute our manufacturing procedures and other logistical support requirements appropriately;</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fail to comply with cGMP-compliance and other inspections by the FDA or other comparable regulatory authorities;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negotiate manufacturing agreements with third parties under commercially reasonable terms, if at all;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single source for the nasal spray device;</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devote sufficient resources to our product candidates;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public health emergencies, natural disasters, such as earthquakes, fires or floods, the bankruptcy of the manufacturer or supplier, carrier disruptions or increased costs that are beyond our control, and global macro uncertainty related to geopolitical conflicts; and</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to the extent we need to complete technology transfers to a backup CMO or alternative CMO, we may be subject to additional costs associated with the technology transfer or dependent on the cooperation of our current CMOs.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failure to obtain regulatory approval, or affect our ability to successfully commercialize etripamil or any future product candidates once approved. Some of these events could be the basis for FDA action, including injunction, request for recall, seizure, or total or partial suspension of production.</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preclinical studies and clinical trials, and if those third parties perform in an unsatisfactory manner, it may harm our business.</w:t>
      </w:r>
    </w:p>
    <w:p>
      <w:pPr>
        <w:spacing w:after="0" w:line="15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We have engaged CROs to conduct our Phase 2 clinical trial of etripamil for the treatment of AFib-RVR, and we expect to engage a CRO for future clinical trials of etripamil and any future product candidates. We do not currently have the ability to independently conduct any clinical trials.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and clinical trials is conducted in accordance with the applicable protocol, legal, regulatory and scientific standards, and our reliance on the CROs does not relieve us of our regulatory responsibilities.</w:t>
      </w:r>
    </w:p>
    <w:p>
      <w:pPr>
        <w:spacing w:after="0" w:line="17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and our CROs are required to comply with good laboratory practices, or “GLPs,” and GCPs, which are regulations and guidelines enforced by the FDA and comparable foreign regulatory authorities in the form of International Conference on Harmonization guidelines for any of our product candidates that are in preclinical and clinical development.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protocol, and applicable laws and regulations. Our reliance on the CROs does not relieve us of our regulatory responsibilities. If we or our CROs fail to comply with GCPs, the clinical data generated in our clinical trials may be deemed unreliable, and the FDA or comparable foreign regulatory authorities may require us to perform additional clinical trials before approving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marketing applications. Accordingly, if our CROs fail to comply with these regulations or fail to recruit a sufficient number of subjects, we may be required to repeat clinical trials, which would delay the regulatory approval process.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reliance on third parties to conduct clinical trials will result in less direct control over the management of data developed through clinical trials than would be the case if we were relying entirely upon our own staff. Any failure by third parties to prevent unauthorized access, use, or disclosure of data, including personal data regarding our patients or employees, could harm our reputation, cause us not to comply with federal and/or state breach notification laws and foreign law equivalents, and otherwise subject us to liability under laws and regulations that protect the privacy and security of personal data.</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Communicating with CROs and other third parties can be challenging, potentially leading to mistakes as well as difficulties in coordinating activities. Such parties may:</w:t>
      </w:r>
    </w:p>
    <w:p>
      <w:pPr>
        <w:spacing w:after="0" w:line="162" w:lineRule="exact"/>
        <w:rPr>
          <w:sz w:val="20"/>
          <w:szCs w:val="20"/>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business disruptions from public health emergencies;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successfully carry out their contractual duties or obligations, fail to meet expected deadlines, fail to comply with regulatory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that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our relationship with any of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affect our ability to meet our desired clinical development timelines. Though we intend to manage carefully our relationships with our CROs, there can be no assurance that we will not encounter challenges or delays in the future or that these delays or challenges will not have a negative impact on our business, financial condition, and prospects.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etripamil and any future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Etripamil is intended to be used with a nasal-spray device, which may result in additional regulatory and supply risks.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Etripamil is administered through a nasal-spray device that we obtain from a single-source supplier, and that supplier is relying on multiple component suppliers, some of whom are single-source suppliers. There are a limited number of device suppliers that address our particular design requirements. In addition, increasing the scale of production inherently creates increased risk of manufacturing errors, and we may not be able to adequately inspect every device that is produced, and it is possible that individual devices may fail to perform as designed. While we intend to explore alternative nasal spray devices for the delivery of etripamil that are produced by other suppliers to have backup sources for future commercial needs, we may not identify other nasal device suppliers that meet our requirements, and such alternative devices may not be as effective at the delivery of etripamil as our current supplier’s device. We do not currently have a formal supply agreement with our current sole nasal spray device supplier, and we are obtaining such devices as needed. Even if we reach an agreement for commercial supply, if we do not have additional nasal spray device suppliers, our sole supplier may be unable to meet our demands. Unpredictability of supply could have a material adverse effect on our commercialization plans for etripamil and could have a material adverse effect on our business and financial condition.</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Delays in or failure of the studies conducted by us, or failure of our Company, our collaborators, if any, or the third-party providers or suppliers to obtain or maintain regulatory approval could result in increased development costs, delays in or failure to obtain regulatory approval, and associated delays in etripamil reaching the market. Further, failure to successfully develop or supply the device, or to gain or maintain its approval, could adversely affect sales of etripamil.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etripamil or any future product candidates, or if the scope of the patent protection obtained is not sufficiently broad, our competitors could develop and commercialize drugs similar or identical to ours, and our ability to commercialize successfully our product candidates may be impaired.</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etripamil and any future product candidates. We seek to protect our proprietary position by filing patent applications in the United States and abroad related to our product candidates. The patent application and prosecution process is expensive and time-consuming. We may not be able to file and prosecute all necessary or desirable patent applications at a reasonable cost or in a timely manner. We may also fail to identify patentable aspects of our research and development before it is too late to obtain patent protection.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may affect the scope, strength, and enforceability of our patent rights or the nature of proceedings that may be brought by us related to our patent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etripamil or any future product candidates. Publications of discoveries in the scientific literature often lag behind the actual discoveries, and patent applications in the United States and other jurisdictions are typically not published until 18 months after filing, or in some cases not at all. For example, U.S. applications filed before November 28, 2000, and certain U.S. applications filed after that date that will not be filed outside the United States remain confidential until a patent issues.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 Patent and Trademark Office, or “USPTO,” or become involved in opposition, derivation, reexamination, inter parties review, post grant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are issued as patents, they may not be issued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by developing similar or alternative technologies or products in a non-infringing manner. Our competitors may seek to market generic versions of any approved products by submitting abbreviated new drug applications to the FDA in which they claim that patents owned or licensed by us are invalid, unenforceable and/or not infringed. Alternatively,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technologies, we may not be able to stop a competitor from marketing products that are the same as or similar to etripamil or any future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such as etripamil,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62" w:lineRule="exact"/>
        <w:rPr>
          <w:sz w:val="20"/>
          <w:szCs w:val="20"/>
          <w:color w:val="auto"/>
        </w:rPr>
      </w:pPr>
    </w:p>
    <w:p>
      <w:pPr>
        <w:jc w:val="both"/>
        <w:ind w:left="1020" w:right="79" w:hanging="322"/>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formulations that are similar to etripamil or formulations of etripamil or our future product candidates but that are not covered by the claims of any patents, should they issue, that we own or control;</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control;</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control may not provide us with any competitive advantages, or may be held invalid or unenforceable as a result of legal challenges;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179"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future collaborators, if any, to develop, manufacture, market, and sell etripamil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etripamil and any future product candidates and technology, including interference proceedings, post grant review, and inter parties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etripamil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See the section herein titled “Legal Proceedings” for additional information.</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which are important or necessary to the development of etripamil or any future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etripamil and any future product candidates.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unitary patent system was launched on June 1, 2023. Under the unitary patent system, European applications have the option, upon grant of a patent, of becoming a Unitary Patent which is subject to the jurisdiction of the Unitary Patent Court, or “UPC.” As the UPC is a relatively new court system, there is little precedent for the court, increasing the uncertainty of any litigation. Patents granted before the implementation of the UPC had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and Ukrainian patents. Recent Russian decrees may significantly limit our ability to enforce Russian patents. We cannot predict when or how this situation will change.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to develop and manufacture etripamil and any future product candidates, or if we collaborate with additional third parties for the development or commercialization of etripamil or any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becomes known by our competitors, is inadvertently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any proprietary name we propose to use with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seeking and/or maintaining patent and trademark protection for etripamil and any future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 consuming, and the outcome is unpredictable. In addition, some courts inside and outside the United States are less willing or unwilling to protect trade secrets.</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them, or those to whom they communicate, from using that technology or information to compete with us. If any of our proprietary information were to be disclosed to or independently developed by a competitor, our competitive position would be harmed.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from using that technology or information to compete with us.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highly dependent on our President and Chief Executive Officer, Joseph Oliveto, our Chief Medical Officer, David Bharucha, our Chief Commercial Officer, Lorenz Muller and our Chief Financial Officer, Amit Hasija. Each of these officers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other than on our President and Chief Executive Officer, Joseph Oliveto.</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organization in the future, and we may experience difficulties in managing this growth, which could disrupt our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we continue our efforts to commercialize CARDAMYST for the treatment of PSVT, pursue the development of subsequent etripamil indications and as we look to expand our pipeline, we may, in the future, experience significant growth in the number of our employees and the scope of our operations, particularly in the areas of research, drug development, regulatory affairs, sales, marketing and distribution. To manage any future growth, we will be required to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growth, we may not be able to effectively manage any expansion of our operations or recruit and train additional qualified personnel. Any expansion of our operations may lead to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costs and may divert our management and business development resources. Any inability to manage growth could delay the execution of our business plans or disrupt our operations.</w:t>
      </w:r>
    </w:p>
    <w:p>
      <w:pPr>
        <w:spacing w:after="0" w:line="15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contractors, consultants, or other third parties with whom we work, may fail or suffer security breaches, which could result in a material disruption of our product development programs and can lead to adverse consequences, including but not limited to regulatory investigations or actions; litigation; fines and penalties; reputational harm; loss of revenue or profits; loss of customers or sales; disruption of our business operations.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and trade secrets, or collectively, “sensitive information”. Our internal computer systems and those of our current and any future collaborators, contractors, consultants, or other third parties with whom we work, are vulnerable to a variety of evolving threats, including but not limited to damage from malicious code (such as computer viruses and worms), unauthorized access, natural disasters, terrorism, war, social-engineering attacks (including through deep fakes, which may be increasingly more difficult to identify as fake, and phishing attacks),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attacks enhanced or facilitated by artificial intelligence, telecommunication and electrical failures,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Cyber-attacks are increasing in their frequency, sophistication, and intensity, and have become increasingly difficult to detect. Cyber-attacks, malicious internet-based activity, online and offline fraud, and other similar activities can affect service reliability and threaten the confidentiality, integrity, and availability our sensitive information and information technology systems, and those of the third parties with whom we work. Cyber-attacks also could include phishing attempts or e-mail fraud to cause payments or information to be transmitted to an unintended recipient.</w:t>
      </w:r>
    </w:p>
    <w:p>
      <w:pPr>
        <w:spacing w:after="0" w:line="19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which could materially disrupt our systems and operations, supply chain, and ability to produce, sell, and distribute our goods and services. A significant system failure, accident, or security could cause interruptions in our operations, and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data, including personal data regarding our patients or employees, could harm our reputation, cause us not to comply with federal and/or state breach notification laws and foreign law equivalents and otherwise subject us to liability under laws and regulations that protect the privacy and security of personal data. Security breaches and other inappropriate access can be difficult to detect, and any delay in identifying them may lead to increased harm of the type described above.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failure to comply with such requirements could lead to adverse consequences.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with whom we work), but we may not, in the future, be able to detect and remediate all such vulnerabilities including on a timely basis. Further, we have experienced and may in the future experience delays in developing and deploying remedial measures and patches designed to address identified vulnerabilities. Vulnerabilities could be exploited and result in a security incident. To the extent that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disruption or security breach were to result in a loss of, or damage to, our data or applications, or inappropriate disclosure of sensitive information, we could incur liability, our competitive position could be harmed, and the further development and commercialization of our product candidates could be delayed.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an award. In addition, supply-chain attacks have increased in frequency and severity, and we cannot guarantee that third parties’ infrastructure in our supply chain or that of the third parties with whom we work have not been compromised.</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the third parties with whom we work) to provide our services.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94"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artificial intelligence, or “AI,” technologies. Any sensitive information (including confidential, competitive, proprietary, or personal data) that we input into a third-party generative AI or platform could be leaked or disclosed to others, including if sensitive information is used to train the third parties’ AI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where an AI technology ingests personal data and makes connections using such data, those technologies may reveal other personal or sensitive information generated by the model. Moreover, AI technologies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We may use AI technology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w:t>
      </w:r>
    </w:p>
    <w:p>
      <w:pPr>
        <w:spacing w:after="0" w:line="215"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class-action claims) and mass arbitration demands; fines and penalties; disruptions of our business operations; reputational harm; loss of revenue or profits; and other adverse business consequences.</w:t>
      </w:r>
    </w:p>
    <w:p>
      <w:pPr>
        <w:spacing w:after="0" w:line="186"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applies to personal data of consumers, business representatives, and employees who are California residents, and requires businesses to provide specific disclosures in privacy notices and honor requests of such individuals to exercise certain privacy rights. The CCPA provides for and allows private litigants affected by certain data breaches to recover significant statutory damages.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 We are also subject to new laws governing the privacy of consumer health data.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20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the United Kingdom’s GDPR, or “UK GDPR,”, and China’s Personal Information Protection Law, or “PIPL,” impose strict requirements for processing personal data. Additionally, in Canada, the Personal Information Protection and Electronic Documents Act, or “PIPEDA,” and various related provincial laws, as well as Canada’s Anti-Spam Legislation, or “CASL,” may apply to our operations.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anticipate seeking regulatory approval for, and commercializing, etripamil for the treatment of PSVT in Europe. We may also elect to do so for future product candidates. We are conducting clinical trial activities in Europe, which subject us to European data protection laws, including the EU GDPR and the UK GDPR. The GDPR establishes requirements applicable to the processing of personal data (i.e., data which identifies an individual or from which an individual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identifiable). The GDPR creates significant and complex compliance burdens for companies such as: limiting permitted processing of personal data to only that which is necessary for specified, explicit and legitimate purposes; requiring the establishment a legal basis for processing personal data; expressly confirming that ‘pseudonymized’ or key coded data constitutes personal data to which the GDPR applies; creating obligations for controllers and processors to appoint data protection officers in certain circumstances; increasing transparency obligations to data subjects for controllers (including presentation of certain information in a concise, intelligible and easily accessible form about how their personal data is used and their rights vis-à-vis that data and its use); introducing the obligation to carry out so-called data protection impact assessments in certain circumstances; establishing limitations on collection and retention of personal data through ‘data minimization’ and ‘storage limitation’ principles; establishing obligations to implement ‘privacy by design’; introducing obligations to honor increased rights for data subjects (such as rights for individuals to be ‘forgotten,’ rights to data portability, rights to object etc. in certain circumstances);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engaging third-party processors and joint controllers; introducing the obligation to provide notice of certain significant personal data breaches to the relevant supervisory authority(ies) and affected individuals; and mandating the appointment of representatives in the United Kingdom, or the “UK,” and/or European Union in certain circumstances. The processing of “special category personal data”, such as health information, may also impose heightened compliance burdens under the GDPR. The GDPR has robust regulatory enforcement and penalties for noncompliance, including fines of up to €20 million Euros under the EU GDPR, 17.5 million pounds sterling under the UK GDPR, or, in each case 4% of global annual revenue of any noncompliant company for the preceding financial year, whichever is higher or private litigation related to processing of personal data brought by classes of data subjects or consumer protection organizations authorized at law to represent their interests.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There may be circumstances under which a failure to comply with GDPR, or the exercise of individual rights under the GDPR, would limit our ability to utilize clinical trial data collected on certain subjects. The GDPR will likely impose additional responsibility and liability in relation to our processing of personal data. This may be onerous and materially adversely affect our business, financial condition, results of operations, and prospects.</w:t>
      </w:r>
    </w:p>
    <w:p>
      <w:pPr>
        <w:spacing w:after="0" w:line="20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Areas, or “EEA,” and the UK have significantly restricted the transfer of personal data to the United States and other countries whose privacy laws it generally believes are inadequate. One of the primary safeguards allowing U.S. companies to import personal data from Europe is the European Commission’s Standard Contractual Clauses and we have relied on Standard Contractual Clauses to comply with the GDPR’s restrictions on transfer of personal data out of Europe. However, in July 2020 the Court of Justice of the European Union, or “CJEU,” in a case known colloquially as “Schrems II” raised questions about whether the Standard Contractual Clauses can lawfully be used for personal data transfers from Europe to the United States or other third countries that are not the subject of an adequacy decision of the European Commission. At present, there are few viable alternatives to the Standard Contractual Clauses including the UK’s International Data Transfer Agreement / Addendum, and the EU-U.S. Data Privacy Framework and the UK extension thereto (which allows for transfers to relevant U.S.-based organizations who self-certify compliance and participate in the Framework). However, these mechanisms are subject to legal challenges, and there is no assurance that we can satisfy or rely on these measures to lawfully transfer personal data to the United States. As such, if we are unable to implement a valid solution to transfer personal data from the EEA, the UK or other jurisdictions to the United States, or if the requirements for a legally-compliant transfer are too onerous, we could face significant adverse consequences, including the interruption or degradation of our operations, increased exposure to regulatory actions, substantial fines and penalties, injunctions against our processing or transferring of personal data necessary to operate our business, the need to relocate part of or all of our business or data processing activities to other jurisdictions (such as Europe) at significant expense, and limit our ability to collaborate with partners as well as other service providers, contractors and other companies subject to European data protection laws. Restrictions on our ability to import personal data from Europe could therefore impact our clinical trial activities in Europe and limit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ability to collaborate with CROs and other third parties subject to European data protection laws. Additionally, other countries outside of Europe have enacted or are considering enacting similarly stringent data localization and cross-border data transfer restrictions and laws,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publish privacy policies, marketing materials, whitepapers, and other statements, such as statements related to compliance with certain certifications or self-regulatory principles, concerning data privacy, security and AI.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use generative AI to assist us in making certain decisions, which is regulated by certain privacy laws. Due to inaccuracies or flaws in the inputs, outputs, or logic of the AI technologies, the model could be biased and could lead us to make decisions that could bias certain individuals (or classes of individuals), and adversely impact their rights, employment, and ability to obtain certain pricing, products, services, or benefits. The development and use of AI technologies present various privacy and security risks that may impact our business. AI technologies are subject to privacy and data security laws, as well as increasing regulation and scrutiny.</w:t>
      </w:r>
    </w:p>
    <w:p>
      <w:pPr>
        <w:spacing w:after="0" w:line="20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 employees and personnel may use AI technologies to perform their work, and the disclosure and use of personal data in generative AI technologies is subject to various privacy laws and other privacy obligations. Governments have passed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are likely to pass additional laws and regulations which regulate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8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Disruptions at the FDA may slow the time necessary for new products to be reviewed and/or approved, which would adversely affect our business. For example, over the last several years, including most recently in October 2025,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implementation activities in the normal course, our business may be negatively impacted. In addition, government funding of other government agencies that fund research and development activities is subject to the political process, which is inherently fluid and unpredictable.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acquisitions or strategic collaborations could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actively search for and continually evaluate various acquisition and strategic collaboration opportunities, including licensing or acquiring complementary drugs, intellectual property rights, technologies or businesses, as deemed appropriate to carry out our business plan. Our collaborations, including any future acquisitions or strategic partnerships, may entail numerous risks, including:</w:t>
      </w:r>
    </w:p>
    <w:p>
      <w:pPr>
        <w:spacing w:after="0" w:line="180" w:lineRule="exact"/>
        <w:rPr>
          <w:sz w:val="20"/>
          <w:szCs w:val="20"/>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product candidates and regulatory approvals;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drugs sufficient to meet our objectives in undertaking the acquisition or even to offset the associated acquisition and maintenance costs.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in connection with our current or future acquisitions or strategic partnerships, we may issue dilutive securities, assume or incur debt obligations, incur large one-time expenses, and acquire intangible assets that could result in significant future amortization expense. Moreover, we may not be able to locate suitable future acquisition opportunities, and this inability could impair our ability to grow or obtain access to technology or drugs that may be important to the development of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has been and may continue to be volatile and fluctuate substantially, and you could lose all or part of your investment.</w:t>
      </w:r>
    </w:p>
    <w:p>
      <w:pPr>
        <w:spacing w:after="0" w:line="15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shares has been and may continue to be highly volatile and could be subject to wide fluctuations in price in response to various factors, many of which are beyond our control. From January 1, 2025 through March 20, 2026, the price of our common shares has ranged from $0.65 per share to $2.95 per share.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biopharmaceutical and pharmaceutical companies in particular, has experienced extreme volatility that has often been unrelated to the operating performance of particular companies. As a result of this volatility, you may not be able to sell your common shares at or above the price paid for the shares. In addition to the factors discussed in this “Risk Factors” section and elsewhere in this Annual Report on Form 10-K, the market price for our common shares may be influenced by the following: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20" w:right="79" w:hanging="322"/>
        <w:spacing w:after="0" w:line="21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external revenue and profitability expectations for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for the treatment of PSVT;</w:t>
      </w:r>
    </w:p>
    <w:p>
      <w:pPr>
        <w:spacing w:after="0" w:line="198"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planned or future clinical trials of etripamil and any future product candidates or those of our competitors;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therapies;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etripamil and any future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drug supply for any approved drug or inability to do so at acceptable prices;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coverage and adequate reimbursement for any approved drug;</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deteriorating market conditions due to investor concerns regarding inflation and global geopolitical conflicts, changes in trade and tariff policies, and overall fluctuations in the financial markets in the United States and abroad; and</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a substantial number of outstanding warrants. The exercise of our outstanding warrants will dilute existing stockholders and could adversely affect the trading price of our common stock.</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While the holders of our outstanding pre-funded warrants and warrants are subject to beneficial ownership limitations, as of December 31, 2025, we had (i) outstanding pre-funded warrants to purchase, without regard to any beneficial ownership limitations, up to 16,412,925 shares of our common stock at an exercise price of $0.001 per share and (ii) outstanding warrants to purchase, without regard to any beneficial ownership limitations, up to 55,707,997 shares of common stock at a weighted average exercise price of $1.73 per share. The exercise of our outstanding warrants could result in significant dilution to existing stockholders, cause the trading price of our common stock to decline and impair our ability to raise capital through the sale of additional equity securities. Moreover, the expectation of such exercises could encourage the short selling of our common stock, which could place further downward pressure on the trading price of our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including as a result of recent bank closures, public health crises or geopolitical tensions may have serious adverse consequences on our business, financial condition, and share price.</w:t>
      </w:r>
    </w:p>
    <w:p>
      <w:pPr>
        <w:spacing w:after="0" w:line="15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elevated interest rates, decreases in consumer demand and confidence, declines in economic growth, increases in unemployment rates, and uncertainty about economic stability. There is inherent risk, based on the complex relationships among the United States and the countries in which we conduct our business, that political, diplomatic and national security factors could lead to global trade restrictions and changes in trade policies and regulations that may adversely affect our business and operations. Our general business strategy may be materially or adversely impacted if these unpredictable and unstable market conditions continue. Our general business strategy may be materially or adversely impacted if these unpredictable and unstable market conditions continue. Additionally, the global geopolitical conflicts have created extreme volatility in the global capital markets and are expected to have further global economic consequences, including potential disruptions of the global supply chain, manufacturing, and energy markets. Additionally, the introduction of or changes in tariffs or trade barriers, such as the enactment of tariffs on goods imported into the United States, could also increase our expenses.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has contributed to continued volatility in the trade environment. 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increases in interest rates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shares are thinly traded, and our shareholders may be unable to sell their shares quickly or at market price.</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shares, generally our shares are thinly traded. As a consequence of this lack of liquidity, the trading of relatively small quantities of shares by our shareholders may disproportionately influence the price of those shares in either direction. The price for our shares could, for example, decline significantly in the event that a large number of our common shares are sold on the market without commensurate demand, as compared to a seasoned issuer that could better absorb those sales without adverse impact on its share price.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Based upon our common shares outstanding as of December 31, 2025, our executive officers, directors, and shareholders who owned more than 5% of our outstanding common shares, in the aggregate, beneficially owned shares representing 12.6%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shares will be influenced by the research and reports that industry or financial analysts publish about us or our business. Equity research analysts may discontinue research coverage of our common shares, and such lack of research coverage may adversely affect the market price of our common shares. We do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 coverage of us or fails to publish reports on us regularly, demand for our shares could decrease, which in turn could cause the trading price or trading volume of our common shares to decline.</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use them in ways in which you do not agree or in ways that do not increase the value of your investment.</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could spend these funds in ways that do not improve our results of operations or enhance the value of our common shares. The failure by our management to apply these funds effectively could result in financial losses that could have a negative impact on our business, causing the price of our common shares to decline and delay the development of our product candidates. Pending their use, we may invest our cash and cash equivalents, in a manner that does not produce income or that loses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U.S. federal income tax consequences to U.S.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 (as defined below).</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yet made a determination with respect to our status as a passive foreign investment company, or “PFIC,” for our taxable year ending December 31, 2025. If we are a PFIC for the current taxable year, or any subsequent taxable years, we intend to annually furnish U.S. Holders, upon request, a “PFIC Annual Information Statement,” with the information required to allow U.S. Holders to make a “qualified electing fund” election, or “QEF Election,” for United States federal income tax purposes.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common shares from time to time, which may fluctuate considerably. As a result, our PFIC status may change from year to year. Further,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187"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If we are a PFIC, U.S. Holders (as defined below) may be subject to adverse U.S. federal income tax consequences, such as ineligibility for preferential tax rates for individuals on capital gains or on actual or deemed dividends, interest charges on certain taxes treated as deferred, and additional reporting requirements under U.S. federal income tax laws and regulations.</w:t>
      </w:r>
    </w:p>
    <w:p>
      <w:pPr>
        <w:spacing w:after="0" w:line="15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“U.S. Holder” is a holder of our common shares who, for U.S. federal income tax purposes, is: (i) an individual who is a citizen or resident of the United States; (ii) a corporation, or another entity taxable as a corporation,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12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 or “OECD,” the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example, legislation commonly referred to as the OBBBA, enacted in 2025, the Inflation Reduction Act enacted in 2022, the Coronavirus Aid, Relief, and Economic Security Act enacted in 2020, and the Tax Cuts and Jobs Act enacted in 2017 made many significant changes to the U.S. Internal Revenue Code of 1986, as amended, or the “Code.” The Tax Cuts and Jobs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the Tax Cuts and Jobs Act, or other tax legislation, or the enactment of new tax legislation, could increase our future tax liability, which could in turn adversely impact our business and future profitability.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evaluate the impact that these and other tax reforms may have on our business. The impact of these and other tax reforms is uncertain and one or more of these or similar measures could seriously harm our business. We urge you to consult with your legal and tax advisors with respect to these tax reforms and the potential tax consequences of investing in or holding our common shares.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Canadian Revenue Agency,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result could increase our anticipated effective tax rate.</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also a non-accelerated filer under the Exchange Act, and we are not required to comply with the auditor attestation requirements of Section 404(b) of the Sarbanes-Oxley Act of 2002. Therefore, our internal controls over financial reporting will not receive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and expect to continue to incur, additional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public company, we are incurring, and expect to continue to incur, significant legal, accounting, and other expenses. In addition, the Sarbanes-Oxley Act of 2002, or the “Sarbanes-Oxley” Act, and rules subsequently implemented by the SEC and The Nasdaq Stock Market LLC have imposed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and will continue to increase, our legal and financial compliance costs and make some activities more time-consuming and costly.</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non-accelerated filer and smaller reporting company, we are exempt from Section 404(b) of the Sarbanes-Oxley Act, which requires auditor attestation to the effectiveness of internal control over financial reporting. We are, however, subject to Section 404(a) of the Sarbanes-Oxley Act.</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pursuant to Section 404 of the Sarbanes-Oxley Act, we may be required to furnish an attestation on internal control over financial reporting issued by our independent registered public accounting firm in the future. To achieve compliance with Section 404(b), we will be engaged in additional internal processes to document and evaluate our internal control over financial reporting, which will be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our independent registered public accounting firm may determine we have a material weakness or significant deficiency in our internal control over financial reporting once such firm begin its Section 404(b) audit in the future, there is a risk that neither we nor our independent registered public accounting firm will be able to conclude within the prescribed timeframe that our internal control over financial reporting is effective as required by Section 404(b). This could result in an adverse reaction in the financial markets due to a loss of confidence in the reliability of our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Because we are a Canadian company, it may be difficult to serve legal process or enforce judgments against us.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domestic filer in the United States; however, we are incorporated and have our corporate headquarters in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it may be difficult to assert U.S. securities law claims in original actions instituted in Canada. Canadian courts may refuse to hear a claim based on an alleged violation of U.S. securities laws against us or these persons on the grounds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governed by the corporate laws of Québec, Canada which in some cases have a different effect on shareholders than the corporate laws of Delaware.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governed by the Business Corporations Act (Québec), or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and certain Canadian legislation contain provisions that may have the effect of delaying or preventing certain change in control transactions or shareholder proposals.</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provisions of our bylaws and certain Canadian legislation, together or separately, could discourage or delay certain change in control transactions or shareholder proposals.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bylaws contain provisions that establish certain advance notice procedures for nomination of candidates for election as directors at shareholders’ meetings. The 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(Canada) requires that a non-Canadian must file an application for review with the Minister responsible for such statute and obtain approval of the Minister prior to acquiring control of a “Canadian business” within the meaning of such statute, where prescribed financial thresholds are exceeded. Furthermore, limitations on the ability to acquire and hold our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Quebec, or in our articles on the rights of non-Canadians to hold or vote our common shares.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Any of these provisions may discourage a potential acquirer from proposing or completing a transaction that may have otherwise presented a premium to our shareholders.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communications systems, hardware and software, and our critical data, including intellectual property and confidential information that is proprietary, strategic or competitive in nature, or “Information Systems and Data.”.</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Vice President of Information Technology, or “VP of IT,” with assistance from our third-party managed services team, legal, quality, finance and human resources, identifies, assesses and manages the Company’s cybersecurity threats and risks. The Company identifies and assesses risks from cybersecurity threats by monitoring and evaluating our threat environment using various methods including, for example using manual and automated tools, analyzing reports of threat actors, conducting scans of the threat environment, evaluating threats reported to us, and coordinating with law enforcement concerning threats.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incident detection and response; disaster recovery and business continuity plans; implementation of security standards; network security controls; access controls; system monitoring; and employee training.</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Cybersecurity risk is addressed as a component of the Company’s enterprise risk management program and identified by the Company’s senior management team. Also, IT consultants work with management to follow the National Institute of Standards and Technology framework for cybersecurity to mitigate cybersecurity threats that are more likely to lead to a material impact on our business.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including outside legal counsel, cybersecurity consultants, threat intelligence service providers, managed cybersecurity service providers, and forensic investigators.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and hosting companies. We have a vendor management program designed to manage cybersecurity risks associated with our use of these providers. The program includes security questionnaires, reviews of vendor’s written security program, and audits.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I. Item 1A. Risk Factors in this Annual Report on Form 10-K, including “Our internal computer systems, or those of our collaborators, contractors, consultants, or other third parties with whom we work, may fail or suffer security breaches, which could result in a significant disruption of our product development programs and can lead to adverse consequences, including but not limited to regulatory investigations or actions; litigation; fines and penalties; reputational harm; loss of revenue or profits; loss of customers or sales; disruption of our business operations.”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and audit committee addresses the Company’s cybersecurity risk management as part of its general oversight function. The board of directors’ audit committee is responsible for overseeing the Company’s cybersecurity risk management processes, including oversight of mitigation of risks from cybersecurity threats.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Chief Financial Officer and our VP of IT who has over 40 years of experience in information technology and cybersecurity and manages the Company’s information technology infrastructure.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VP of IT is responsible for hiring appropriate personnel, helping to integrate cybersecurity risk considerations into the Company’s overall risk management strategy, and communicating key priorities to relevant personnel. The VP of IT is also responsible for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The VP of IT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headquarters is currently located in Montréal (Québec), Canada and consists of 7,700 square feet of leased office space under a lease that expires in November 2027. We also have a U.S. subsidiary based in Charlotte, North Carolina. We believe that our facilities are adequate to meet our current needs, and that additional space can be obtained on commercially reasonable terms as needed.</w:t>
      </w:r>
    </w:p>
    <w:p>
      <w:pPr>
        <w:spacing w:after="0" w:line="176"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60" w:right="5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on May 9, 2019. Our common shares trade under the symbol “MIST”. Prior to the commencement of trading on the Nasdaq Global Select Market on May 9, 2019, there was no public market for our common shares.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there were 21 holders of record of our common shares, including Cede &amp; Co., a nominee for The Depository Trust Company, or “DTC,” which holds our common shares on behalf of an indeterminate number of beneficial owners. All of the common shares held by brokerage firms, banks, and other financial institutions as nominees for beneficial owners are deposited into participant accounts at DTC, and are considered to be held of record by Cede &amp; Co. as one shareholder. Because many of our shares are held by brokers and other institutions on behalf of shareholders, we are unable to estimate the total number of shareholders represented by these record 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right="3659"/>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Purchase of Equity Securities by the Issuer and Affiliated Purchasers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our equity compensation plan is incorporated herein by reference to Item 12 of Part III of this Annual Report on Form 10-K.</w:t>
      </w:r>
    </w:p>
    <w:p>
      <w:pPr>
        <w:spacing w:after="0" w:line="104"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0" w:right="7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5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cardiovascular medicines. Our approved product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is available in the United States and is the first and only U.S. Food and Drug Administration, or the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spacing w:after="0" w:line="188" w:lineRule="exact"/>
        <w:rPr>
          <w:sz w:val="20"/>
          <w:szCs w:val="20"/>
          <w:color w:val="auto"/>
        </w:rPr>
      </w:pPr>
    </w:p>
    <w:p>
      <w:pPr>
        <w:jc w:val="both"/>
        <w:ind w:left="60" w:right="59"/>
        <w:spacing w:after="0" w:line="228" w:lineRule="auto"/>
        <w:rPr>
          <w:sz w:val="20"/>
          <w:szCs w:val="20"/>
          <w:color w:val="auto"/>
        </w:rPr>
      </w:pPr>
      <w:r>
        <w:rPr>
          <w:rFonts w:ascii="Times New Roman" w:cs="Times New Roman" w:eastAsia="Times New Roman" w:hAnsi="Times New Roman"/>
          <w:sz w:val="18"/>
          <w:szCs w:val="18"/>
          <w:color w:val="auto"/>
        </w:rPr>
        <w:t>We are currently focusing our efforts and financial resources on (i) the commercialization of CARDAMYST</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color w:val="auto"/>
        </w:rPr>
        <w:t xml:space="preserve"> (etripamil) nasal spray for the treatment of PSVT, (ii) the development of etripamil for the treatment of AFib-RVR and (iii) corporate development activities that have the potential to increase company value through strategic collaborations.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Market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December 12, 2025, we announced the FDA approved our first commercial product, CARDAMYST™ (etripamil) nasal spray, a prescription medication for the conversion of acute symptomatic episodes of PSVT to sinus rhythm in adults. We have currently begun focusing on the commercialization of CARDAMYST, which became available in retail pharmacies in the first quarter of 2026. 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 time, as they are inconsistently managed (cycling in and out of the healthcare system). Furthermore, PSVT is expected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versus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PSVT Continued Development Highlights</w:t>
      </w:r>
    </w:p>
    <w:p>
      <w:pPr>
        <w:spacing w:after="0" w:line="229" w:lineRule="exact"/>
        <w:rPr>
          <w:sz w:val="20"/>
          <w:szCs w:val="20"/>
          <w:color w:val="auto"/>
        </w:rPr>
      </w:pPr>
    </w:p>
    <w:p>
      <w:pPr>
        <w:ind w:left="60" w:right="79"/>
        <w:spacing w:after="0" w:line="219" w:lineRule="auto"/>
        <w:rPr>
          <w:sz w:val="20"/>
          <w:szCs w:val="20"/>
          <w:color w:val="auto"/>
        </w:rPr>
      </w:pPr>
      <w:r>
        <w:rPr>
          <w:rFonts w:ascii="Times New Roman" w:cs="Times New Roman" w:eastAsia="Times New Roman" w:hAnsi="Times New Roman"/>
          <w:sz w:val="18"/>
          <w:szCs w:val="18"/>
          <w:color w:val="auto"/>
        </w:rPr>
        <w:t>In November 2025, we submitted our marketing authorization application, or “MAA,” to the European Medicines Agency, or “EMA,” for review for approval to market etripamil nasal spray, under the trade name TACHYMIST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in the European Union. The MAA utilizes much of the clinical, manufacturing and quality data package that was submitted in the NDA which lead to the US FDA approval.</w:t>
      </w:r>
    </w:p>
    <w:p>
      <w:pPr>
        <w:spacing w:after="0" w:line="17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January 2025, our licensing partner, Corxel Pharmaceuticals, or “Corxel,” formerly Ji Xing Pharmaceuticals Limited, JIXING, announced that the Center for Drug Evaluation, or “CDE,” of the National Medical Products Administration, or “NMPA,” of the People’s Republic of China has accepted the New Drug Application, or “NDA,” for etripamil nasal spray for the treatment of PSVT. The NDA to the NMPA included data from the successful Phase 3 JX02002 clinical trial of etripamil nasal spray in patients with PSVT in China in addition to data included in the NDA that Milestone submitted to the FDA.</w:t>
      </w:r>
    </w:p>
    <w:p>
      <w:pPr>
        <w:spacing w:after="0" w:line="18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500-patient Phase 3 trial (JX02002) met its primary endpoint, with a Kaplan Meier analysis shows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Etripamil Nasal Spray for the Treatment of AFib-RVR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spacing w:after="0" w:line="188"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Incorporating FDA’s guidance, we have developed a Phase 3 registrational program to evaluate self-administered etripamil as a potential treatment for patients with AFib-RVR. We intend to pursue a supplemental new drug application, or “sNDA,” regulatory approval pathway for a potential second indication for etripamil in Afib-RVR. As such, we will leverage the PSVT indication and PSVT program data, along with a single pivotal Phase 3 study in patients with AFib-RVR.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AFib-RVR Market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with an oral rate-control drug; however, such agents often fail to provide immediate or dependable ventricular rate control because they have a 30- to 90-minute delayed onset of action. As a result, many patients require faster and more reliable rate reduction and symptom resolution, leading them to seek acute medical care in the emergency department for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w:t>
      </w:r>
    </w:p>
    <w:p>
      <w:pPr>
        <w:spacing w:after="0" w:line="19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emergency department due to AFib symptoms. Initial data suggests that approximately 60% of all AFib emergency department visits were attributable to AFib-RVR, as symptoms driving patients to seek care generally become more pronounced at higher heart rates. Treatment for such 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AFib-RVR Clinical Development Highlights</w:t>
      </w:r>
    </w:p>
    <w:p>
      <w:pPr>
        <w:spacing w:after="0" w:line="15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 w:cs="Times New Roman" w:eastAsia="Times New Roman" w:hAnsi="Times New Roman"/>
          <w:sz w:val="18"/>
          <w:szCs w:val="18"/>
          <w:i w:val="1"/>
          <w:iCs w:val="1"/>
          <w:color w:val="auto"/>
        </w:rPr>
        <w:t>Circulation: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Arrhythmia and Electrophysiology</w:t>
      </w:r>
      <w:r>
        <w:rPr>
          <w:rFonts w:ascii="Times New Roman" w:cs="Times New Roman" w:eastAsia="Times New Roman" w:hAnsi="Times New Roman"/>
          <w:sz w:val="18"/>
          <w:szCs w:val="18"/>
          <w:color w:val="auto"/>
        </w:rPr>
        <w:t>. The randomized, double-blinded, placebo-controlled ReVeRA trial of etripamil nasal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spray enrolled 87 patients and dosed 56 patients aged 18 years and older with AFib who urgently presented experiencing AFib and a ventricular rate of 110 or more beats per minute, or “bpm.” The trial was designed to assess the magnitude, rapidity, and duration of reduction and the patient satisfaction with treatment using an established patient reported outcome, or “PRO,” tool. Data showed that delivery of etripamil nasal spray (70 mg) significantly and rapidly reduced ventricular rate, in a pattern consistent with the drug’s pharmacologic profile. Etripamil achieved the primary endpoint with a high degree of statistical significance; patients experienced a ventricular rate reduction of 29.91 bpm (95% confidence interval: -40.31, -19.52; p&lt;0.0001) in the etripamil arm relative to placebo. The absolute maximum reduction in rate in the etripamil arm was 34.97 bpm. Using the Treatment Satisfaction Questionnaire 9, or “TSQM-9,” PRO, compared to placebo, patients treated with etripamil demonstrated significant improvements in two satisfaction ratings: effectiveness (p&lt;0.0001) and relief of symptoms (p=0.0002), with the degrees of improvement consistent with those customarily described as clinically meaningful. Treatment-emergent serious adverse events, or “TESAEs,” were rare and the most common (≥ 5%) adverse events were mild or moderate in intensity and included nasal discomfort, rhinorrhea, increased lacrimation, throat irritation and dizziness. Further trial details are below in this document.</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 could use a PRO measure, and various PROs were discussed with the FDA. We have finalized the Phase 3 study protocol following FDA’s review and obtained concurrence with the FDA to proceed.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Phase 3 study will be conducted in a medically unmonitored setting (e.g., at-home) in a manner very similar to the conduct of our Phase 3 development program for PSVT. The Phase 3 AFib-RVR study will enroll patients with a history of symptomatic AFib episodes, and will use a self-administered, repeat-dose regimen of 70 mg per dose (the dose and dosing approach that was studied in the RAPID trial in patients with PSVT). The Phase 3 study’s target population will be patients with verified history of AFib-RVR, and the ITT population will be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Since the commencement of our operations in 2003, we have devoted substantially all of our resources to performing research and development activities in support of our product development efforts, hiring personnel, raising capital to support and expand such activities, providing general and administrative support for these operations and, more recently, preparing for commercialization. We have historically operated our business using a significant outsourcing model. As such, our team is currently composed of a relatively smaller core of employees who direct a significantly larger number of team members who are outsourced in the forms of vendors and consultants to enable execution of our operational plans. On December 12, 2025, we announced that the FDA approved our first commercial product, CARDAMYST™ (etripamil) nasal spray, a prescription medication for the conversion of acute symptomatic episodes of paroxysmal supraventricular tachycardia, or “PSVT,” to sinus rhythm in adults. As a result, we expect our future commercial expenses will increase as we invest in the infrastructure, personnel, and operational expenses required to commercialize CARDAMYST in the United States. We also expect inventory balances to increase as we capitalize costs related to the production of CARDAMYST for commercial sale in the United States. In addition, we expect to continue to incur significant research and development and general administrative expenses related to our operations as we advance etripamil nasal spray for the treatment AFib-RVR and continue to invest in the resources needed to support a developing commercialized public company.</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For the years ended December 31, 2025 and 2024, we recorded net losses of $63.1 million and $41.5 million, respectively. As of December 31, 2025, we had an accumulated deficit of $430.6 million. We expect to continue to incur significant losses for the foreseeable future. We anticipate that a substantial portion of our capital resources and efforts in the foreseeable future will be focused on commercialization of CARDAMYST and the development of an additional etripamil indication. We had $73.0 million of cash and cash equivalents and $32.9 million of short-term investments at December 31, 2025.</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Our net losses may fluctuate significantly from period to period, depending on the timing of our planned clinical trials and expenditures on other research and development activities. We expect our expenses will increase over time as we:</w:t>
      </w:r>
    </w:p>
    <w:p>
      <w:pPr>
        <w:spacing w:after="0" w:line="176"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development of etripamil, including future Phase 3 clinical trials for the treatment of AFib-RVR and potential Phase 4 clinical trials for treatment of PSVT;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either directly or through collaboration with our partners, marketing approval for etripamil nasal spray for the treatment of PSVT from regulatory agencies responsible for regions outside the United States;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etripamil for the treatment of AFib-RVR and other cardiovascular indications;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marketing, manufacturing, and distribution capability, either directly or indirectly through third parties;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portfolio of product candidates through development, or the acquisition of in-license of drugs, product candidates or technologies;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or other general &amp; administrative personnel, including personnel to support our product development and potential expansion of our future commercialization efforts; and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insurance and other expenses associated with operating as a public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previously disclosed, on March 27, 2023, we entered into a Purchase and Sale Agreement, or the “Royalty Purchase Agreement,” with RTW Royalty I DAC, an affiliate of RTW Investments, LP, or “RTW,” pursuant to which RTW agreed to purchase, following U.S. Food and Drug Administration approval of etripamil for the treatment of PSVT (subject to certain conditions), at a purchase price of $75.0 million, the right to receive tiered quarterly royalty payments, or the “royalty interest,” on net product sales of CARDAMYST (etripamil) in the United States.</w:t>
      </w:r>
    </w:p>
    <w:p>
      <w:pPr>
        <w:spacing w:after="0" w:line="21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12, 2026, we closed the sale of the royalty interest under the Royalty Purchase Agreement and received cash of $75.0 million from RTW.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Macroeconomic Climate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Inflation rates may materially adversely affect our business and corresponding financial position and cash flows. Inflationary factors, changes to interest rates, and overhead costs may adversely affect our operating results. Interest and inflation rates also present a recent challenge impacting the U.S. economy and could make it more difficult for us to obtain traditional financing on acceptable terms, if at all, in the future. Additionally, geopolitical events, including war and terrorism, banking instabilities, ongoing changes to U.S. and international tariffs and other trade restrictions and trade barriers, renegotiation of international trade agreements, or further escalations of trade tensions, and other U.S. geopolitical issues affecting other territories and employee availability and wage increases, and economic markets all of which may result in additional stress on our working capital resources. The ongoing trade tensions between the U.S. and other jurisdictions have resulted in multiple rounds of tariffs and anticipated tariffs affecting pharmaceuticals and pharmaceutical ingredients, including finished drug products, manufacturing equipment, and related supplies. In any event, the dynamic and unpredictable tariff and trade landscape may create substantial uncertainty and planning challenges for our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generated $1.5 million of license revenue for the year ended December 31, 2025, compared to no revenue generated for the year ended December 31, 2024. The current year license revenue was the result of having reached a milestone pursuant to our License and Collaboration Agreement, dated May 15, 2021, with Corxel Pharmaceuticals, or “Corxel,” formerly known as Ji Xing Pharmaceuticals Limited, such party being referred to as “Ji Xing” and, such agreement, as the “Ji Xing License Agreement,” due upon the successful NDA approval by the FDA in the U.S. of etripamil for the treatment of PSVT. For additional information about our Revenue, see Note 2, “Summary of Significant Accounting Policies”, and Note 3, “Revenue” in the accompanying notes to our consolidated financial statements.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fees paid to external service providers, as well as personnel costs, including share-based compensation expense, and other related compensation expenses. We expense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 date, the majority of our research and development expenses have been related to the preclinical and clinical development of etripamil inclusive of manufacturing costs pre-FDA approval. As we advance etripamil or other product candidates for other indications, we expect to allocate our direct external research and development costs across each of the indications or product candidates. Further, we expect our research and development costs to increase for the development of etripamil in AFib-RVR, and we expect our research and development expenses related to the development of etripamil for PSVT to decrease as a percentage of our total research and development expenses.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process of conducting the necessary clinical research to obtain regulatory approval is costly and time-consuming and is subject to uncertainties and delays. As a result of the uncertainties discussed above, we are unable to determine the duration and completion costs of our research and development projects or when and to what extent we will generate revenue from the commercialization and sale of our product candidates, if at all.</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recognize the benefit of Canadian research and development tax credits as a reduction of research and development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for fully refundable investment tax credits.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include personnel and related compensation costs, expenses for outside professional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services, lease expenses, insurance expenses and other general administrative expenses. Personnel costs consist of salaries,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bonuses, benefits, related payroll taxes, and share-based compensation. Outside professional services consist of legal,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accounting, and audit services and other consulting fees.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to continue to incur expenses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Commercial Expenses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Commercial expenses consist primarily of personnel and related compensation costs, market and health economic research, and market development activities for PSVT and, to a lesser extent, AFib-RVR. The focus of these expenses is three-fold: first, we want to leverage rigorous primary and secondary research to fully understand our target disease states from the perspective of the patient, healthcare provider, and payer; second, we want to understand and document the burden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disease posed by PSVT and AFib-RVR from an epidemiology, healthcare resource use, and cost perspective; and third, we want to engage our target patient, physician, and payer stakeholders with evidence-based and compliant educational materials that serve to increase the awareness and understanding of the impact of PSVT and AFib-RVR on patients and the overall healthcare system.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anticipate our commercial expenses will increase as we invest in the infrastructure, personnel, and operational expenses required to commercialize CARDAMYST in the United States.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short-term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 primarily consists of contractual debt interest expense and the amortization of debt costs.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recorded $1.5 million of license revenue for the year ended December 31, 2025, compared to no revenue recorded for the year ended December 31, 2024. The license revenue for the year ended December 31, 2025 was the result of having reached a milestone pursuant to our License and Collaboration Agreement, dated May 15, 2021, with Corxel Pharmaceuticals, or “Corxel,” formerly known as Ji Xing Pharmaceuticals Limited, such party being referred to as “Ji Xing” and, such agreement, as the “Ji Xing License Agreement,” due upon the successful NDA approval by the FDA for CARDAMYST for the treatment of PSVT in the United States.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type of activity for the periods indicated.</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Change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19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Clinical</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Drug manufacturing and formulation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and other costs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R&amp;D tax credits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196"/>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R&amp;D expenses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$3.8 million, or 26.1%, for the year ended December 31, 2025, compared to the year ended December 31, 2024. The increase was primarily due to higher consulting and outside service costs. These higher costs were partially offset by lower personnel-related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$0.5 million, or 3.2%, for the year ended December 31, 2025, compared to the year ended December 31, 2024. This increase was driven primarily by an increase in outside service costs and higher personnel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Commercial expenses increased by $17.3 million, or 157.2%, for the year ended December 31, 2025, compared to the year ended December 31, 2024. This increase is primarily a result of additional personnel costs, professional costs, and other operational expenses related to preparation for the launch of CARDAMYST.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-424815</wp:posOffset>
            </wp:positionV>
            <wp:extent cx="565785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548640"/>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income was $2.9 million and $4.2 million for the year ended December 31, 2025 and 2024, respectively. The decrease in interest income in 2025 was driven decreasing interest rates and a smaller average investment balance in 2025 when compared to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expense remained materially consistent for the year ended December 31, 2025 compared to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and experienced negative operating cash flows since our inception, and we anticipate continuing to incur losses for the foreseeable future. As of December 31, 2025, we had cash, cash equivalents, and short-term investments of $106.0 million and an accumulated deficit of $430.6 million.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July 11, 2025, we entered into an underwriting agreement, or the “Underwriting Agreement,” related to an underwritten public offering, or the “2025 Offering,” of (i) 31,500,000 of our common shares,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or the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Pre-Funded Warrants” and, together with the Series A Common Warrants and the Series B Common Warrants, the “Warrants,” to purchase 3,502,335 common shares,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Common Shares and accompanying Common Warrants less the $0.001 per share exercise price for each such Pre-Funded Warrant.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proceeds to the Company from the 2025 Offering were $48.6 million after deducting underwriting commissions and other offering expenses payable by us, in the amount of $3.9 million.</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2024, we entered into an underwriting agreement related to an underwritten public offering, or the “February 2024 Offering,” of 16,666,667 of our common shares, without par value, at a public offering price of $1.50 per share and, in lieu of common shares to certain investors, pre-funded warrants to purchase 3,333,333 common shares, or the “2024 Pre-Funded Warrants,” at a public offering price of $1.499 per 2024 Pre-Funded Warrants. Each of the 2024 Pre-Funded Warrants has an exercise price of $0.001 per share. The 2024 Pre-Funded Warrants were exercisable immediately upon issuance, subject to certain beneficial ownership limitations. Under the terms of the agreement, we granted the underwriters party thereto an option to purchase up to an additional 3,000,000 common shares at the same price per share as the other common shares sold in this offering, which was exercised by such underwriters in full on February 29, 2024.</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net proceeds to us from the February 2024 Offering, including the proceeds from the exercise by the underwriters of their option to purchase the additional 3,000,000 common shares in full, was $31.9 million after deducting underwriting commissions and offering expenses payable by us.</w:t>
      </w:r>
    </w:p>
    <w:p>
      <w:pPr>
        <w:spacing w:after="0" w:line="168"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On July 29, 2020, we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“Original Sale Agreement,” with respect to an at-the-market offering program, or the “ATM Program,” under which we could issue and sell our common shares having an aggregate offering price of up to $50.0 million through Jefferies LLC, or “Jefferies,” as sales agent or principal. On March 18, 2025, we entered into an Amended and Restated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“Amended Agreement,” with Jefferies. The Amended Agreement amends and restates, in its entirety, the Original Sale Agreement. Under the Amended Agreement, we may issue and sell its common shares, no par value per share, for an aggregate offering price of up to $77.8 million (which includes the $2.8 million of sales previously made pursuant to the Original Sale Agreement through the date the Amended Agreement was entered into), or the “ATM Shares.” The ATM Shares will be sold pursuant to our shelf registration statement on Form S-3 (File No. 333-283162). We previously issued 361,236 common shares under the Original Sale Agreement, resulting in net proceeds of approximately $2.6 million (net of issuance costs of approximately $0.1 million). We issued 5,690,920 shares under the amended agreement resulting in net proceeds of $14.5 million, after deducting sales agent commissions payable by us of $0.4 million, during the year ended December 31, 2025.</w:t>
      </w:r>
    </w:p>
    <w:p>
      <w:pPr>
        <w:spacing w:after="0" w:line="20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that our operating plan, existing cash and cash equivalents and short-term investments to be sufficient to fund our operations for at least the next 12 months from the date of issuance of this Annual Report on Form 10-K for the year ending December 31, 2025 and that there are no known events or conditions that may cast substantial doubt on our ability to continue as a going concern for at least the next 12 months from the date of this filing.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Royalty Purchase Agreement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Royalty Purchase Agreement, RTW agreed to purchase, following FDA approval of etripamil (subject to certain conditions), in exchange for a purchase price of $75.0 million, the right to receive a tiered quarterly royalty payments, or “royalty interest,” on the annual net product sales of etripamil in the United States.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12, 2026, we closed the sale of the royalty interest under the Royalty Purchase Agreement and received the $75.0 million purchase price from certain funds managed by RTW in exchange for the future royalty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anticipate that we will use our cash and cash equivalents primarily to fund commercialization and research and development expenditures. We expect our expenses to increase as we continue the development of etripamil and invest in the infrastructure, personnel, and operational expenses required to commercialize CARDAMYST in the United States. We expect to incur increasing operating losses for the foreseeable future as we continue the clinical development of subsequent etripamil indications or any future product candidates. At this time, due to the inherently unpredictable nature of clinical development, we cannot reasonably estimate the costs we will incur and the timelines that will be required to complete development, obtain marketing approval, and commercialize subsequent etripamil indications or any future product candidates, if at all. For the same reasons, we are also unable to predict when, if ever, we may achieve profitability generated from product sales. Clinical and preclinical development timelines, the probability of success, and development costs can differ materially from expectations.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have exclusive development and commercialization rights for etripamil for all indications that we may pursue, and as such, have the potential to license development and or commercialization rights for etripamil to a potential partner in regions outside of Greater China. We have established commercialization and marketing capabilities using a direct sales force to commercialize CARDAMYST in the United States. Outside of the United States, we are considering commercialization strategies that may include collaborations with other companies.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For other new product candidates, our efforts are focused on licensing development and/or commercialization rights from potential partners. In the case of either in-licensing or out-licensing, we cannot forecast when such arrangements will be secured, if at all, and to what degree such arrangements would affect our development and commercialization plans and capital requirements.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225"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ongoing and planned clinical trials and other development activities of etripamil in AFib-RVR and in other cardiovascular indications;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etripamil for additional indications or any future product candidates that we may pursue;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collaborations on favorable terms, if at all;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vendors and third-party service providers to accurately forecast expenses and deliver on expectations;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subsequent etripamil indications and any future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CARDAMYST commercialization activities, including product manufacturing, marketing, sales, and distribution for CARDAMYST and any future product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shareholders. The incurrence of debt financing would result in debt service obligations and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instruments governing such debt could provide for operating and financing covenants that restrict our operations or our ability to incur additional indebtedness or pay dividends, among other items.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2"/>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84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(28,848)</w:t>
            </w:r>
          </w:p>
        </w:tc>
        <w:tc>
          <w:tcPr>
            <w:tcW w:w="3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Investing activities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3"/>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Financing activities</w:t>
            </w: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53,408</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196"/>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 during the period</w:t>
            </w: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36,178</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2025, was $49.0 million, which consisted primarily of a net loss of $63.1 million. The net loss was partially offset by a net cash increase of $2.7 million related to the change in assets and liabilities, non-cash charges of $7.5 million related to share-based compensation and non-cash interest and debt charges of $3.8 million related to the 2029 Convertible Notes.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was $28.8 million, which consisted primarily of a net loss of $41.5 million. The net loss was partially offset by a net cash increase of $3.7 million related to the change in assets and liabilities, non-cash charges of $5.8 million related to share-based compensation and non-cash interest charges of $3.2 million related to the 2029 Convertible 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redeemed $94.5 million of short-term investments, and we acquired $82.9 million of short-term investments. In addition, we acquired $0.3 million in property and equipment.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redeemed $121.9 million of short-term investments, and we acquired $113.6 million of short-term investments. In addition, we acquired $0.1 million in property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our financing activities provided cash proceeds of $85.5 million. These proceeds were primarily a result of $48.6 million received, net of issuance costs, from the issuance of common shares, pre-funded warrants, and common warrants under the 2025 Offering, proceeds of $21.7 million, net of issuance costs, for the exercise of common warrants, and proceeds of $14.5 million, net of issuance costs, for shares sold under the ATM Program. We also had proceeds of $0.4 million and $0.3 million for the exercise of employee options and shares issued as part of the employee stock purchase plan, respectively.</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our financing activities provided cash proceeds of $32.1 million. These proceeds were primarily a result of the $31.9 million received from the issuance of common shares and pre-funded warrants, net of $2.6 million in issuance costs paid under the February 2024 Offering.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enter into contracts in the normal course of business with clinical research organizations, or “CROs,” contract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manufacturing organizations, or “CMOs,” and other third parties for clinical trials, preclinical research studies, and testing and manufacturing services. These contracts are generally cancelable at our option with various notice requirements as defined in the contract. Payments due upon cancellation consist of payments for services provided or expenses incurred, including noncancelable obligations of our service providers, up to and through the date of cancellation. These payments are not included as the amount and timing of these payments are not known.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as at December 31, 2025, which have been prepared in accordance with United States generally accepted accounting principles, or “U.S. GAAP,” and on a basis consistent with those accounting principles followed by us. The preparation of these consolidated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Significant estimates and judgments include, but are not limited to:</w:t>
      </w:r>
    </w:p>
    <w:p>
      <w:pPr>
        <w:spacing w:after="0" w:line="188" w:lineRule="exact"/>
        <w:rPr>
          <w:sz w:val="20"/>
          <w:szCs w:val="20"/>
          <w:color w:val="auto"/>
        </w:rPr>
      </w:pPr>
    </w:p>
    <w:p>
      <w:pPr>
        <w:jc w:val="both"/>
        <w:ind w:left="1380" w:right="79" w:hanging="331"/>
        <w:spacing w:after="0" w:line="266"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percentage of work completed of the total work over the life of the individual trial in accordance with agreements established with CROs, CMOs, and clinical trial sites which in turn impact the research &amp; development expenses.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grant date fair value share options granted to employees, consultants and directors, and the resulting share-based compensation expense, using the Black Scholes option pricing model.</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Accordingly,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Research &amp; Development Expenses — Accruals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charged against income in the period of expenditure. Our research and development costs consist primarily of salaries and fees paid to CROs and to CMO for clinical trial expenses and manufacturing costs prior to FDA approval.</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Clinical trial expenses include direct costs associated with CROs, direct CMO costs for the formulation and packaging of clinical trial material, as well as investigator and patient-related costs at sites at which our trials are being conducted. Direct costs associated with our CROs and CMOs are generally payable on a time-and-materials basis, or when milestones are achieved. The invoicing from clinical trial sites can lag several months. We record expenses for our clinical trial activities performed by third parties based upon estimates of the percentage of work completed of the total work over the life of the individual trial in accordance with agreements established with CROs and clinical trial sites. We determine the estimates through discussions with internal clinical personnel, CROs, and CMOs as to the progress or stage of completion of trials or services and the agreed-upon fee to be paid for such services based on facts and circumstances known to us as of each consolidated balance sheet date. The actual costs and timing of clinical trials are highly uncertain, subject to risks and may change depending upon a number of factors, including our clinical development plan. If the actual timing of the performance of services and of the level of effort varies from the estimate, we will adjust the accrual accordingly. Adjustments to prior period estimates have not been material. We recognize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Share-Based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recognize compensation costs related to share options granted to employees, consultants, and directors based on the estimated fair value of the awards on the date of grant. We estimate the grant date fair value, and the resulting share-based compensation expense, using the Black Scholes option pricing model. This Black Scholes option pricing model uses various inputs to measure fair value, including estimated fair value of our underlying common shares at the grant date, expected term, estimated volatility, risk-free interest rate, and expected dividend yields of our common shares. The estimated volatility creates a critical estimate because we have not been a public company long enough to demonstrate our own historical volatility. The grant date fair value of the share-based awards is recognized on a straight-line basis over the requisite service periods, which are generally the vesting period of the respective awards. Forfeitures are accounted for as they occur.</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underlying common shares and the associated per-share exercise price, which was the fair value per share as determined by our board of directors on the applicable grant date, for share options granted during the years ended December 31, 2025 and 2024:</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Share at</w:t>
            </w:r>
          </w:p>
        </w:tc>
        <w:tc>
          <w:tcPr>
            <w:tcW w:w="2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4040" w:type="dxa"/>
            <w:vAlign w:val="bottom"/>
            <w:gridSpan w:val="7"/>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​​​Options Granted ​​​Common Share ​​​</w:t>
            </w: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gridSpan w:val="2"/>
            <w:vMerge w:val="continue"/>
          </w:tcPr>
          <w:p>
            <w:pPr>
              <w:spacing w:after="0"/>
              <w:rPr>
                <w:sz w:val="15"/>
                <w:szCs w:val="15"/>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16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1.45</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May 6, 2024</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July 15, 2024</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17, 2024</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August 28, 2024</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 2024</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2024</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4, 2024</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2024</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1,151,400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3,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June 10,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29,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November 24,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December 15, 2025</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our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 For the year ended December 31, 2025, we had cash and cash equivalents of $73.0 million and short-term investments of $32.9 million. For the year ended December 31, 2024, we had cash and cash equivalents of $25.3 million and short-term investments of $44.4 million. These cash and cash equivalents and short-term investments consist primarily of bank deposits, guaranteed investment certificates, and U.S. treasury bills.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or decrease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undertake certain transactions in Canadian dollars and as such are subject to risk due to fluctuations in exchange rates. Canadian dollar denominated payables are paid at the converted rate as due. We do not use derivative instruments to hedge exposure to foreign exchange rate risk due to the low volume of transactions denominated in foreign currencies. At December 31, 2025 and 2024, our net monetary exposure denominated in Canadian dollars was $2.8 million and $1.7 million, respectively.</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U.S. dollars in our financial statements. The fluctuation of the Canadian dollar in relation to the U.S. dollar might, consequently, have an impact upon our loss and may also affect the value of our assets and the amount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118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6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80" w:type="dxa"/>
            <w:vAlign w:val="bottom"/>
          </w:tcPr>
          <w:p>
            <w:pPr>
              <w:spacing w:after="0"/>
              <w:rPr>
                <w:sz w:val="24"/>
                <w:szCs w:val="24"/>
                <w:color w:val="auto"/>
              </w:rPr>
            </w:pPr>
          </w:p>
        </w:tc>
      </w:tr>
      <w:tr>
        <w:trPr>
          <w:trHeight w:val="392"/>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271)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196"/>
        </w:trPr>
        <w:tc>
          <w:tcPr>
            <w:tcW w:w="20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2120" w:type="dxa"/>
            <w:vAlign w:val="bottom"/>
            <w:tcBorders>
              <w:top w:val="single" w:sz="8" w:color="0000EE"/>
            </w:tcBorders>
            <w:gridSpan w:val="5"/>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2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Loss</w:t>
            </w:r>
          </w:p>
        </w:tc>
        <w:tc>
          <w:tcPr>
            <w:tcW w:w="534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3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w:t>
            </w:r>
          </w:p>
        </w:tc>
        <w:tc>
          <w:tcPr>
            <w:tcW w:w="41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484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3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56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 Milestone Pharmaceuticals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Milestone Pharmaceuticals Inc. and its subsidiary (the Company) as of December 31, 2025 and 2024, and the related consolidated statements of loss, of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Montreal, Canada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20, 2026</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data)</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ind w:left="5620"/>
              <w:spacing w:after="0"/>
              <w:rPr>
                <w:sz w:val="20"/>
                <w:szCs w:val="20"/>
                <w:color w:val="auto"/>
              </w:rPr>
            </w:pPr>
            <w:r>
              <w:rPr>
                <w:rFonts w:ascii="Times New Roman" w:cs="Times New Roman" w:eastAsia="Times New Roman" w:hAnsi="Times New Roman"/>
                <w:sz w:val="14"/>
                <w:szCs w:val="14"/>
                <w:i w:val="1"/>
                <w:i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i w:val="1"/>
                <w:iCs w:val="1"/>
                <w:color w:val="auto"/>
              </w:rPr>
              <w: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73,046</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License receivable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Research and development tax credits receivable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111,921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113,561</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75,499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13,289</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13,979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secured convertible notes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57,191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71,792</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shares, no par value, unlimited shares authorized, 106,236,344 shares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352,619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288,048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December 31, 2025, 53,353,984 shares issued and outstanding as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Pre-funded warrants - 16,412,925 issued and outstanding as of December 31, 2025 and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55,649</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53,076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12,910,590 as of December 31, 2024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64,104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(430,603)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41,769</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113,561</w:t>
            </w: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23"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w:t>
      </w:r>
    </w:p>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00" w:type="dxa"/>
            <w:vAlign w:val="bottom"/>
          </w:tcPr>
          <w:p>
            <w:pPr>
              <w:ind w:left="6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net of tax credits</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18,108</w:t>
            </w: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(62,140)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(3,838)</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(63,058)</w:t>
            </w: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number of shares and pre-funded warrants outstanding, basic and diluted</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83,882,800</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62,210,702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 per share, basic and diluted</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data)</w:t>
      </w:r>
    </w:p>
    <w:p>
      <w:pPr>
        <w:sectPr>
          <w:pgSz w:w="11900" w:h="16838" w:orient="portrait"/>
          <w:cols w:equalWidth="0" w:num="1">
            <w:col w:w="9440"/>
          </w:cols>
          <w:pgMar w:left="1220" w:top="513"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11"/>
          <w:szCs w:val="11"/>
          <w:b w:val="1"/>
          <w:bCs w:val="1"/>
          <w:color w:val="auto"/>
        </w:rPr>
        <w:t>Balance as of December 31, 2023 Transactions during 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184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80" w:type="dxa"/>
            <w:vAlign w:val="bottom"/>
          </w:tcPr>
          <w:p>
            <w:pPr>
              <w:spacing w:after="0"/>
              <w:rPr>
                <w:sz w:val="11"/>
                <w:szCs w:val="11"/>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Pre-funded warrants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70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   of shares</w:t>
            </w:r>
          </w:p>
        </w:tc>
        <w:tc>
          <w:tcPr>
            <w:tcW w:w="360" w:type="dxa"/>
            <w:vAlign w:val="bottom"/>
            <w:gridSpan w:val="2"/>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  of warrants</w:t>
            </w:r>
          </w:p>
        </w:tc>
        <w:tc>
          <w:tcPr>
            <w:tcW w:w="320" w:type="dxa"/>
            <w:vAlign w:val="bottom"/>
            <w:gridSpan w:val="2"/>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360" w:type="dxa"/>
            <w:vAlign w:val="bottom"/>
            <w:gridSpan w:val="3"/>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33,483,111</w:t>
            </w:r>
          </w:p>
        </w:tc>
        <w:tc>
          <w:tcPr>
            <w:tcW w:w="2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260,504</w:t>
            </w:r>
          </w:p>
        </w:tc>
        <w:tc>
          <w:tcPr>
            <w:tcW w:w="1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9,577,257</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48,459</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33,834</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(326,026)</w:t>
            </w: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16,771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-93345</wp:posOffset>
            </wp:positionV>
            <wp:extent cx="5983605"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5725"/>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2060" w:space="720"/>
            <w:col w:w="6660"/>
          </w:cols>
          <w:pgMar w:left="1220" w:top="513" w:right="123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2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(41,519)</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(41,519)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50,476</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Pre-funded warrants, net of issuance costs</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3,333,333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4,617</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5,776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shares, net of issuance costs</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19,666,667</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27,258</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27,258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purchase plan purchases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153,730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191</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53,353,984</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288,048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12,910,590</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53,076</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39,568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(367,545)</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8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13,147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53,353,984</w:t>
            </w:r>
          </w:p>
        </w:tc>
        <w:tc>
          <w:tcPr>
            <w:tcW w:w="480" w:type="dxa"/>
            <w:vAlign w:val="bottom"/>
            <w:gridSpan w:val="2"/>
            <w:shd w:val="clear" w:color="auto" w:fill="CCEEFF"/>
          </w:tcPr>
          <w:p>
            <w:pPr>
              <w:jc w:val="right"/>
              <w:ind w:right="213"/>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288,048</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12,910,590</w:t>
            </w:r>
          </w:p>
        </w:tc>
        <w:tc>
          <w:tcPr>
            <w:tcW w:w="420" w:type="dxa"/>
            <w:vAlign w:val="bottom"/>
            <w:gridSpan w:val="2"/>
            <w:shd w:val="clear" w:color="auto" w:fill="CCEEFF"/>
          </w:tcPr>
          <w:p>
            <w:pPr>
              <w:jc w:val="right"/>
              <w:ind w:right="153"/>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53,076</w:t>
            </w:r>
          </w:p>
        </w:tc>
        <w:tc>
          <w:tcPr>
            <w:tcW w:w="380" w:type="dxa"/>
            <w:vAlign w:val="bottom"/>
            <w:gridSpan w:val="2"/>
            <w:shd w:val="clear" w:color="auto" w:fill="CCEEFF"/>
          </w:tcPr>
          <w:p>
            <w:pPr>
              <w:jc w:val="right"/>
              <w:ind w:right="133"/>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39,568</w:t>
            </w:r>
          </w:p>
        </w:tc>
        <w:tc>
          <w:tcPr>
            <w:tcW w:w="400" w:type="dxa"/>
            <w:vAlign w:val="bottom"/>
            <w:gridSpan w:val="2"/>
            <w:shd w:val="clear" w:color="auto" w:fill="CCEE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(367,545)</w:t>
            </w:r>
          </w:p>
        </w:tc>
        <w:tc>
          <w:tcPr>
            <w:tcW w:w="2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13,147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Transactions during 2025</w:t>
            </w: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(63,058)</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(63,058)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293,497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776</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Pre-funded warrants, net of issuance costs</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3,502,335</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2,573</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7,461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vesting of performance stock</w:t>
            </w: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895,500</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1,558</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common shares, net of issuance costs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37,190,920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37,587</w:t>
            </w: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A common stock warrants, net of issuance</w:t>
            </w: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9,504</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B common stock warrants, net of issuance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Exercise of Series A common stock warrants, net of issuance</w:t>
            </w: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13,630,007</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22,919</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Series B common stock warrants, net of issuance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666,666</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1,431</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Employee stock purchase plan purchases</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205,770</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106,236,344</w:t>
            </w:r>
          </w:p>
        </w:tc>
        <w:tc>
          <w:tcPr>
            <w:tcW w:w="20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352,619</w:t>
            </w:r>
          </w:p>
        </w:tc>
        <w:tc>
          <w:tcPr>
            <w:tcW w:w="1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16,412,925</w:t>
            </w:r>
          </w:p>
        </w:tc>
        <w:tc>
          <w:tcPr>
            <w:tcW w:w="2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55,649</w:t>
            </w:r>
          </w:p>
        </w:tc>
        <w:tc>
          <w:tcPr>
            <w:tcW w:w="18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64,104</w:t>
            </w:r>
          </w:p>
        </w:tc>
        <w:tc>
          <w:tcPr>
            <w:tcW w:w="1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(430,603)</w:t>
            </w: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8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41,769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8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(63,058)</w:t>
            </w: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debt costs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Accretion of investment discount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interest expense related to Senior Secured Convertible Note</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disposals of property and equipment</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License receivable</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Research and development tax credits receivable</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 lease assets and liabilities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8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4,432</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(49,041)</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investing activities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short-term investments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(82,918)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Redemption of short-term investments</w:t>
            </w: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94,466</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11,246</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financing activities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net of issuance costs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37,593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pre-funded warrants, net of issuance costs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series A common stock warrants, net of issuance costs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series B common stock warrants, net of issuance costs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series A warrants, net of issuance costs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series B warrants, net of issuance costs</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provided by financing activities</w:t>
            </w: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85,527</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47,732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 Beginning of period</w:t>
            </w: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25,314</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73,046</w:t>
            </w: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12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Milestone Pharmaceuticals Inc., or “Milestone,” or the “Company,” is a biopharmaceutical company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Milestone’s headquarters is currently located in Montréal (Québec), Canada. The Company’s common shares began trading on The Nasdaq Global Select Market on May 9, 2019, and trade under the symbol “MIST”. Milestone is focused on the development and commercialization of cardiovascular medicines. Milestone’s lead product candidate, etripamil, is a novel, potent rapid-onset calcium channel blocker that the Company designed and is developing as a rapid-onset nasal spray to be administered by patients. On December 12, 2025, CARDAMYST™ (etripamil) was approved by the U.S. Food and Drug Administration, or “FDA,” to treat paroxysmal supraventricular tachycardia, or “PSVT.” The Company is also developing etripamil for the treatment of atrial fibrillation, or “AFib,” and other cardiovascular indications.</w:t>
      </w:r>
    </w:p>
    <w:p>
      <w:pPr>
        <w:spacing w:after="0" w:line="184" w:lineRule="exact"/>
        <w:rPr>
          <w:sz w:val="20"/>
          <w:szCs w:val="20"/>
          <w:color w:val="auto"/>
        </w:rPr>
      </w:pPr>
    </w:p>
    <w:p>
      <w:pPr>
        <w:ind w:left="60" w:right="5419" w:hanging="10"/>
        <w:spacing w:after="0" w:line="503" w:lineRule="auto"/>
        <w:tabs>
          <w:tab w:leader="none" w:pos="2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 Basis of consolidation</w:t>
      </w: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Milestone Pharmaceuticals USA, Inc. All intercompany transactions and balances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Basis of Presentation and Use of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of the Company have been presented in United States dollars (USD) and have been prepared in accordance with accounting principles generally accepted in the United States of America, or “U.S. GAAP,” including the applicable rules and regulations of the Securities and Exchange Commission (SEC) regarding financial reporting.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 to make estimates and judgments that affect certain reported amounts of assets and liabilities and disclosure of contingent assets and liabilities at the date of the consolidated financial statements and the reported amounts of revenue and expenses during the year. The Company bases its estimates and assumptions on current facts, historical experience and various other factors that it believes are reasonable under the circumstances, to determine the carrying values of assets and liabilities that are not readily apparent from other sources. Significant estimates and judgments include, but are not limited to,</w:t>
      </w:r>
    </w:p>
    <w:p>
      <w:pPr>
        <w:spacing w:after="0" w:line="187" w:lineRule="exact"/>
        <w:rPr>
          <w:sz w:val="20"/>
          <w:szCs w:val="20"/>
          <w:color w:val="auto"/>
        </w:rPr>
      </w:pPr>
    </w:p>
    <w:p>
      <w:pPr>
        <w:jc w:val="both"/>
        <w:ind w:left="1380" w:right="79" w:hanging="331"/>
        <w:spacing w:after="0" w:line="26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percentage of work completed of the total work over the life of the individual trial in accordance with agreements established with clinical research organizations, or “CROs,” contract manufacturing organizations, or “CMOs,” and clinical trial sites which in turn impact the research &amp; development expenses.</w:t>
      </w:r>
    </w:p>
    <w:p>
      <w:pPr>
        <w:spacing w:after="0" w:line="179"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of the grant date fair value of share options granted to employees, consultants and directors, and the resulting share-based compensation expense, using the Black Scholes option pricing model.</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consolidated financial statements, the Company is not aware of any specific event or circumstance that would require the Company to update its estimates, assumptions and judgments.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Segment Information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See Note 20, “Segment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The Company considers the nature and contractual terms of arrangements and assesses whether an arrangement involves a joint operating activity pursuant to which the Company is an active participant and is exposed to significant risks and rewards dependent on the commercial success of the activity. If the Company is an active participant and is exposed to significant risks and rewards dependent on the commercial success of the activity, the Company accounts for such an arrangement as a collaborative arrangement under Accounting Standards Codification, or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or “ASC 808,” which requires that certain transactions between the Company and collaborators be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its consolidated statements of loss on either a gross basis or net basis, depending on the characteristics of the collaborative relationship, and requires enhanced disclosure of collaborative relationships. The Company evaluates its collaboration agreements for proper classification in its consolidated statements of loss based on the nature of the underlying activity. If payments to and from collaborative partners are not within the scope of other authoritative accounting literature, the consolidated statements of loss classification for the payments is based on a reasonable, rational analogy to authoritative accounting literature that is applied in a consistent manner. If the Company concludes that it has a customer relationship with one of its collaborators, the Company follows the guidance in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or “ASC 606.”</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goods or services. The amount of revenue recognized reflects the consideration to which the Company expects to be entitled in exchange for these goods and services. To achieve this core principle, the Company applies the following five steps: 1) identify the customer contract; 2) identify the contract’s performance obligations; 3) determine the transaction price; 4) allocate the transaction price to the performance obligations; and 5) recognize revenue when or as a performance obligation is satisfied. The Company evaluates all promised goods and services within a customer contract and determines which of such goods and services are separate performance obligations. This evaluation includes an assessment of whether the good or service is capable of being distinct and whether the good or service is separable from other promises in the contract.</w:t>
      </w:r>
    </w:p>
    <w:p>
      <w:pPr>
        <w:spacing w:after="0" w:line="192"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In assessing whether promised goods or services in licensing arrangements are distinct, the Company considers factors such as the stage of development of the underlying intellectual property and the capabilities of the customer to develop the intellectual property on their own or whether the required expertise is readily available. Licensing arrangements are analyzed to determine whether the promised goods or services, which often include licenses, research and development services and governance committee services, are distinct or whether they must be accounted for as part of a combined performance obligation. If the license is considered not to be distinct, the license would then be combined with other promised goods or services as a combined performance obligation. If the Company is involved in a governance committee, it assesses whether its involvement constitutes a separate performance obligation. When governance committee services are determined to be separate performance obligations, the Company determines the fair value to be allocated to this promised service. Certain contracts contain optional and additional items, which are considered marketing offers and are accounted for as separate contracts with the customer if such option is elected by the customer, unless the option provides a material right which would not be provided without entering into the contract. An option that is considered a material right is accounted for as a separate performance obligation. The transaction price is determined based on the consideration to which the Company will be entitled in exchange for transferring goods and services to the customer. A contract may contain variable consideration, including potential payments for both milestone and research and development services. For certain potential milestone payments, the Company estimates the amount of variable consideration by using the most likely amount method. In making this assessment, the Company evaluates factors such as the clinical, regulatory, commercial and other risks that must be overcome to achieve the milestone. Each reporting period the Company re-evaluates the probability of achievement of such variable consideration and any related constraints. Milestone will include variable consideration, without constraint, in the transaction price to the extent it is probable that a significant reversal in the amount of cumulative revenue recognized will not occur when the uncertainty associated with the variable consideration is subsequently resolved.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among the performance obligations on a relative standalone selling price basis unless a portion of the transaction price is variable and meets the criteria to be allocated entirely to a performance obligation or to a distinct good or service that forms part of a single performance obligation.</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the underlying performance obligations or in the case of certain variable consideration to one or more performance obligations.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to complete the respective performance obligation.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 the Company would expect to receive for each performance obligation.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When a performance obligation is satisfied, revenue is recognized for the amount of the transaction price, excluding estimates of variable consideration that are constrained, that is allocated to that performance obligation on a relative standalone selling price basis. Significant management judgment is required in determining the level of effort required under an arrangement and the period over which the Company is expected to complete its performance obligations under an arrangement.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performance obligations consisting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 refundable, up-front fees. The Company evaluates the measure of progress each reporting period and, if necessary, adjusts the measure of performance and related revenue recognition. If the license to the Company’s intellectual property is determined to be distinct from the other performance obligations identified in the arrangement, the Company will recognize revenue from non-refundable, up-front fees allocated to the license at the point in time when the license is transferred to the customer and the customer is able to use and benefit from the license.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 Cash and Cash Equivalents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that are readily convertible into cash with original maturities of 90 days or less at acquisition date.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 Short-Term Investments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Short-term investments are classified as held-to-maturity, are initially recognized at fair value and are subsequently accounted for at amortized cost. They are comprised of guaranteed investment certificates with a maturity greater than 90 days but less than one year and, as such, are classified as current assets.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 Concentration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and cash equivalents and investment securities classified as held-to-maturity. The Company maintains deposits at major financial institutions and such amounts may exceed those amounts insured by the Federal Deposit Insurance Corporation, or the “FDIC.” The Company has not experienced any losses on its deposits since inception, and the Company believes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that minimal credit risk exists with respect to these financial institutions. Additionally, the Company has adopted an investment policy that includes guidelines relative to credit quality, diversification of maturities and liquidity.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relies on a single source manufacturer for starting materials and active pharmaceutical ingredient, or “API,” packaging components, and packaged pharmaceutical product ready for commercial sale.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 Currency Risk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is exposed to currency risk due to financial instruments denominated in foreign currencies. The Company is exposed to the Canadian dollar currency risk and does not enter into arrangements to hedge its currency risk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 Inventory</w:t>
      </w:r>
    </w:p>
    <w:p>
      <w:pPr>
        <w:spacing w:after="0" w:line="210" w:lineRule="exact"/>
        <w:rPr>
          <w:sz w:val="20"/>
          <w:szCs w:val="20"/>
          <w:color w:val="auto"/>
        </w:rPr>
      </w:pPr>
    </w:p>
    <w:p>
      <w:pPr>
        <w:jc w:val="both"/>
        <w:ind w:left="60" w:right="59"/>
        <w:spacing w:after="0" w:line="224" w:lineRule="exact"/>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on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or “FIFO,” basis. Inventory costs include raw materials,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finished goods, and applicable manufacturing overhead. Raw materials include starting materials used to manufacture the API.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includes API, intermediate compounding steps, and bulk drug product. Finished goods include packaging components and the packaged pharmaceutical product ready for commercial sale.</w:t>
      </w:r>
    </w:p>
    <w:p>
      <w:pPr>
        <w:spacing w:after="0" w:line="179" w:lineRule="exact"/>
        <w:rPr>
          <w:sz w:val="20"/>
          <w:szCs w:val="20"/>
          <w:color w:val="auto"/>
        </w:rPr>
      </w:pPr>
    </w:p>
    <w:p>
      <w:pPr>
        <w:jc w:val="both"/>
        <w:ind w:left="60" w:right="59"/>
        <w:spacing w:after="0" w:line="224" w:lineRule="exact"/>
        <w:rPr>
          <w:sz w:val="20"/>
          <w:szCs w:val="20"/>
          <w:color w:val="auto"/>
        </w:rPr>
      </w:pPr>
      <w:r>
        <w:rPr>
          <w:rFonts w:ascii="Times New Roman" w:cs="Times New Roman" w:eastAsia="Times New Roman" w:hAnsi="Times New Roman"/>
          <w:sz w:val="18"/>
          <w:szCs w:val="18"/>
          <w:color w:val="auto"/>
        </w:rPr>
        <w:t>Prior to the FDA’s approval of CARDAMYST on December 12, 2025, costs associated with manufacturing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commercial batches and clinical materials were expensed as research and development expenses in accordance with our accounting policy and SAB Topic 5A, as the product had not yet received regulatory approval and therefore did not meet the criteria for capitalization. Following FDA approval, we began capitalizing inventory related to CARDAMYST manufactured after the approval date. Inventory produced prior to approval and previously expensed as research and development remains recorded at a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basis and is excluded from the inventory balance.</w:t>
      </w:r>
    </w:p>
    <w:p>
      <w:pPr>
        <w:spacing w:after="0" w:line="190" w:lineRule="exact"/>
        <w:rPr>
          <w:sz w:val="20"/>
          <w:szCs w:val="20"/>
          <w:color w:val="auto"/>
        </w:rPr>
      </w:pPr>
    </w:p>
    <w:p>
      <w:pPr>
        <w:jc w:val="both"/>
        <w:ind w:left="60" w:right="59"/>
        <w:spacing w:after="0" w:line="219" w:lineRule="exact"/>
        <w:rPr>
          <w:sz w:val="20"/>
          <w:szCs w:val="20"/>
          <w:color w:val="auto"/>
        </w:rPr>
      </w:pPr>
      <w:r>
        <w:rPr>
          <w:rFonts w:ascii="Times New Roman" w:cs="Times New Roman" w:eastAsia="Times New Roman" w:hAnsi="Times New Roman"/>
          <w:sz w:val="18"/>
          <w:szCs w:val="18"/>
          <w:color w:val="auto"/>
        </w:rPr>
        <w:t>Because our inventory is subject to expiration, the Company evaluates its carrying value each reporting period and records allowances for any estimated excess, obsolete,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dated, or otherwise unmarketable inventory. In accordance with regulatory requirements and current Good Manufacturing Practices, or “cGMP,” our inventory is also subject to strict quality control and monitoring throughout the manufacturing process. If certain batches or units do not meet quality specifications, we would write down the related inventory to its estimated net realizable value and record the expense as a cost of production in the Consolidated Statement of Loss. Inventory valuation adjustments require judgment and consideration of various factors, including forecasted demand, remaining shelf life, and quality assessments, among others.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 Property and Equipment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historical cost less accumulated depreciation. Expenditures for maintenance and repairs are recorded to expense as incurred.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have been recorded. Depreciation is calculated using the straight-line method over the following estimated useful lives of the assets: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40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0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over the lease term</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 does not have financing leases.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Right-out-use assets are subsequently accounted for as long-lived assets, including evaluating for indicators of impairment.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 Pre-funded Warrants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Pre-funded warrants allow the holder to pay little or no consideration to receive the shares upon exercise of the warrant. The pre-funded warrants do not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because their fair value at issuance is equal to the fair value of the shares underlying the warrant. As such, they have the characteristics of a prepaid forward sale of equity. As a result, the pre-funded warrants are accounted for as equity instruments.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 Share and Debt Issuance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Share issuance costs include legal fees, accounting fees, sales agent commissions, broker and underwriting fees, and other direct costs incurred in connection with the issuance of equity instruments. Share issuance costs are recorded as a reduction of the financing equity proceeds.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 Research and Development and Investment Tax Credits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charged to expense as costs are incurred in performing research and development activities. The Company’s research and development costs consist primarily of salaries and fees paid to contract research organizations, or “CROs” and non-capitalizable costs paid to contract manufacturing organizations, or “CMOs.”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Clinical trial expenses include direct costs associated with CROs, direct CMO costs for the formulation and packaging of clinical trial material, as well as investigator and patient related costs at sites at which the Company’s trials are being conducted. Direct costs associated with the Company’s CROs and CMOs are generally payable on a time and materials basis, or when milestones are achieved. The invoicing from clinical trial sites can lag several months. The Company records expenses for its clinical trial activities performed by third parties based upon estimates of the percentage of work completed of the total work over the life of the individual study in accordance with agreements established with CROs and clinical trial sites. The Company determines the estimates through discussions with internal clinical personnel, CROs and CMOs as to the progress or stage of completion of trials or services and the agreed upon fee to be paid for such services based on facts and circumstances known to the Company as of each consolidated balance sheet date. The actual costs and timing of clinical trials are highly uncertain, subject to risks and may change depending upon a number of factors, including the Company’s clinical development plan. If the actual timing of the performance of services of the level of effort varies from the estimate, the Company will adjust the accrual accordingly.</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 Income Taxes</w:t>
      </w:r>
    </w:p>
    <w:p>
      <w:pPr>
        <w:spacing w:after="0" w:line="25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provision for income taxes is computed using the liability method. Under this method, deferred tax assets and liabilities are determined based on differences between financial reporting and tax bases of assets and liabilities. Deferred tax assets and liabilities are measured using enacted tax rates and laws that will be in effect when the differences are expected to reverse. A valuation allowance is recorded to reduce the carrying amount of deferred income tax assets until when it is more likely than not that these assets will be realized. Tax benefits related to tax positions not deemed to meet the “more likely than not” threshold are not permitted to be recognized in the consolidated financial statements.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 Foreign Currency Translation and Transactions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 is the U.S. dollar.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a share-based compensation plan which is described in detail in Note 9, “Shareholders’ Equity,” and records all share-based payments, including grants of employee share options, performance stock options, or “PSOs,” restricted stock units, or “RSUs,” and performance stock units, or “PSUs, based on the fair value of the awards as of the grant date. The fair value of share options granted to employees and non-employees is estimated at the date of grant using the Black-Scholes option pricing model. The fair value of RSUs and PSUs with performance-based vesting conditions is calculated using the closing price of the Company’s common stock on the date of grant.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requisite service period of the award, which equals the vesting period, using the straight-line method, with expense for PSUs and PSOs with performance-based vesting conditions, adjusted based on the likelihood of future achievement of the performance metrics.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Forfeitures, if any, are recorded as they occur. Any consideration paid by employees on exercising share options and the corresponding portion previously credited to contributed surplus are credited to share capital. The Black-Scholes option pricing model used by the Company to calculate option values was developed to estimate fair value.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approved an employee share purchase plan in April 2019, which became effective on May 8, 2019, and is described in Note 10, “Share-Based Compensation.” The plan provides a means by which eligible employees of the Company may be given an opportunity to purchase common shares. The plan permits the Company to grant a series of purchase rights to eligible employees under an employee stock purchase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 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 Accounting Pronouncements - Issued and Adopted</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or “ASU 2023-09.”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entities on an annual basis to disclose disaggregated amounts of income taxes paid. ASU 2023-09 is effective for annual periods beginning after December 15, 2024. The Company adopted ASU 2023-09 for the year ended December 31, 2025, as documented in Note 13, “Income Taxes.”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 Accounting Pronouncements - Issued but Not Yet Adopted</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 Comprehensive Income— 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financial statement disclosures.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 Significant Risks and Uncertainties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is subject to challenges and risks specific to its business and its ability to execute on its strategy, as well as risks and uncertainties common to companies in the pharmaceutical industry, including, without limitation, risks and uncertainties associated with: commercializing CARDAMYST; procuring inventory given our reliance on a concentrated supplier base, delays or problems in the supply of its study drug or failure to comply with manufacturing regulations; identifying, acquiring or in-licensing product candidates; pharmaceutical product development and the inherent uncertainty of clinical success; and the challenges of protecting and enhancing its intellectual property rights; and complying with applicable regulatory requirements.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the Company may be impacted by general economic, political, and market conditions, including deteriorating market conditions due to investor concerns regarding inflation, armed conflicts, and overall fluctuations in the financial markets in the U.S. and abroad.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 Sources of Liquidity and Funding Requirements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and experienced negative operating cash flows since its inception and expect to incur additional costs in connection with commercialization in 2026. The Company intends to finance its commercialization and working capital needs from existing cash, potential proceeds from the commercialization of CARDAMYST, royalty revenue, the exercise of outstanding common stock options and warrants to purchase common stock, and existing and future licensing and commercial partnership agreements. As of December 31, 2025, the Company had cash and cash equivalents and short-term investments of $106.0 million and an accumulated deficit of $430.6 million. The Company believes that its cash, cash equivalents and short-term investments as of December 31, 2025, will be sufficient to allow the Company to fund its planned operations for at least the next 12 months from the date of this Annual Report on Form 10-K.</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sale of equity securities, convertible notes, short-term investments, and from cash received pursuant to its license agreement. To date, the Company has not generated any revenue from product sales. Management expects operating losses and negative cash flows from operations to continue for the foreseeable future.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license revenue of $1.5 million for the year ended December 31, 2025, and no revenue for the year ended December 31, 2024. The license revenue for the year ended December 31, 2025 was the result of having reached a milestone pursuant to our License and Collaboration Agreement, dated May 15, 2021, with Corxel Pharmaceuticals, or “Corxel,” formerly known as Ji Xing Pharmaceuticals Limited (such party “Ji Xing” and, such agreement, the “Ji Xing License Agreement”) due upon approval of the NDA for CARDAMYST by the FDA in the United States.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Corxel Pharmaceuticals</w:t>
      </w:r>
    </w:p>
    <w:p>
      <w:pPr>
        <w:spacing w:after="0" w:line="229"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On May 15, 2021, the Company entered into the License Agreement with Corxel, which is an entity affiliated with RTW Investments, LP, or “RTW,” a beneficial owner of approximately 2.9% of the Company’s common shares, as of December 31, 2025. Under the License Agreement, the Company granted Corxel exclusive development and commercialization rights to any pharmaceutical product that uses a device to deliver etripamil by nasal spray for all prophylactic and therapeutic uses in humans in the People’s Republic of China, or the “Territory,” including mainland China, Hong Kong Special Administrative Region, Macau Special Administrative Region, and Taiwan. Corxel will be responsible for development and regulatory activities in the Territory, and the Company will remain responsible for certain manufacturing activities in the Territory, subject to the supply agreement subsequently entered into by the Company and Corxel as contemplated by the License Agreement (the Supply Agreement). The Company received a non-refundable upfront cash payment of $15 million and the right to future payments of up to $107.5 million in total development and sales milestone payments. In addition, the Company is entitled to receive tiered royalty payments ranging from a percentage in the low double digits to the high double digits of Net Sales (as defined in the License Agreement) of all products sold in the Territory.</w:t>
      </w:r>
    </w:p>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Management evaluated all of the promised goods or services within the contract and determined that such goods and services were separate performance obligations. The Company determined that the license granted was a separate performance obligation as Corxel can benefit from the license granted on its own after the transfer of the license, as it does not require any significant development, regulatory or commercialization activities from Milestone. Corxel is responsible for all development, regulatory and commercialization activities in the Territory, including the performance of clinical trials necessary for regulatory approval, and is responsible for all such related costs. Supply of the product can be provided by another entity, as the Company currently uses a CMO for the production of etripamil without subsequent significant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modification or customization by the Company, therefore the Company determined the obligation to supply product is a separate and distinct obligation. The Company concluded that the obligation for participation on the various governance committees was distinct as the services could be performed by an outside party, however it was determined to be immaterial after estimating the stand-alone cost compared to the License Agreement as a whole. As a result, the Company concluded there were two material and distinct performance obligations to account for under ASC 606 at the inception of the License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short-term investments of $32.9 million were comprised of term deposits issued in US currency, earning interest between 2.75% and 4.48%, maturing between March 10, 2026 and April 21, 2026. These short-term investments were in scope of ASC 320, </w:t>
      </w:r>
      <w:r>
        <w:rPr>
          <w:rFonts w:ascii="Times New Roman" w:cs="Times New Roman" w:eastAsia="Times New Roman" w:hAnsi="Times New Roman"/>
          <w:sz w:val="18"/>
          <w:szCs w:val="18"/>
          <w:i w:val="1"/>
          <w:iCs w:val="1"/>
          <w:color w:val="auto"/>
        </w:rPr>
        <w:t>Investments-Debt Securities</w:t>
      </w:r>
      <w:r>
        <w:rPr>
          <w:rFonts w:ascii="Times New Roman" w:cs="Times New Roman" w:eastAsia="Times New Roman" w:hAnsi="Times New Roman"/>
          <w:sz w:val="18"/>
          <w:szCs w:val="18"/>
          <w:color w:val="auto"/>
        </w:rPr>
        <w:t>. The short-term investments maturity is greater than 90 days but less than one year, and they were classified as held to maturity, recorded as current assets and were accounted for at amortized cost. Interest income earned on short-term investments is reported in interest income. The Company had short-term investments of $44.4 million as of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$0.9 million in short-term investments were pledged as collateral for a letter of credit.</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Following FDA approval in December 2025, the Company began capitalizing inventory costs related to CARDAMYST manufactured after the approval date. The components of inventory are as follows: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Work-in-process</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2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1"/>
        </w:trPr>
        <w:tc>
          <w:tcPr>
            <w:tcW w:w="3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tcBorders>
          </w:tcPr>
          <w:p>
            <w:pPr>
              <w:ind w:left="184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-590550</wp:posOffset>
            </wp:positionV>
            <wp:extent cx="564896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-307975</wp:posOffset>
            </wp:positionV>
            <wp:extent cx="56489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5619"/>
          </w:cols>
          <w:pgMar w:left="1440" w:top="513" w:right="1440" w:bottom="1440" w:gutter="0" w:footer="0" w:header="0"/>
          <w:type w:val="continuous"/>
        </w:sectPr>
      </w:pPr>
    </w:p>
    <w:p>
      <w:pPr>
        <w:spacing w:after="0" w:line="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Inventory manufactured prior to FDA approval was expensed through research and development costs, and therefore, this inventory has a zero-cost basis and is not included in the inventory balance.</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20, 2022, the Company entered into a lease arrangement for a 62-month term for new office space located in Charlotte, NC. The Company recognized the operating lease right-of-use asset and operating lease liabilities at the lease commencement date on August 1, 2022. The interest rate implicit in lease contracts is not readily determinable and the Company does not have a public credit rating and carries no debt. As such, several factors were considered in the determination of the Company’s incremental borrowing rate used in determining the present value of lease payments. The Company’s examined credit ratings for similar companies, assumed equivalency between the Canadian and U.S. markets for collateralized debt and used rates near the 62-month period. This resulted in an incremental borrowing rate of 7.55%. Lease expenses are recognized on a straight-line basis over the lease term, which is accomplished by increasing the amortization of the right-of-use asset as interest expense on the lease liability declines over the lease term.</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12, 2025, the Company entered into an arrangement for the lease renewal for its headquarters located in Ville Saint-Laurent, Quebec. The 2-year lease term is from December 1, 2025, expiring on November 30, 2027. The Company recorded the operating lease right-of-use asset and operating lease liabilities at the effective lease arrangement date of August 12, 2025. The Company’s examined credit ratings for similar companies, assumed equivalency between the Canadian and U.S. markets for collateralized debt and used rates for the remaining lease term of 28 months. This resulted</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an incremental borrowing rate of 5.2%. Lease expenses are recognized on a straight-line basis over the lease term, which is accomplished by increasing the amortization of the right-of-use asset as interest expense on the lease liability declines over the lease term. The Company is not reasonably certain of renewing the lease following the current renewal option and recognized the right-of-use asset and operating lease liabilities to November 30, 2027.</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operating office leases right-of-use assets as at December 31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 balance</w:t>
            </w:r>
          </w:p>
        </w:tc>
        <w:tc>
          <w:tcPr>
            <w:tcW w:w="174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1,376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adjustment, renewal August 2025</w:t>
            </w: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balance</w:t>
            </w:r>
          </w:p>
        </w:tc>
        <w:tc>
          <w:tcPr>
            <w:tcW w:w="17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1,129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0"/>
        </w:trPr>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Operating lease expenses of $668 and $697 are included in general and administrative operating expenses in the consolidated statement of loss, and within operating activities in the statement of cash flows for the years ended December 31, 2025 and 2024, respectively and are comprised of two operating lease right-of-use assets and one operating lease of less than 12 months.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future minimum lease payments of right-of-use assets operating leases as of December 31, 2025:</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to December 31, 2026</w:t>
            </w: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January 1, 2027 to November 30, 2027</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19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19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of interest</w:t>
            </w: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0"/>
        </w:trPr>
        <w:tc>
          <w:tcPr>
            <w:tcW w:w="7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60" w:type="dxa"/>
            <w:vAlign w:val="bottom"/>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6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 disposal was recorded for the year ended December 31, 2025, and an immaterial amount of disposals and losses on disposals was recorded for the year ended December 31, 2024. For the years ended December 31, 2025 and 2024, depreciation expense was $114 and $105,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 comprised the following as of December 31: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6740" w:type="dxa"/>
            <w:vAlign w:val="bottom"/>
          </w:tcPr>
          <w:p>
            <w:pPr>
              <w:ind w:left="6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r>
      <w:tr>
        <w:trPr>
          <w:trHeight w:val="196"/>
        </w:trPr>
        <w:tc>
          <w:tcPr>
            <w:tcW w:w="6740" w:type="dxa"/>
            <w:vAlign w:val="bottom"/>
          </w:tcPr>
          <w:p>
            <w:pPr>
              <w:ind w:left="6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40" w:type="dxa"/>
            <w:vAlign w:val="bottom"/>
          </w:tcPr>
          <w:p>
            <w:pPr>
              <w:spacing w:after="0"/>
              <w:rPr>
                <w:sz w:val="18"/>
                <w:szCs w:val="18"/>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and benefits payable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40" w:type="dxa"/>
            <w:vAlign w:val="bottom"/>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Accrued commercial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underwriting fees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Accrued legal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40" w:type="dxa"/>
            <w:vAlign w:val="bottom"/>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4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authorized and issued common shares, voting and participating, without par value, of which unlimited shares were authorized, and 106,236,344 shares were issued and outstanding as of December 31,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2,286,603 common shares available for issuance under the Employee Stock Purchase Plan, or the “ESPP,” of which 1,785,097 are available for future purchases.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11, 2025, the Company entered into an underwriting agreement, or the “Underwriting Agreement,” related to an underwritten public offering, or the “2025 Offering,” of (i) 31,500,000 of the Company’s common shares, without par value,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chose, pre-funded warrants to purchase 3,502,335 common shares, or the “2025 Pre-Funded Warrants” and, together with the Series A Common Warrants and the Series B Common Warrants, the “Warrants,”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Shares and accompanying common warrants less the $0.001 per share exercise price for each such Pre-Funded Warrant. All the Securities sold in the 2025 Offering were sold by the Company.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proceeds to the Company from the 2025 Offering were $48.6 million after deducting underwriting commissions and other offering expenses payable by the Company, in the amount of $3.9 million.</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2024, the Company entered into an underwriting agreement, or the “Underwriting Agreement,” related to an underwritten public offering, or the “February 2024 Offering,” of 16,666,667 of our common shares, without par value, at a public offering price of $1.50 per share and, in lieu of common shares to certain investors, pre-funded warrants to purchase 3,333,333 Shares at a public offering price of $1.499 per pre-funded warrant. Each pre-funded warrant has an exercise price of $0.001 per share. The pre-funded warrants were exercisable immediately upon issuance, subject to certain beneficial ownership limitations. Under the terms of the Underwriting Agreement, the Company granted the underwriters party thereto, or the “Underwriters,” an option to purchase up to an additional 3,000,000 common shares at the same price per share as the other common shares sold in the February 2024 Offering, which was exercised by the Underwriters in full on February 29,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08" w:lineRule="exact"/>
        <w:rPr>
          <w:sz w:val="20"/>
          <w:szCs w:val="20"/>
          <w:color w:val="auto"/>
        </w:rPr>
      </w:pPr>
    </w:p>
    <w:p>
      <w:pPr>
        <w:jc w:val="both"/>
        <w:ind w:left="60" w:right="59"/>
        <w:spacing w:after="0" w:line="231" w:lineRule="auto"/>
        <w:rPr>
          <w:sz w:val="20"/>
          <w:szCs w:val="20"/>
          <w:color w:val="auto"/>
        </w:rPr>
      </w:pPr>
      <w:r>
        <w:rPr>
          <w:rFonts w:ascii="Times New Roman" w:cs="Times New Roman" w:eastAsia="Times New Roman" w:hAnsi="Times New Roman"/>
          <w:sz w:val="18"/>
          <w:szCs w:val="18"/>
          <w:color w:val="auto"/>
        </w:rPr>
        <w:t>On July 29, 2020, the Company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“Original Sale Agreement,” with respect to an at-the-market offering program, or the “ATM Program,” under which the Company could issue and sell its common shares having an aggregate offering price of up to $50.0 million. On March 18, 2025, the Company entered into an Amended and Restated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the “Amended Agreement.” Under the Amended Agreement, the Company may issue and sell its common shares, no par value per share, for an aggregate offering price of up to $77.8 million (which includes the approximately $2.8 million of sales previously made pursuant to the Original Sale Agreement through the date the Amended Agreement was entered into), or the “ATM Shares.” The Company issued 5,690,920 shares under the amended agreement resulting in net proceeds of $14.5 million, after deducting sales agent commissions payable by the Company of $0.4 million during the year ended December 31, 2025.</w:t>
      </w:r>
    </w:p>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 with Characteristics of both Liabilities and 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480, warrants are considered liability classified if the warrants are mandatorily redeemable, obligate the issuer to settle the warrants or the underlying shares by paying cash or other assets, or must or may require settlement by issuing a variable number of shares.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The Company's outstanding common stock warrants are classified as equity and recorded in additional paid-in capital, or “APIC,” based on an allocation of the proceeds from the 2025 Offering, which was based on the relative fair value of the Series A and B Common Warrants at the issuance date and is not subject to change after the issuance date. The fair value used for the relative fair value allocation was calculated using the Black-Scholes Model for the Series A Warrants and the Monte-Carlo simulation method for the Series B Warrants.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13,630,007 Series A and 666,666 Series B Warrants were exercised for net proceeds of $19.2 million and $1.2 million, respectively, after deducting underwriting commissions payable by the Company of $1.2 million and $0.01 million, respectively. As of December 31, 2025, 21,372,328 Series A Common Warrants and 34,335,669 Series B Common Warrants remained outstanding.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30" w:lineRule="auto"/>
        <w:rPr>
          <w:sz w:val="20"/>
          <w:szCs w:val="20"/>
          <w:color w:val="auto"/>
        </w:rPr>
      </w:pPr>
      <w:r>
        <w:rPr>
          <w:rFonts w:ascii="Times New Roman" w:cs="Times New Roman" w:eastAsia="Times New Roman" w:hAnsi="Times New Roman"/>
          <w:sz w:val="18"/>
          <w:szCs w:val="18"/>
          <w:color w:val="auto"/>
        </w:rPr>
        <w:t>Under the Company’s 2019 Equity Incentive Plan, or the “2019 Plan,” and the Company’s Stock Option Plan, or the “2011 Plan,” unless otherwise decided by the Board of Directors, options vest and are exercisable as follows: 25% vest and are exercisable on the one year anniversary of the grant date and one thirty-sixth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the remaining options vest and are exercisable each month thereafter, such that options are vested in full on four-year anniversary of the grant date.</w:t>
      </w:r>
    </w:p>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1, 2025, the number of the Company’s common shares reserved for issuance under the 2019 Plan automatically increased by 2,134,159 common shares. Further, on June 10, 2025 at the Company’s 2025 annual meeting of shareholders, the Company’s shareholders approved an amendment to the 2019 Plan to (i) remove the evergreen provision, which previously triggered an automatic annual increase to the option pool equal to four percent of outstanding common shares at year-end, and (ii) increase the number of common shares authorized for issuance by 4,000,000 shares. In addition, 183,349 options have been forfeited or expired under the 2011 Plan since the adoption of the 2019 Plan and have become available for issuance under the 2019 Plan. Further, since the adoption of the plan, 561,000 of previously issued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were cancelled and were made available for future grants. As of December 31, 2025, there were 15,714,455 common shares available for issuance under the 2019 Plan, of which 5,205,860 common shares were available for future grants.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November 10, 2021, the Company established a 2021 Inducement Plan, or the “Inducement Plan.” The Inducement Plan is intended to help the Company provide an inducement for certain individuals to enter employment with the Company, incentives for such persons to exert maximum efforts for the success of the Company and a means by which employees may benefit from increases in value of the common shares. As of December 31, 2025, there were 1,000,000 shares available for issuance under the 2021 Inducement Plan, of which 290,000 shares were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total outstanding and exercisable options from the 2011 Plan, 2019 Plan, and Inducement Plan as of December 31 were as follows: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22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6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2011 Plan</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gridSpan w:val="2"/>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beginning of year - 2011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4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Outstanding at beginning of year - 2019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7,604,606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7,604,606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Outstanding at beginning of year - Inducement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1,526,900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1,526,900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Exercised - 2011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(293,497)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Inducement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(125,000)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- 2019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(101,516)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- 2019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(438,684)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49"/>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- 2011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(44,297)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end of year</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8,591,306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710,000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1,294,691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10,595,997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Outstanding at end of year - Weighted average</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100" w:type="dxa"/>
            <w:vAlign w:val="bottom"/>
            <w:vMerge w:val="continue"/>
          </w:tcPr>
          <w:p>
            <w:pPr>
              <w:spacing w:after="0"/>
              <w:rPr>
                <w:sz w:val="6"/>
                <w:szCs w:val="6"/>
                <w:color w:val="auto"/>
              </w:rPr>
            </w:pPr>
          </w:p>
        </w:tc>
        <w:tc>
          <w:tcPr>
            <w:tcW w:w="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6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Exercisable at end of year</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5,759,369</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408,083</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1,294,691</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7,462,143</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Exercisable at end of year - Weighted average</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100" w:type="dxa"/>
            <w:vAlign w:val="bottom"/>
            <w:vMerge w:val="continue"/>
          </w:tcPr>
          <w:p>
            <w:pPr>
              <w:spacing w:after="0"/>
              <w:rPr>
                <w:sz w:val="6"/>
                <w:szCs w:val="6"/>
                <w:color w:val="auto"/>
              </w:rPr>
            </w:pPr>
          </w:p>
        </w:tc>
        <w:tc>
          <w:tcPr>
            <w:tcW w:w="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60" w:type="dxa"/>
            <w:vAlign w:val="bottom"/>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20" w:type="dxa"/>
            <w:vAlign w:val="bottom"/>
          </w:tcPr>
          <w:p>
            <w:pPr>
              <w:spacing w:after="0"/>
              <w:rPr>
                <w:sz w:val="12"/>
                <w:szCs w:val="12"/>
                <w:color w:val="auto"/>
              </w:rPr>
            </w:pPr>
          </w:p>
        </w:tc>
        <w:tc>
          <w:tcPr>
            <w:tcW w:w="12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2011 Plan</w:t>
            </w:r>
          </w:p>
        </w:tc>
        <w:tc>
          <w:tcPr>
            <w:tcW w:w="20" w:type="dxa"/>
            <w:vAlign w:val="bottom"/>
          </w:tcPr>
          <w:p>
            <w:pPr>
              <w:spacing w:after="0"/>
              <w:rPr>
                <w:sz w:val="12"/>
                <w:szCs w:val="12"/>
                <w:color w:val="auto"/>
              </w:rPr>
            </w:pPr>
          </w:p>
        </w:tc>
        <w:tc>
          <w:tcPr>
            <w:tcW w:w="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beginning of year - 2011 Plan</w:t>
            </w:r>
          </w:p>
        </w:tc>
        <w:tc>
          <w:tcPr>
            <w:tcW w:w="240" w:type="dxa"/>
            <w:vAlign w:val="bottom"/>
            <w:tcBorders>
              <w:top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1,694,233</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1,694,233</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beginning of year - 2019 Plan</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6,406,897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6,406,897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beginning of year - Inducement Plan</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49"/>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1,652,000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Exercised - 2011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(50,476)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(50,476)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Inducement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(98,250)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(98,250)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- 2019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(386,053)</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(386,053)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- 2019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- 2011 Plan</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(11,272)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(11,272)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Expired - Inducement Plan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(30,750)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Outstanding at end of period</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7,604,606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496,000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1,632,485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9,733,091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Outstanding at end of year - Weighted average</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100" w:type="dxa"/>
            <w:vAlign w:val="bottom"/>
            <w:vMerge w:val="continue"/>
          </w:tcPr>
          <w:p>
            <w:pPr>
              <w:spacing w:after="0"/>
              <w:rPr>
                <w:sz w:val="6"/>
                <w:szCs w:val="6"/>
                <w:color w:val="auto"/>
              </w:rPr>
            </w:pPr>
          </w:p>
        </w:tc>
        <w:tc>
          <w:tcPr>
            <w:tcW w:w="4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6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Exercisable at end of year</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4,850,552</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319,291</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1,632,485</w:t>
            </w: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6,802,328</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Exercisable at end of year - Weighted average</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100" w:type="dxa"/>
            <w:vAlign w:val="bottom"/>
            <w:vMerge w:val="continue"/>
          </w:tcPr>
          <w:p>
            <w:pPr>
              <w:spacing w:after="0"/>
              <w:rPr>
                <w:sz w:val="6"/>
                <w:szCs w:val="6"/>
                <w:color w:val="auto"/>
              </w:rPr>
            </w:pPr>
          </w:p>
        </w:tc>
        <w:tc>
          <w:tcPr>
            <w:tcW w:w="4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460" w:type="dxa"/>
            <w:vAlign w:val="bottom"/>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weighted average remaining contractual life was 6.43 and 6.71 years for outstanding options as of December 31, 2025 and 2024, respectively. The weighted average remaining contractual life was 5.54 and 5.92 years for vested options, as of December 31, 2025 and 2024,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$3.8 million and $5.1 million of total unrecognized compensation cost related to non-vested share options as of December 31, 2025 and 2024, respectively. The share options are expected to be recognized over a remaining weighted average vesting period of 1.88 years and 1.48 years as of December 31, 2025 and 2024, respectively.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Options granted are valued using the Black-Scholes option pricing model. This model also requires assumptions, including expected option life, volatility, risk-free interest rate and dividend yield, which greatly affect the calculated values.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of the fair value of the options over vesting years has been expensed and credited to additional paid-in capital in shareholders’ equity. The non-vested options as of December 31 were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2019 Plan</w:t>
            </w:r>
          </w:p>
        </w:tc>
        <w:tc>
          <w:tcPr>
            <w:tcW w:w="120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​​​Inducement Plan</w:t>
            </w:r>
          </w:p>
        </w:tc>
        <w:tc>
          <w:tcPr>
            <w:tcW w:w="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2011 Plan</w:t>
            </w:r>
          </w:p>
        </w:tc>
        <w:tc>
          <w:tcPr>
            <w:tcW w:w="20" w:type="dxa"/>
            <w:vAlign w:val="bottom"/>
          </w:tcPr>
          <w:p>
            <w:pPr>
              <w:spacing w:after="0"/>
              <w:rPr>
                <w:sz w:val="12"/>
                <w:szCs w:val="12"/>
                <w:color w:val="auto"/>
              </w:rPr>
            </w:pP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beginning of year - 2019 Plan</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2,754,054</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2,754,054</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26"/>
        </w:trPr>
        <w:tc>
          <w:tcPr>
            <w:tcW w:w="3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Non-vested share options at beginning of year - Inducement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176,709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176,709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1,526,900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1,526,900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Inducement 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- 2019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(1,347,501)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(1,347,501)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Inducement 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(115,875)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Inducement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(97,917)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- 2019 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(101,516)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end of year</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2,831,937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301,917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3,133,854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Non-vested share options at end of period - Weighted average</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760" w:type="dxa"/>
            <w:vAlign w:val="bottom"/>
            <w:vMerge w:val="continue"/>
          </w:tcPr>
          <w:p>
            <w:pPr>
              <w:spacing w:after="0"/>
              <w:rPr>
                <w:sz w:val="6"/>
                <w:szCs w:val="6"/>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76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4"/>
        </w:trPr>
        <w:tc>
          <w:tcPr>
            <w:tcW w:w="3760" w:type="dxa"/>
            <w:vAlign w:val="bottom"/>
          </w:tcPr>
          <w:p>
            <w:pPr>
              <w:spacing w:after="0"/>
              <w:rPr>
                <w:sz w:val="9"/>
                <w:szCs w:val="9"/>
                <w:color w:val="auto"/>
              </w:rPr>
            </w:pPr>
          </w:p>
        </w:tc>
        <w:tc>
          <w:tcPr>
            <w:tcW w:w="200" w:type="dxa"/>
            <w:vAlign w:val="bottom"/>
            <w:gridSpan w:val="3"/>
          </w:tcPr>
          <w:p>
            <w:pPr>
              <w:ind w:left="60"/>
              <w:spacing w:after="0" w:line="104"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 Plan</w:t>
            </w:r>
          </w:p>
        </w:tc>
        <w:tc>
          <w:tcPr>
            <w:tcW w:w="12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​​​Inducement Plan</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2011 Plan</w:t>
            </w:r>
          </w:p>
        </w:tc>
        <w:tc>
          <w:tcPr>
            <w:tcW w:w="20" w:type="dxa"/>
            <w:vAlign w:val="bottom"/>
          </w:tcPr>
          <w:p>
            <w:pPr>
              <w:spacing w:after="0"/>
              <w:rPr>
                <w:sz w:val="9"/>
                <w:szCs w:val="9"/>
                <w:color w:val="auto"/>
              </w:rPr>
            </w:pPr>
          </w:p>
        </w:tc>
        <w:tc>
          <w:tcPr>
            <w:tcW w:w="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vMerge w:val="continue"/>
          </w:tcPr>
          <w:p>
            <w:pPr>
              <w:spacing w:after="0"/>
              <w:rPr>
                <w:sz w:val="15"/>
                <w:szCs w:val="15"/>
                <w:color w:val="auto"/>
              </w:rPr>
            </w:pPr>
          </w:p>
        </w:tc>
        <w:tc>
          <w:tcPr>
            <w:tcW w:w="1200" w:type="dxa"/>
            <w:vAlign w:val="bottom"/>
            <w:gridSpan w:val="5"/>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beginning of year - 2019 Plan</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3,178,475</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3,178,475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26"/>
        </w:trPr>
        <w:tc>
          <w:tcPr>
            <w:tcW w:w="3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Non-vested share options at beginning of year - Inducement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403,167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403,167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Granted - 2019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- 2019 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(1,690,368)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(1,690,368)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outstanding - Inducement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(128,208)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(128,208)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Inducement Plan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(98,250)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(98,250)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- 2019 Plan</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(386,053)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(386,053)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82"/>
        </w:trPr>
        <w:tc>
          <w:tcPr>
            <w:tcW w:w="3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Non-vested share options at end of year</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2,754,054</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176,709</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2,930,763</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79"/>
        </w:trPr>
        <w:tc>
          <w:tcPr>
            <w:tcW w:w="3760" w:type="dxa"/>
            <w:vAlign w:val="bottom"/>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Non-vested share options at end of year - Weighted average fair</w:t>
            </w: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7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20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share options outstanding as of December 31, 2025:</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183"/>
        </w:trPr>
        <w:tc>
          <w:tcPr>
            <w:tcW w:w="3200" w:type="dxa"/>
            <w:vAlign w:val="bottom"/>
          </w:tcPr>
          <w:p>
            <w:pPr>
              <w:spacing w:after="0"/>
              <w:rPr>
                <w:sz w:val="15"/>
                <w:szCs w:val="15"/>
                <w:color w:val="auto"/>
              </w:rPr>
            </w:pPr>
          </w:p>
        </w:tc>
        <w:tc>
          <w:tcPr>
            <w:tcW w:w="100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Weighted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15"/>
                <w:szCs w:val="15"/>
                <w:color w:val="auto"/>
              </w:rPr>
            </w:pPr>
          </w:p>
        </w:tc>
        <w:tc>
          <w:tcPr>
            <w:tcW w:w="92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Weighted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5"/>
                <w:szCs w:val="15"/>
                <w:color w:val="auto"/>
              </w:rPr>
            </w:pP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r>
      <w:tr>
        <w:trPr>
          <w:trHeight w:val="215"/>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w:t>
            </w:r>
          </w:p>
        </w:tc>
      </w:tr>
      <w:tr>
        <w:trPr>
          <w:trHeight w:val="19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$1.12-$1.98</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2,677,321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1,417,226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$1.99-$2.53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1,341,100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$2.54-$3.61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1,853,234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$3.62-$5.47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2,050,846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1,938,335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$5.48-$8.92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2,463,060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2,424,726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$8.93-$15.42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$15.43-$17.01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$17.02-$21.48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163,250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163,250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10,595,997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7,462,143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for the 2011 Plan, 2019 Plan, and Inducement Plan were estimated using Black-Scholes option pricing model, resulting in the following weighted average assumptions for the options granted:</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19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Share price</w:t>
            </w:r>
          </w:p>
        </w:tc>
        <w:tc>
          <w:tcPr>
            <w:tcW w:w="2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2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w:t>
            </w:r>
          </w:p>
        </w:tc>
        <w:tc>
          <w:tcPr>
            <w:tcW w:w="2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 years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 years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381"/>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 xml:space="preserve">0 </w:t>
            </w:r>
            <w:r>
              <w:rPr>
                <w:rFonts w:ascii="Times New Roman" w:cs="Times New Roman" w:eastAsia="Times New Roman" w:hAnsi="Times New Roman"/>
                <w:sz w:val="28"/>
                <w:szCs w:val="28"/>
                <w:color w:val="auto"/>
                <w:vertAlign w:val="subscript"/>
              </w:rPr>
              <w:t>%</w:t>
            </w:r>
          </w:p>
        </w:tc>
        <w:tc>
          <w:tcPr>
            <w:tcW w:w="26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0 </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Expected volatility is determined using the Company’s historical volatility. Prior to establishing sufficient historical volatility, the Company used comparable companies for which the information is publicly available. The risk-free interest rate is determined based on the U.S. sovereign rates benchmark in effect at the time of grant with a remaining term equal to the expected life of the option. Expected option life is determined based on the simplified method as the Company does not have sufficient historical exercise data to provide a reasonable basis upon which to estimate expected term. The simplified method is an average of the contractual term of the options and its ordinary vesting period. Dividend yield is based on the share option’s exercise price and expected annual dividend rate at the time of grant. The total grant date fair value for options granted during the year ended December 31, 2025 and 2024 was $3.1 million and $2.1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May 6, 2024, the Company, pursuant to the 2019 Plan, awarded 924,000 performance stock options to employees. The performance stock options were granted “at-the-money” and have a term of 10 years.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original grant-date fair value of each option was estimated on the date of grant using the same option valuation model used for the options outlined above. The original grant-date fair value of $1.3 million was determined using an expected volatility of 98.5%, term of 5.82 years, strike price of $1.74, and risk-free rate of 4.43%. Compensation expense for performance-based stock options is only recognized when management determines it is probable that the awards will vest.</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vesting of the performance-based stock options is conditional upon the FDA approval of etripamil for the treatment of PSVT. Subject to the option holders continuous service as of each such date, 50% of the option shares will vest on the six-month anniversary of the approval date and the remaining 50% of the option shares will vest on the one-year anniversary of such approval date. The Company recorded $0.8 million of expense related to the performance-based stock options during the year ended December 31, 2025, as the performance conditions were met with FDA approval of etripamil for the treatment of PSVT on December 12, 2025. The weighted average grant date fair value of the performance stock options awarded during the year ended December 31, 2025, was $1.38 per option.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July 15, 2022, the Company offered an employee stock purchase plan, or “ESPP,” in which participation is available to our employees in the United States and Canada who meet certain service eligibility requirements. Eligible employees may authorize an amount up to 15% of their salary to purchase common stock at the lower of a 15% discount to the beginning price of the participation period or a 15% discount to the ending price of each six-month purchase interval. The ESPP also provides for an automatic reset feature to start participants on a new twelve-month participation period in the event that the common stock market value on a purchase date is less than the common stock value on the first day of the twelve-month offering period.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1, 2025, the number of common shares reserved for issuance under the ESPP automatically increased by 533,539 shares. As of December 31, 2025, the Company has 2,332,305 common shares available for issuance under the ESPP, of which 501,506 shares of common stock have been issued. Compensation expense for purchase rights under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ESPP related to the purchase discount and the “look-back” option was determined using a Black-Scholes option pricing model.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6, 2024, the Company, pursuant to the 2019 Plan, awarded 924,000 Performance Stock Units, or “PSUs,” to employees. The PSUs vest subject to the satisfaction of certain performance conditions established by the Company’s Compensation Committee. The FDA approval of etripamil represents the performance condition for the vesting of these PSUs.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number of PSUs granted represents the total number of common shares that may be earned. However, the actual number of shares earned will be based on the satisfaction of the performance criteria. Upon satisfaction of the performance criteria, 100% of the earned shares will vest. Stock-based compensation costs associated with these PSUs are reassessed each reporting period based on estimated performance achievement. As a result of the FDA approval on December 12, 2025, 100% of the outstanding PSUs vested at a grant date fair value of $1.74 per share. The Company recorded $1.6 million of expense related to the PSUs during the year ended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2019 Plan, the Company issues Restricted Stock Units, or “RSUs,” to employees which vest based on a service criteria. When vested, the RSUs represent the right to be issued a number of shares of the Company’s common stock equal to the number of RSUs granted. The grant date fair value for RSUs is based on the market price of the Company’s common stock on the date of the grant. The fair value is then amortized to compensation expense over the requisite service period or vesting term. The Company issued 988,850 RSUs for the year ended December 31, 2025. The weighted average grant date fair value for the RSUs issued during the year ended December 31, 2025, was $2.02 per share. No RSUs were issued for the year ended December 31, 2024.</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the non-vested RSUs as of December 31, 2025, was $1.5 million and will be recognized over a weighted average period of approximately 3.07 years.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recognized share-based compensation expense for all plans as follows for the years ended December 31:</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60" w:type="dxa"/>
            <w:vAlign w:val="bottom"/>
          </w:tcPr>
          <w:p>
            <w:pPr>
              <w:ind w:left="55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Administration</w:t>
            </w:r>
          </w:p>
        </w:tc>
        <w:tc>
          <w:tcPr>
            <w:tcW w:w="98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activities</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196"/>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w:t>
            </w:r>
          </w:p>
        </w:tc>
      </w:tr>
      <w:tr>
        <w:trPr>
          <w:trHeight w:val="20"/>
        </w:trPr>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March 27, 2023, the Company entered into a note purchase agreement, or the “Note Purchase Agreement,” with RTW Investments LP and certain of its affiliates, or collectively, “RTW.”</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March 29, 2023, the Company closed the transactions contemplated by the Note Purchase Agreement, and issued and sold $50.0 million principal amount of 6.0% Convertible Senior Notes due 2029, or the “2029 Convertible Notes,” to the holders.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2029 Convertible Notes are senior secured obligations and are guaranteed on a senior secured basis by the Company’s wholly owned subsidiary, Milestone Pharmaceuticals USA, Inc. Interest at the annual rate of 6.0% is payable quarterly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or, at our option, payable in kind for the first three years. The maturity date for the 2029 Convertible Notes is March 31, 2029, the “Maturity Date”. The obligations under the 2029 Convertible Notes are secured by substantially all of the Company’s and the Company’s subsidiary guarantor’s assets.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Each $1,000 of principal of the 2029 Convertible Notes (including any interest added thereto as payment in kind) is convertible into 191.0548 common shares, equivalent to an initial conversion price of approximately $5.23 per share, subject to customary anti-dilution and other adjustments. In addition, following a notice of redemption or certain corporate events that occur prior to the Maturity Date, the Company will, in certain circumstances, increase the conversion rate for a holder who elects to convert its 2029 Convertible Notes in connection with such notice of redemption or corporate event.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or after March 27, 2027, the 2029 Convertible Notes are redeemable by the Company, subject to certain conditions, if the closing sale price of the common shares exceeds 150%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2029 Convertible Notes to be redeemed, plus accrued and unpaid interest to, but excluding, the redemption date.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accounting for the issuance of the 2029 Convertible Notes, the Company determined there were no embedded features, which require bifurcation between debt and equity components. As a result, the 2029 Convertible Notes are accounted for as a liability. As of December 31, 2025, the estimated fair value of the 2029 Convertible Notes was approximately $62.3 million based on level 2 inputs, including volatility and credit spread.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carrying amount of the 2029 Convertible Note were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Original principal</w:t>
      </w:r>
    </w:p>
    <w:p>
      <w:pPr>
        <w:spacing w:after="0" w:line="32" w:lineRule="exact"/>
        <w:rPr>
          <w:sz w:val="20"/>
          <w:szCs w:val="20"/>
          <w:color w:val="auto"/>
        </w:rPr>
      </w:pPr>
    </w:p>
    <w:p>
      <w:pPr>
        <w:ind w:left="60" w:right="1320"/>
        <w:spacing w:after="0" w:line="281" w:lineRule="auto"/>
        <w:rPr>
          <w:sz w:val="20"/>
          <w:szCs w:val="20"/>
          <w:color w:val="auto"/>
        </w:rPr>
      </w:pPr>
      <w:r>
        <w:rPr>
          <w:rFonts w:ascii="Times New Roman" w:cs="Times New Roman" w:eastAsia="Times New Roman" w:hAnsi="Times New Roman"/>
          <w:sz w:val="16"/>
          <w:szCs w:val="16"/>
          <w:color w:val="auto"/>
        </w:rPr>
        <w:t>Paid in kind (PIK) interest Unamortized debt discount Unamortized debt issuance costs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6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2"/>
        </w:trPr>
        <w:tc>
          <w:tcPr>
            <w:tcW w:w="42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w:t>
            </w:r>
          </w:p>
        </w:tc>
      </w:tr>
      <w:tr>
        <w:trPr>
          <w:trHeight w:val="203"/>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(374)</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0"/>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(1,362)</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r>
      <w:tr>
        <w:trPr>
          <w:trHeight w:val="202"/>
        </w:trPr>
        <w:tc>
          <w:tcPr>
            <w:tcW w:w="4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57,191</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53,352</w:t>
            </w:r>
          </w:p>
        </w:tc>
      </w:tr>
      <w:tr>
        <w:trPr>
          <w:trHeight w:val="20"/>
        </w:trPr>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-693420</wp:posOffset>
            </wp:positionV>
            <wp:extent cx="56489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-419100</wp:posOffset>
            </wp:positionV>
            <wp:extent cx="564896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-161925</wp:posOffset>
            </wp:positionV>
            <wp:extent cx="564896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80" w:space="720"/>
            <w:col w:w="481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total amount of interest cost recognized relating to the 2029 Convertible Notes: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199"/>
        </w:trPr>
        <w:tc>
          <w:tcPr>
            <w:tcW w:w="460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98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60" w:type="dxa"/>
            <w:vAlign w:val="bottom"/>
          </w:tcPr>
          <w:p>
            <w:pPr>
              <w:spacing w:after="0"/>
              <w:rPr>
                <w:sz w:val="17"/>
                <w:szCs w:val="17"/>
                <w:color w:val="auto"/>
              </w:rPr>
            </w:pPr>
          </w:p>
        </w:tc>
      </w:tr>
      <w:tr>
        <w:trPr>
          <w:trHeight w:val="19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22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460" w:type="dxa"/>
            <w:vAlign w:val="bottom"/>
            <w:tcBorders>
              <w:top w:val="single" w:sz="8" w:color="CCEEFF"/>
            </w:tcBorders>
            <w:shd w:val="clear" w:color="auto" w:fill="CCEEFF"/>
          </w:tcPr>
          <w:p>
            <w:pPr>
              <w:spacing w:after="0"/>
              <w:rPr>
                <w:sz w:val="17"/>
                <w:szCs w:val="17"/>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6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460" w:type="dxa"/>
            <w:vAlign w:val="bottom"/>
            <w:shd w:val="clear" w:color="auto" w:fill="CCEEFF"/>
          </w:tcPr>
          <w:p>
            <w:pPr>
              <w:spacing w:after="0"/>
              <w:rPr>
                <w:sz w:val="19"/>
                <w:szCs w:val="19"/>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2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46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ind w:left="60" w:right="60"/>
        <w:spacing w:after="0" w:line="256" w:lineRule="auto"/>
        <w:rPr>
          <w:sz w:val="20"/>
          <w:szCs w:val="20"/>
          <w:color w:val="auto"/>
        </w:rPr>
      </w:pPr>
      <w:r>
        <w:rPr>
          <w:rFonts w:ascii="Times New Roman" w:cs="Times New Roman" w:eastAsia="Times New Roman" w:hAnsi="Times New Roman"/>
          <w:sz w:val="18"/>
          <w:szCs w:val="18"/>
          <w:color w:val="auto"/>
        </w:rPr>
        <w:t>Basic and diluted net loss per common share is determined by dividing net loss applicable to common shareholders by the weighted average number of common shares and pre-funded warrants outstanding during the period. In addition to the conversion feature on the 2029 Convertible Notes described above, which the Company reviewed and concluded that if-converted would be anti-dilutive due to the facts surrounding the feature, the following potentially dilutive securities have also been excluded from the computation of diluted weighted average shares outstanding as of December 31, as they would be anti-dilutive:</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000" w:type="dxa"/>
            <w:vAlign w:val="bottom"/>
            <w:tcBorders>
              <w:bottom w:val="single" w:sz="8" w:color="CCEEFF"/>
            </w:tcBorders>
          </w:tcPr>
          <w:p>
            <w:pPr>
              <w:ind w:left="68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and RSUs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11,546,697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10,657,091</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Amounts in the table above reflect the common share equivalents of the noted instruments.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Upon adoption of ASU No. 2023-09, for the year ended December 31, 2025, the provision for income taxes differs from the expense that would be obtained by applying the Canadian federal statutory income tax rate as a result of the following:</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9"/>
                <w:szCs w:val="19"/>
                <w:color w:val="auto"/>
              </w:rPr>
            </w:pP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(63,058)</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Canadian federal statutory tax rate</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Provincial and local taxes</w:t>
            </w:r>
            <w:r>
              <w:rPr>
                <w:rFonts w:ascii="Times New Roman" w:cs="Times New Roman" w:eastAsia="Times New Roman" w:hAnsi="Times New Roman"/>
                <w:sz w:val="24"/>
                <w:szCs w:val="24"/>
                <w:b w:val="1"/>
                <w:bCs w:val="1"/>
                <w:color w:val="auto"/>
                <w:vertAlign w:val="superscript"/>
              </w:rPr>
              <w:t>(2)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(2,560)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 item: share based compensation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r>
              <w:rPr>
                <w:rFonts w:ascii="Times New Roman" w:cs="Times New Roman" w:eastAsia="Times New Roman" w:hAnsi="Times New Roman"/>
                <w:sz w:val="17"/>
                <w:szCs w:val="17"/>
                <w:color w:val="auto"/>
              </w:rPr>
              <w:t>%</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r>
              <w:rPr>
                <w:rFonts w:ascii="Times New Roman" w:cs="Times New Roman" w:eastAsia="Times New Roman" w:hAnsi="Times New Roman"/>
                <w:sz w:val="17"/>
                <w:szCs w:val="17"/>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Valuation Allowances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r>
              <w:rPr>
                <w:rFonts w:ascii="Times New Roman" w:cs="Times New Roman" w:eastAsia="Times New Roman" w:hAnsi="Times New Roman"/>
                <w:sz w:val="17"/>
                <w:szCs w:val="17"/>
                <w:color w:val="auto"/>
              </w:rPr>
              <w:t>%</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unrecognized tax benefits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w:t>
            </w:r>
            <w:r>
              <w:rPr>
                <w:rFonts w:ascii="Times New Roman" w:cs="Times New Roman" w:eastAsia="Times New Roman" w:hAnsi="Times New Roman"/>
                <w:sz w:val="17"/>
                <w:szCs w:val="17"/>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-4445</wp:posOffset>
            </wp:positionV>
            <wp:extent cx="1371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60" w:right="60" w:hanging="10"/>
        <w:spacing w:after="0" w:line="181" w:lineRule="auto"/>
        <w:tabs>
          <w:tab w:leader="none" w:pos="222"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apply the federal tax rate of 15% which is the federal statutory rate of Canada of 38%, net of the general rate reduction of 10% and tax abatement of 13%.</w:t>
      </w:r>
    </w:p>
    <w:p>
      <w:pPr>
        <w:ind w:left="60" w:right="80" w:hanging="10"/>
        <w:spacing w:after="0" w:line="185" w:lineRule="auto"/>
        <w:tabs>
          <w:tab w:leader="none" w:pos="239"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apply the provincial tax rate in Quebec of 11.5% to the net loss before income taxes attributable to the Canadian entity. Our provincial tax is Quebec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-394970</wp:posOffset>
            </wp:positionV>
            <wp:extent cx="13716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95"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loss before income taxes was $20.4 million and $42.7 million for the Canadian and United States entities, respectively. For the year ended December 31, 2024, loss before income taxes was $20.8 million and $20.7 million for the Canadian and United States entities, respectively.</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Prior to the adoption of ASU No. 2023-09, for the year ended December 31, 2024, the provision for income taxes differs from the expense that would be obtained by apply the Canadian statutory income tax rate as result of the following:</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9"/>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(41,519)</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line="222" w:lineRule="exact"/>
              <w:rPr>
                <w:sz w:val="20"/>
                <w:szCs w:val="20"/>
                <w:color w:val="auto"/>
              </w:rPr>
            </w:pPr>
            <w:r>
              <w:rPr>
                <w:rFonts w:ascii="Times New Roman" w:cs="Times New Roman" w:eastAsia="Times New Roman" w:hAnsi="Times New Roman"/>
                <w:sz w:val="16"/>
                <w:szCs w:val="16"/>
                <w:color w:val="auto"/>
              </w:rPr>
              <w:t>Canadian statutory rate</w:t>
            </w:r>
            <w:r>
              <w:rPr>
                <w:rFonts w:ascii="Times New Roman" w:cs="Times New Roman" w:eastAsia="Times New Roman" w:hAnsi="Times New Roman"/>
                <w:sz w:val="24"/>
                <w:szCs w:val="24"/>
                <w:color w:val="auto"/>
                <w:vertAlign w:val="superscript"/>
              </w:rPr>
              <w:t>(1)</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Computed income tax recovery</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Effect on income tax rate resulting from</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deductible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benefits of current period losses and other tax assets, subject to full valuation allowance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Valuation allowance for prior year adjustment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income tax rate difference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(recovery) reported in the consolidated statements of loss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60" w:right="59" w:hanging="10"/>
        <w:spacing w:after="0" w:line="195" w:lineRule="auto"/>
        <w:tabs>
          <w:tab w:leader="none" w:pos="229"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Our Canadian corporate tax rate is comprised of a basic Part I federal tax rate of 38%, net 15% after federal tax abatement and general tax reduction, plus the additional provincial tax of 11.5%.</w:t>
      </w:r>
    </w:p>
    <w:p>
      <w:pPr>
        <w:spacing w:after="0" w:line="1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incurred Canadian federal and provincial net operating losses, or “NOLs,” from inception. As of December 31, 2025, the Company has NOL carry-forwards of approximately $230.7 million and $226.6 million, respectively, for Canadian federal and Québec purposes, available to reduce future taxable income, which expire beginning in 2026 through 2045. The Company also has scientific research and experimental development expenditures of approximately $32.7 million and $38.8 million, respectively, for Canadian federal and Québec income tax purposes, which have not been deducted. These expenditures are available to reduce future taxable income and have an unlimited carry-forward period. Research and development tax credits and expenditures are subject to verification by the tax authorities, and, accordingly, these amounts may vary.</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incurred NOLs for U.S. tax purposes. As of December 31, 2025, the Company has carry-forwards of approximately $103.2 million related to U.S. NOLs that may be carried forward indefinitely and are available to reduce future taxable income.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net deferred tax assets have not been recognized in these financial statements because the criteria for recognition of these assets were not met.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net deferred tax assets consist of the following for the years ended December 31: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6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2"/>
        </w:trPr>
        <w:tc>
          <w:tcPr>
            <w:tcW w:w="54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Net operating loss carry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forwards</w:t>
            </w:r>
          </w:p>
        </w:tc>
        <w:tc>
          <w:tcPr>
            <w:tcW w:w="148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83,305</w:t>
            </w:r>
          </w:p>
        </w:tc>
        <w:tc>
          <w:tcPr>
            <w:tcW w:w="22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72,775</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Tax basis of property and equipment in excess of carrying values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basis of right of use assets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Tax basis of lease liability</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basis of reserves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Federal SR&amp;ED investment tax credits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Taxation of federal SR&amp;ED investment tax credits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expenditures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costs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Total Net deferred tax assets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102,807</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89,353</w:t>
            </w: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(102,807)</w:t>
            </w:r>
          </w:p>
        </w:tc>
        <w:tc>
          <w:tcPr>
            <w:tcW w:w="2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(89,353)</w:t>
            </w: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Canada and in the United States. The Company is subject to Canada Revenue Agency and Revenu Québec examination for fiscal years 2020 to 2025 due to unexpired statute of limitation periods and is subject to US Federal and state income tax examination for fiscal years 2022 to 2025.</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July 4, 2025, the President of the United States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These changes were reflected in the income tax provision for the period ended December 31, 2025, as enactment occurred after the balance sheet date. The Company has elected to continue capitalizing domestic R&amp;D expenditures and will continue to amortize prior year R&amp;D expenditures that were capitalized.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Government assistance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incurs research and development expenditures that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in the years ended December 31, 2025 and 2024 for an amount of $316 and $259,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with reasonable notice or upon certain circumstances, and therefore are cancellable contracts. Therefore, as of December 31, 2025, there are no contractual commitments, except for office leases (see Note 6, “Leases”).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Currency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is exposed to the financial risk related to the fluctuation of foreign exchange rates and the degree of volatility of those rates. The foreign currency risk is limited to the portion of the Company’s business transactions denominated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currency other than US dollars. The following table provides an indication of the Company’s exposure to the Canadian dollar, which is expressed in US dollars as of December 31:</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2"/>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3"/>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19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financial position exposure</w:t>
            </w:r>
          </w:p>
        </w:tc>
        <w:tc>
          <w:tcPr>
            <w:tcW w:w="2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0"/>
        </w:trPr>
        <w:tc>
          <w:tcPr>
            <w:tcW w:w="4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does not enter into arrangements to hedge its currency risk exposure.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Fair value of financial instruments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accounting guidance for fair value measurement and its subsequent updates, fair value is defined as the price that would be received to sell an asset or paid to transfer a liability (i.e. the exit price) in an orderly transaction between market participants at the measurement date. The accounting guidance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assumptions market participants would use in pricing the asset or liability based on the best information available in the circumstances.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hierarchy is broken down into the three input levels summarized below:</w:t>
      </w:r>
    </w:p>
    <w:p>
      <w:pPr>
        <w:spacing w:after="0" w:line="239" w:lineRule="exact"/>
        <w:rPr>
          <w:sz w:val="20"/>
          <w:szCs w:val="20"/>
          <w:color w:val="auto"/>
        </w:rPr>
      </w:pPr>
    </w:p>
    <w:p>
      <w:pPr>
        <w:jc w:val="both"/>
        <w:ind w:left="820" w:right="79" w:hanging="755"/>
        <w:spacing w:after="0" w:line="261" w:lineRule="auto"/>
        <w:rPr>
          <w:sz w:val="20"/>
          <w:szCs w:val="20"/>
          <w:color w:val="auto"/>
        </w:rPr>
      </w:pPr>
      <w:r>
        <w:rPr>
          <w:rFonts w:ascii="Times New Roman" w:cs="Times New Roman" w:eastAsia="Times New Roman" w:hAnsi="Times New Roman"/>
          <w:sz w:val="18"/>
          <w:szCs w:val="18"/>
          <w:color w:val="auto"/>
        </w:rPr>
        <w:t>Level 1— Valuations are based on quoted prices in active markets for identical assets or liabilities and readily accessible by the Company at the reporting date.</w:t>
      </w:r>
    </w:p>
    <w:p>
      <w:pPr>
        <w:jc w:val="both"/>
        <w:ind w:left="820" w:right="79" w:hanging="755"/>
        <w:spacing w:after="0" w:line="250" w:lineRule="auto"/>
        <w:rPr>
          <w:sz w:val="20"/>
          <w:szCs w:val="20"/>
          <w:color w:val="auto"/>
        </w:rPr>
      </w:pPr>
      <w:r>
        <w:rPr>
          <w:rFonts w:ascii="Times New Roman" w:cs="Times New Roman" w:eastAsia="Times New Roman" w:hAnsi="Times New Roman"/>
          <w:sz w:val="18"/>
          <w:szCs w:val="18"/>
          <w:color w:val="auto"/>
        </w:rPr>
        <w:t>Level 2— Valuations based on inputs other than the quoted prices in active markets that are observable either directly or indirectly in active markets.</w:t>
      </w:r>
    </w:p>
    <w:p>
      <w:pPr>
        <w:spacing w:after="0" w:line="1" w:lineRule="exact"/>
        <w:rPr>
          <w:sz w:val="20"/>
          <w:szCs w:val="20"/>
          <w:color w:val="auto"/>
        </w:rPr>
      </w:pPr>
    </w:p>
    <w:p>
      <w:pPr>
        <w:jc w:val="both"/>
        <w:ind w:left="820" w:right="79" w:hanging="755"/>
        <w:spacing w:after="0" w:line="260" w:lineRule="auto"/>
        <w:rPr>
          <w:sz w:val="20"/>
          <w:szCs w:val="20"/>
          <w:color w:val="auto"/>
        </w:rPr>
      </w:pPr>
      <w:r>
        <w:rPr>
          <w:rFonts w:ascii="Times New Roman" w:cs="Times New Roman" w:eastAsia="Times New Roman" w:hAnsi="Times New Roman"/>
          <w:sz w:val="18"/>
          <w:szCs w:val="18"/>
          <w:color w:val="auto"/>
        </w:rPr>
        <w:t>Level 3— Valuations based on unobservable inputs in which there is little or no market data, which requires the Company to develop its own assumptions.</w:t>
      </w:r>
    </w:p>
    <w:p>
      <w:pPr>
        <w:spacing w:after="0" w:line="1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years ending December 31, 2025 and December 31, 2024, there were no financial instruments measured at fair value on a recurring or non-recurring basis. The carrying amounts of certain financial instruments, including cash and cash equivalents, short-term investments, accounts receivable, accounts payable and accrued expenses approximate their fair values due to the short-term nature of such instruments. Refer to Note 11, “Debt,” for details surrounding the fair value disclosures of the Convertible Notes.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Royalty Purchase Agreement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27, 2023, the Company entered into a purchase and sale agreement, or the “Royalty Purchase Agreement,” with RTW and certain of its affiliates.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Royalty Purchase Agreement, RTW agreed to purchase, following the U.S. Food and Drug Administration approval of etripamil (subject to certain conditions), at a purchase price of $75.0 million, the right to receive a tiered quarterly royalty payments, or the “Royalty Interest,” on the net product sales of etripamil in the United States in an amount equal to: (i) 7%, or the “Initial Tier Royalty,” of annual net sales up to $500 million, (ii) 4% of annual net sales greater than $500 million and less than or equal to $800 million, and (iii) 1% of annual net sales greater than $800 million. If certain revenue thresholds for aggregate annual net sales are not met, the Initial Tier Royalty will increase to 9.5% beginning on January 1 of the following calendar year until a subsequent sales threshold is attained, at which time the Initial Tier Royalty would revert back to 7%. Refer to Note 21, “Subsequent Events.”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Other receivables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receivables comprised the following as of December 31:</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366"/>
        </w:trPr>
        <w:tc>
          <w:tcPr>
            <w:tcW w:w="4440" w:type="dxa"/>
            <w:vAlign w:val="bottom"/>
          </w:tcPr>
          <w:p>
            <w:pPr>
              <w:spacing w:after="0"/>
              <w:rPr>
                <w:sz w:val="24"/>
                <w:szCs w:val="24"/>
                <w:color w:val="auto"/>
              </w:rPr>
            </w:pPr>
          </w:p>
        </w:tc>
        <w:tc>
          <w:tcPr>
            <w:tcW w:w="4460" w:type="dxa"/>
            <w:vAlign w:val="bottom"/>
            <w:gridSpan w:val="6"/>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6"/>
                <w:szCs w:val="16"/>
                <w:b w:val="1"/>
                <w:bCs w:val="1"/>
                <w:color w:val="auto"/>
              </w:rPr>
              <w:t xml:space="preserve">December 31, 2025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b w:val="1"/>
                <w:bCs w:val="1"/>
                <w:color w:val="auto"/>
              </w:rPr>
              <w:t>December 31, 2024</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receivable</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 taxes receivable</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receivable</w:t>
            </w:r>
          </w:p>
        </w:tc>
        <w:tc>
          <w:tcPr>
            <w:tcW w:w="16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
        </w:trPr>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229" w:lineRule="exact"/>
        <w:rPr>
          <w:sz w:val="20"/>
          <w:szCs w:val="20"/>
          <w:color w:val="auto"/>
        </w:rPr>
      </w:pPr>
    </w:p>
    <w:p>
      <w:pPr>
        <w:jc w:val="both"/>
        <w:ind w:left="60" w:right="60"/>
        <w:spacing w:after="0" w:line="254"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while focusing on the development and commercialization of innovative cardiovascular medicines. These operations are focused on a single product, which are reported on a consolidated basis. The accounting policies of the single operating segment are the same as those described in the summary of significant accounting policies. The chief operating decision maker, or “CODM,” assesses performance of the Company’s single operating segment based on consolidated net loss. Net loss is used by the CODM to evaluate budget to actual analytics, which are used to monitor the single segment spend and confirm the Company is meeting established budgetary goals. The CODM is the principal officer group, which includes the Company’s chief executive officer and chief financial officer.</w:t>
      </w:r>
    </w:p>
    <w:p>
      <w:pPr>
        <w:spacing w:after="0" w:line="192"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significant expenses, as provided to the Company’s CODM, and includes a reconciliation to consolidated net loss: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net of tax credits, excluding share-based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share-based compensation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excluding share-based compensation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data)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Closing of sale of royalty interest</w:t>
      </w:r>
    </w:p>
    <w:p>
      <w:pPr>
        <w:spacing w:after="0" w:line="2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previously disclosed, on March 27, 2023, the Company entered into the Royalty Purchase Agreement with RTW, pursuant to which RTW agreed to purchase, following FDA approval of etripamil (subject to certain conditions) for the treatment of PSVT, at a purchase price of $75.0 million, the right to receive tiered quarterly royalty payments on net product sales of etripamil in the United States.</w:t>
      </w:r>
    </w:p>
    <w:p>
      <w:pPr>
        <w:spacing w:after="0" w:line="19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12, 2026, the Company closed the sale of Royalty interest under the Royalty Purchase Agreement and received cash of $75.0 million from RTW.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common shares under 2025 Offering and Open Market Sale Agreement</w:t>
      </w:r>
      <w:r>
        <w:rPr>
          <w:rFonts w:ascii="Times New Roman" w:cs="Times New Roman" w:eastAsia="Times New Roman" w:hAnsi="Times New Roman"/>
          <w:sz w:val="26"/>
          <w:szCs w:val="26"/>
          <w:i w:val="1"/>
          <w:iCs w:val="1"/>
          <w:color w:val="auto"/>
          <w:vertAlign w:val="superscript"/>
        </w:rPr>
        <w:t>SM</w:t>
      </w:r>
    </w:p>
    <w:p>
      <w:pPr>
        <w:spacing w:after="0" w:line="143"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color w:val="auto"/>
        </w:rPr>
        <w:t>Subsequent to the year ended December 31, 2025, through to the date of issuance of the financial statements, the Company raised aggregate gross proceeds of $19.7 million from the sale of common shares through Milestone’s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the exercise of Warrants issued in connection with the 2025 Offering.</w:t>
      </w:r>
    </w:p>
    <w:p>
      <w:pPr>
        <w:spacing w:after="0" w:line="51" w:lineRule="exact"/>
        <w:rPr>
          <w:sz w:val="20"/>
          <w:szCs w:val="20"/>
          <w:color w:val="auto"/>
        </w:rPr>
      </w:pPr>
    </w:p>
    <w:p>
      <w:pPr>
        <w:jc w:val="both"/>
        <w:ind w:left="60" w:right="59"/>
        <w:spacing w:after="0" w:line="232" w:lineRule="auto"/>
        <w:rPr>
          <w:sz w:val="20"/>
          <w:szCs w:val="20"/>
          <w:color w:val="auto"/>
        </w:rPr>
      </w:pPr>
      <w:r>
        <w:rPr>
          <w:rFonts w:ascii="Times New Roman" w:cs="Times New Roman" w:eastAsia="Times New Roman" w:hAnsi="Times New Roman"/>
          <w:sz w:val="18"/>
          <w:szCs w:val="18"/>
          <w:color w:val="auto"/>
        </w:rPr>
        <w:t>Specifically, 5,526,590 shares were sold through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for net proceeds of $10.9 million, after deducting sales agent commissions payable by the Company of $0.3 million. In addition, 5,666,666 Series A Warrants were exercised for net proceeds of $8.0 million, after deducting underwriting commissions payable by the Company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0" w:right="7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management assessed and management concluded the effectiveness of internal control over financial reporting using the criteria set forth by the Committee of Sponsoring Organizations of the Treadway Commission in Internal Control – 2013 Integrated Framework (2013 Framework). Based on this assessment, management concluded that our internal control over financial reporting was effective as of December 31, 2025.</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status as a non-accelerated filer.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“non-Rule-10b5-1 trading arrangement,” as each term is defined in Item 408(a) of Regulation S-K, during the fiscal quarter ended December 31, 2025.</w:t>
      </w:r>
    </w:p>
    <w:p>
      <w:pPr>
        <w:spacing w:after="0" w:line="1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because we will file with the SEC a definitive proxy statement pursuant to Regulation 14A, or the “2026 Proxy Statement,” no later than 120 days after the end of our fiscal year, and certain information included therein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“Proposal No. 1: Election of Directors,” “Proposal No. 1: Election of Directors─Information Regarding the Board of Directors and Corporate Governance,” “Executive Officers,” and “Delinquent Section 16(a) Reports,” if applicable, in our 2026 Proxy Statement. Such information to be included in our 2026 Proxy Statement is incorporated herein by reference.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408(b) of Regulation S-K will be set forth in the section titled “Insider Trading Arrangements and Policies” in our 2026 Proxy Statement and is incorporated by reference herein.</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Information regarding our Code of Business Conduct and Ethics, or the Code of Conduct, required by this item will be contained in our 2026 Proxy Statement under the caption “Proposal No. 1: Election of Directors─Information Regarding the Board of Directors and Corporate Governance─Code of Business Conduct and Ethics,” and is hereby incorporated by reference.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www.milestonepharma.com. The reference to our website address does not constitute incorporation by reference of the information contained at or available through our website, and you should not consider it to be a part of this Annual Report.</w:t>
      </w:r>
    </w:p>
    <w:p>
      <w:pPr>
        <w:spacing w:after="0" w:line="193"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“Executive Compensation” in our 2026 Proxy Statement and is incorporated by reference herein, provided that the information required by Item 402(x) of Regulation S-K shall be set forth in the section titled "Policies and practices related to the grant of certain equity awards close in time to the release of material nonpublic information" in our 2026 Proxy Statement and is incorporated by reference herein.</w:t>
      </w:r>
    </w:p>
    <w:p>
      <w:pPr>
        <w:spacing w:after="0" w:line="179" w:lineRule="exact"/>
        <w:rPr>
          <w:sz w:val="20"/>
          <w:szCs w:val="20"/>
          <w:color w:val="auto"/>
        </w:rPr>
      </w:pPr>
    </w:p>
    <w:p>
      <w:pPr>
        <w:jc w:val="both"/>
        <w:ind w:left="960" w:right="59" w:hanging="906"/>
        <w:spacing w:after="0" w:line="286" w:lineRule="auto"/>
        <w:rPr>
          <w:sz w:val="20"/>
          <w:szCs w:val="20"/>
          <w:color w:val="auto"/>
        </w:rPr>
      </w:pPr>
      <w:r>
        <w:rPr>
          <w:rFonts w:ascii="Times New Roman" w:cs="Times New Roman" w:eastAsia="Times New Roman" w:hAnsi="Times New Roman"/>
          <w:sz w:val="18"/>
          <w:szCs w:val="18"/>
          <w:b w:val="1"/>
          <w:bCs w:val="1"/>
          <w:color w:val="333333"/>
        </w:rPr>
        <w:t>ITEM 12. SECURITY OWNERSHIP OF CERTAIN BENEFICIAL OWNERS AND MANAGEMENT AND RELATED STOCKHOLDER MATTERS.</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“Security Ownership of Certain Beneficial Owners and Management” in our 2026 Proxy Statement.</w:t>
      </w:r>
    </w:p>
    <w:p>
      <w:pPr>
        <w:spacing w:after="0" w:line="171" w:lineRule="exact"/>
        <w:rPr>
          <w:sz w:val="20"/>
          <w:szCs w:val="20"/>
          <w:color w:val="auto"/>
        </w:rPr>
      </w:pPr>
    </w:p>
    <w:p>
      <w:pPr>
        <w:jc w:val="both"/>
        <w:ind w:left="720" w:right="79" w:hanging="906"/>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w:t>
        <w:tab/>
        <w:t>13. CERTAIN RELATIONSHIPS AND RELATED TRANSACTIONS, AND DIRECTOR INDEPENDENCE.</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“Certain Relationships and Related Transactions” and “Proposal No. 1: Election of Directors─Information Regarding the Board of Directors and Corporate Governance─Director Independence” in our 2026 Proxy Statement.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“Proposal No. 2: Appointment of Auditor─Auditor Fees” in our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Index to Consolidated Financial Statements on page 103 of this Annual Report on Form 10-K, which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incorporated into this item by reference.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financial statements or notes thereto.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 Exhibits</w:t>
      </w:r>
    </w:p>
    <w:p>
      <w:pPr>
        <w:spacing w:after="0" w:line="9" w:lineRule="exact"/>
        <w:rPr>
          <w:sz w:val="20"/>
          <w:szCs w:val="20"/>
          <w:color w:val="auto"/>
        </w:rPr>
      </w:pPr>
    </w:p>
    <w:p>
      <w:pPr>
        <w:ind w:left="60" w:right="79" w:firstLine="554"/>
        <w:spacing w:after="0" w:line="260" w:lineRule="auto"/>
        <w:rPr>
          <w:sz w:val="20"/>
          <w:szCs w:val="20"/>
          <w:color w:val="auto"/>
        </w:rPr>
      </w:pPr>
      <w:r>
        <w:rPr>
          <w:rFonts w:ascii="Times New Roman" w:cs="Times New Roman" w:eastAsia="Times New Roman" w:hAnsi="Times New Roman"/>
          <w:sz w:val="18"/>
          <w:szCs w:val="18"/>
          <w:color w:val="auto"/>
        </w:rPr>
        <w:t>The following list of exhibits includes exhibits submitted with this Annual Report on Form 10-K as filed with the SEC and others incorporated by reference to other filings.</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tbl>
      <w:tblPr>
        <w:tblLayout w:type="fixed"/>
        <w:tblInd w:w="70" w:type="dxa"/>
        <w:tblCellMar>
          <w:top w:w="0" w:type="dxa"/>
          <w:left w:w="0" w:type="dxa"/>
          <w:bottom w:w="0" w:type="dxa"/>
          <w:right w:w="0" w:type="dxa"/>
        </w:tblCellMar>
      </w:tblPr>
      <w:tr>
        <w:trPr>
          <w:trHeight w:val="196"/>
        </w:trPr>
        <w:tc>
          <w:tcPr>
            <w:tcW w:w="960" w:type="dxa"/>
            <w:vAlign w:val="bottom"/>
            <w:tcBorders>
              <w:top w:val="single" w:sz="8" w:color="auto"/>
              <w:left w:val="single" w:sz="8" w:color="auto"/>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top w:val="single" w:sz="8" w:color="auto"/>
            </w:tcBorders>
          </w:tcPr>
          <w:p>
            <w:pPr>
              <w:spacing w:after="0"/>
              <w:rPr>
                <w:sz w:val="17"/>
                <w:szCs w:val="17"/>
                <w:color w:val="auto"/>
              </w:rPr>
            </w:pPr>
          </w:p>
        </w:tc>
        <w:tc>
          <w:tcPr>
            <w:tcW w:w="7900" w:type="dxa"/>
            <w:vAlign w:val="bottom"/>
            <w:tcBorders>
              <w:top w:val="single" w:sz="8" w:color="auto"/>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Articles of Incorporation (incorporated herein by reference to Exhibit 3.1 to the Registrant’s</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Current Report on Form 8-K (File No. 001-38899), filed with the SEC on May 15, 2019).</w:t>
              </w:r>
            </w:hyperlink>
          </w:p>
        </w:tc>
        <w:tc>
          <w:tcPr>
            <w:tcW w:w="100" w:type="dxa"/>
            <w:vAlign w:val="bottom"/>
            <w:tcBorders>
              <w:right w:val="single" w:sz="8" w:color="auto"/>
            </w:tcBorders>
            <w:gridSpan w:val="2"/>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4"/>
                <w:szCs w:val="14"/>
                <w:color w:val="auto"/>
              </w:rPr>
            </w:pPr>
          </w:p>
        </w:tc>
        <w:tc>
          <w:tcPr>
            <w:tcW w:w="78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Bylaws (incorporated herein by reference to Exhibit 3.2 to the Registrant’s Current</w:t>
              </w:r>
            </w:hyperlink>
          </w:p>
        </w:tc>
        <w:tc>
          <w:tcPr>
            <w:tcW w:w="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Report on Form 8-K (File No. 001-38899), filed with the SEC on May 15, 2019).</w:t>
              </w:r>
            </w:hyperlink>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4"/>
                <w:szCs w:val="14"/>
                <w:color w:val="auto"/>
              </w:rPr>
            </w:pPr>
          </w:p>
        </w:tc>
        <w:tc>
          <w:tcPr>
            <w:tcW w:w="78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Common Share Certificate (incorporated herein by reference to Exhibit 4.1 to Amendment No. 1 to</w:t>
              </w:r>
            </w:hyperlink>
          </w:p>
        </w:tc>
        <w:tc>
          <w:tcPr>
            <w:tcW w:w="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the Registrant’s Registration Statement on Form S-1 (File No. 333-230846), filed with the SEC on April 29,</w:t>
              </w:r>
            </w:hyperlink>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740" w:type="dxa"/>
            <w:vAlign w:val="bottom"/>
            <w:gridSpan w:val="3"/>
          </w:tcPr>
          <w:p>
            <w:pPr>
              <w:ind w:left="60"/>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2019).</w:t>
              </w:r>
            </w:hyperlink>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4"/>
                <w:szCs w:val="14"/>
                <w:color w:val="auto"/>
              </w:rPr>
            </w:pPr>
          </w:p>
        </w:tc>
        <w:tc>
          <w:tcPr>
            <w:tcW w:w="790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Pre-Funded Warrant to Purchase Common Shares (incorporated herein by reference to Exhibit 4.1</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to the Registrant’s Current Report on Form 8-K (File No. 001-38899), filed with the SEC on July 23, 2020.</w:t>
              </w:r>
            </w:hyperlink>
          </w:p>
        </w:tc>
        <w:tc>
          <w:tcPr>
            <w:tcW w:w="100" w:type="dxa"/>
            <w:vAlign w:val="bottom"/>
            <w:tcBorders>
              <w:right w:val="single" w:sz="8" w:color="auto"/>
            </w:tcBorders>
            <w:gridSpan w:val="2"/>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4"/>
                <w:szCs w:val="14"/>
                <w:color w:val="auto"/>
              </w:rPr>
            </w:pPr>
          </w:p>
        </w:tc>
        <w:tc>
          <w:tcPr>
            <w:tcW w:w="78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Pre-Funded Warrant (incorporated herein by reference to Exhibit 4.1 to the Registrant’s Current</w:t>
              </w:r>
            </w:hyperlink>
          </w:p>
        </w:tc>
        <w:tc>
          <w:tcPr>
            <w:tcW w:w="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Report on Form 8-K (File No. 001-38899), filed with the SEC on October 26, 2020.</w:t>
              </w:r>
            </w:hyperlink>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4"/>
                <w:szCs w:val="14"/>
                <w:color w:val="auto"/>
              </w:rPr>
            </w:pPr>
          </w:p>
        </w:tc>
        <w:tc>
          <w:tcPr>
            <w:tcW w:w="78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Pre-Funded Warrant (incorporated herein by reference to Exhibit 4.1 to the Registrant’s Current</w:t>
              </w:r>
            </w:hyperlink>
          </w:p>
        </w:tc>
        <w:tc>
          <w:tcPr>
            <w:tcW w:w="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Report on Form 8-K (File No. 001-38899), filed with the SEC on March 4, 2024).</w:t>
              </w:r>
            </w:hyperlink>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4"/>
                <w:szCs w:val="14"/>
                <w:color w:val="auto"/>
              </w:rPr>
            </w:pPr>
          </w:p>
        </w:tc>
        <w:tc>
          <w:tcPr>
            <w:tcW w:w="7900" w:type="dxa"/>
            <w:vAlign w:val="bottom"/>
            <w:tcBorders>
              <w:right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rPr>
              <w:t>Description of Securities Registered pursuant to Section 12 of the Securities Exchange Act of 1934, as</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c>
          <w:tcPr>
            <w:tcW w:w="100" w:type="dxa"/>
            <w:vAlign w:val="bottom"/>
            <w:tcBorders>
              <w:right w:val="single" w:sz="8" w:color="auto"/>
            </w:tcBorders>
            <w:gridSpan w:val="2"/>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4"/>
                <w:szCs w:val="14"/>
                <w:color w:val="auto"/>
              </w:rPr>
            </w:pPr>
          </w:p>
        </w:tc>
        <w:tc>
          <w:tcPr>
            <w:tcW w:w="790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2021 Inducement Plan, approved by the Board of the Company on November 10, 2021 (incorporated herein</w:t>
              </w:r>
            </w:hyperlink>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by reference to Exhibit 4.10 to the Registrant’s Registration Statement on Form S-8 (File No. 333-263807),</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filed with the SEC on March 24, 2022).</w:t>
              </w:r>
            </w:hyperlink>
          </w:p>
        </w:tc>
        <w:tc>
          <w:tcPr>
            <w:tcW w:w="100" w:type="dxa"/>
            <w:vAlign w:val="bottom"/>
            <w:tcBorders>
              <w:right w:val="single" w:sz="8" w:color="auto"/>
            </w:tcBorders>
            <w:gridSpan w:val="2"/>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4"/>
                <w:szCs w:val="14"/>
                <w:color w:val="auto"/>
              </w:rPr>
            </w:pPr>
          </w:p>
        </w:tc>
        <w:tc>
          <w:tcPr>
            <w:tcW w:w="738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Exchange Warrant (incorporated herein by reference to Exhibit 4.1 to the Registrant’s Current</w:t>
              </w:r>
            </w:hyperlink>
          </w:p>
        </w:tc>
        <w:tc>
          <w:tcPr>
            <w:tcW w:w="520" w:type="dxa"/>
            <w:vAlign w:val="bottom"/>
            <w:tcBorders>
              <w:right w:val="single" w:sz="8" w:color="auto"/>
            </w:tcBorders>
            <w:gridSpan w:val="7"/>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Report on Form 8-K (File No. 001-38899), filed with the SEC on March 27, 2023).</w:t>
              </w:r>
            </w:hyperlink>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4"/>
                <w:szCs w:val="14"/>
                <w:color w:val="auto"/>
              </w:rPr>
            </w:pPr>
          </w:p>
        </w:tc>
        <w:tc>
          <w:tcPr>
            <w:tcW w:w="790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Pre-Funded Warrant (incorporated herein by reference to Exhibit 4.1 to the Registrant’s Current</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5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Report on Form 8-K (File No. 001-38899), filed with the SEC on July, 14, 2025).</w:t>
              </w:r>
            </w:hyperlink>
          </w:p>
        </w:tc>
        <w:tc>
          <w:tcPr>
            <w:tcW w:w="400" w:type="dxa"/>
            <w:vAlign w:val="bottom"/>
            <w:tcBorders>
              <w:right w:val="single" w:sz="8" w:color="auto"/>
            </w:tcBorders>
            <w:gridSpan w:val="4"/>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4"/>
                <w:szCs w:val="14"/>
                <w:color w:val="auto"/>
              </w:rPr>
            </w:pPr>
          </w:p>
        </w:tc>
        <w:tc>
          <w:tcPr>
            <w:tcW w:w="7420" w:type="dxa"/>
            <w:vAlign w:val="bottom"/>
            <w:tcBorders>
              <w:bottom w:val="single" w:sz="8" w:color="0000EE"/>
            </w:tcBorders>
            <w:gridSpan w:val="13"/>
          </w:tcPr>
          <w:p>
            <w:pPr>
              <w:spacing w:after="0" w:line="169"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Series A Common Warrant (incorporated herein by reference to Exhibit 4.2 to the Registrant’s</w:t>
              </w:r>
            </w:hyperlink>
          </w:p>
        </w:tc>
        <w:tc>
          <w:tcPr>
            <w:tcW w:w="480" w:type="dxa"/>
            <w:vAlign w:val="bottom"/>
            <w:tcBorders>
              <w:right w:val="single" w:sz="8" w:color="auto"/>
            </w:tcBorders>
            <w:gridSpan w:val="5"/>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Current Report on Form 8-K (File No. 001-38899), filed with the SEC on July, 14, 2025).</w:t>
              </w:r>
            </w:hyperlink>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4"/>
                <w:szCs w:val="14"/>
                <w:color w:val="auto"/>
              </w:rPr>
            </w:pPr>
          </w:p>
        </w:tc>
        <w:tc>
          <w:tcPr>
            <w:tcW w:w="7400" w:type="dxa"/>
            <w:vAlign w:val="bottom"/>
            <w:tcBorders>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Series B Common Warrant (incorporated herein by reference to Exhibit 4.3 to the Registrant’s</w:t>
              </w:r>
            </w:hyperlink>
          </w:p>
        </w:tc>
        <w:tc>
          <w:tcPr>
            <w:tcW w:w="500" w:type="dxa"/>
            <w:vAlign w:val="bottom"/>
            <w:tcBorders>
              <w:right w:val="single" w:sz="8" w:color="auto"/>
            </w:tcBorders>
            <w:gridSpan w:val="6"/>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Current Report on Form 8-K (File No. 001-38899), filed with the SEC on July, 14, 2025).</w:t>
              </w:r>
            </w:hyperlink>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4"/>
                <w:szCs w:val="14"/>
                <w:color w:val="auto"/>
              </w:rPr>
            </w:pPr>
          </w:p>
        </w:tc>
        <w:tc>
          <w:tcPr>
            <w:tcW w:w="780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Third Amended and Restated Stock Option Plan (incorporated herein by reference to Exhibit 10.1 to the</w:t>
              </w:r>
            </w:hyperlink>
          </w:p>
        </w:tc>
        <w:tc>
          <w:tcPr>
            <w:tcW w:w="100" w:type="dxa"/>
            <w:vAlign w:val="bottom"/>
            <w:tcBorders>
              <w:right w:val="single" w:sz="8" w:color="auto"/>
            </w:tcBorders>
            <w:gridSpan w:val="2"/>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Registrant’s Registration Statement on Form S-1 (File No. 333-230846), filed with the SEC on April 12,</w:t>
              </w:r>
            </w:hyperlink>
          </w:p>
        </w:tc>
        <w:tc>
          <w:tcPr>
            <w:tcW w:w="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740" w:type="dxa"/>
            <w:vAlign w:val="bottom"/>
            <w:gridSpan w:val="3"/>
          </w:tcPr>
          <w:p>
            <w:pPr>
              <w:ind w:left="60"/>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2019).</w:t>
              </w:r>
            </w:hyperlink>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4"/>
                <w:szCs w:val="14"/>
                <w:color w:val="auto"/>
              </w:rPr>
            </w:pPr>
          </w:p>
        </w:tc>
        <w:tc>
          <w:tcPr>
            <w:tcW w:w="7900" w:type="dxa"/>
            <w:vAlign w:val="bottom"/>
            <w:tcBorders>
              <w:right w:val="single" w:sz="8" w:color="auto"/>
            </w:tcBorders>
            <w:gridSpan w:val="18"/>
          </w:tcPr>
          <w:p>
            <w:pPr>
              <w:spacing w:after="0" w:line="169"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Award and Grant Notices under the Third Amended and Restated Stock Option Plan (incorporated</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herein by reference to Exhibit 10.2 to the Registrant’s Registration Statement on Form S-1 (File No. 333-</w:t>
              </w:r>
            </w:hyperlink>
          </w:p>
        </w:tc>
        <w:tc>
          <w:tcPr>
            <w:tcW w:w="100" w:type="dxa"/>
            <w:vAlign w:val="bottom"/>
            <w:tcBorders>
              <w:right w:val="single" w:sz="8" w:color="auto"/>
            </w:tcBorders>
            <w:gridSpan w:val="2"/>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230846), filed with the SEC on April 12, 2019).</w:t>
              </w:r>
            </w:hyperlink>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4"/>
                <w:szCs w:val="14"/>
                <w:color w:val="auto"/>
              </w:rPr>
            </w:pPr>
          </w:p>
        </w:tc>
        <w:tc>
          <w:tcPr>
            <w:tcW w:w="780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Amended 2019 Equity Incentive Plan (incorporated herein by reference to Exhibit 10.1 to the Registrant’s</w:t>
              </w:r>
            </w:hyperlink>
          </w:p>
        </w:tc>
        <w:tc>
          <w:tcPr>
            <w:tcW w:w="100" w:type="dxa"/>
            <w:vAlign w:val="bottom"/>
            <w:tcBorders>
              <w:right w:val="single" w:sz="8" w:color="auto"/>
            </w:tcBorders>
            <w:gridSpan w:val="2"/>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Current Report on Form 8-K (File No. 001-38899), filed with the SEC on June 12, 2025).</w:t>
              </w:r>
            </w:hyperlink>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4"/>
                <w:szCs w:val="14"/>
                <w:color w:val="auto"/>
              </w:rPr>
            </w:pPr>
          </w:p>
        </w:tc>
        <w:tc>
          <w:tcPr>
            <w:tcW w:w="780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U.S. Stock Option Grant Notice and Stock Option Agreement under the 2019 Equity Incentive Plan</w:t>
              </w:r>
            </w:hyperlink>
          </w:p>
        </w:tc>
        <w:tc>
          <w:tcPr>
            <w:tcW w:w="100" w:type="dxa"/>
            <w:vAlign w:val="bottom"/>
            <w:tcBorders>
              <w:right w:val="single" w:sz="8" w:color="auto"/>
            </w:tcBorders>
            <w:gridSpan w:val="2"/>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right w:val="single" w:sz="8" w:color="auto"/>
            </w:tcBorders>
            <w:gridSpan w:val="18"/>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(incorporated herein by reference to Exhibit 10.4 to Amendment No. 1 to the Registrant’s Registration</w:t>
              </w:r>
            </w:hyperlink>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Statement on Form S-1 (File No. 333-230846), filed with the SEC on April 29, 2019).</w:t>
              </w:r>
            </w:hyperlink>
          </w:p>
        </w:tc>
        <w:tc>
          <w:tcPr>
            <w:tcW w:w="100" w:type="dxa"/>
            <w:vAlign w:val="bottom"/>
            <w:tcBorders>
              <w:right w:val="single" w:sz="8" w:color="auto"/>
            </w:tcBorders>
            <w:gridSpan w:val="2"/>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1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080" w:right="139" w:hanging="944"/>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67">
        <w:r>
          <w:rPr>
            <w:rFonts w:ascii="Times New Roman" w:cs="Times New Roman" w:eastAsia="Times New Roman" w:hAnsi="Times New Roman"/>
            <w:sz w:val="18"/>
            <w:szCs w:val="18"/>
            <w:u w:val="single" w:color="auto"/>
            <w:color w:val="0000EE"/>
          </w:rPr>
          <w:t>Form of U.S. Restricted Stock Unit Grant Notice and Restricted Stock Unit Award Agreement under the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2019 Equity Incentive Plan (incorporated herein by reference to Exhibit 10.5 to Amendment No. 1 to the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Registrant’s Registration Statement on Form S-1 (File No. 333-230846), filed with the SEC on April 29,</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2019).</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-554990</wp:posOffset>
            </wp:positionV>
            <wp:extent cx="5648960" cy="7406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5648960" cy="7406640"/>
                    </a:xfrm>
                    <a:prstGeom prst="rect">
                      <a:avLst/>
                    </a:prstGeom>
                    <a:noFill/>
                  </pic:spPr>
                </pic:pic>
              </a:graphicData>
            </a:graphic>
          </wp:anchor>
        </w:drawing>
      </w:r>
    </w:p>
    <w:p>
      <w:pPr>
        <w:jc w:val="both"/>
        <w:ind w:left="1080" w:right="139" w:hanging="944"/>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69">
        <w:r>
          <w:rPr>
            <w:rFonts w:ascii="Times New Roman" w:cs="Times New Roman" w:eastAsia="Times New Roman" w:hAnsi="Times New Roman"/>
            <w:sz w:val="18"/>
            <w:szCs w:val="18"/>
            <w:u w:val="single" w:color="auto"/>
            <w:color w:val="0000EE"/>
          </w:rPr>
          <w:t>Form of Canadian Stock Option Grant Notice and Option Agreement under the 2019 Equity Incentive Plan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(incorporated herein by reference to Exhibit 10.6 to Amendment No. 1 to the Registrant’s Registration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Statement on Form S-1 (File No. 333-230846), filed with the SEC on April 29, 2019).</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080" w:right="139" w:hanging="944"/>
        <w:spacing w:after="0" w:line="254"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70">
        <w:r>
          <w:rPr>
            <w:rFonts w:ascii="Times New Roman" w:cs="Times New Roman" w:eastAsia="Times New Roman" w:hAnsi="Times New Roman"/>
            <w:sz w:val="18"/>
            <w:szCs w:val="18"/>
            <w:u w:val="single" w:color="auto"/>
            <w:color w:val="0000EE"/>
          </w:rPr>
          <w:t>Form of Canadian Restricted Stock Unit Grant Notice and Restricted Stock Unit Award Agreement under</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2019 Equity Incentive Plan (incorporated herein by reference to Exhibit 10.7 to Amendment No. 1 to</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Registrant’s Registration Statement on Form S-1 (File No. 333-230846), filed with the SEC on April 29,</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80" w:right="139" w:hanging="944"/>
        <w:spacing w:after="0" w:line="258"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71">
        <w:r>
          <w:rPr>
            <w:rFonts w:ascii="Times New Roman" w:cs="Times New Roman" w:eastAsia="Times New Roman" w:hAnsi="Times New Roman"/>
            <w:sz w:val="18"/>
            <w:szCs w:val="18"/>
            <w:u w:val="single" w:color="auto"/>
            <w:color w:val="0000EE"/>
          </w:rPr>
          <w:t>2019 Employee Share Purchase Plan (incorporated herein by reference to Exhibit 4.13 to the Registrant’s</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Registration Statement on Form S-8 (File No. 333-231347), filed with the SEC on May 9, 2019).</w:t>
        </w:r>
      </w:hyperlink>
    </w:p>
    <w:p>
      <w:pPr>
        <w:jc w:val="both"/>
        <w:ind w:left="1080" w:right="139" w:hanging="944"/>
        <w:spacing w:after="0" w:line="253"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2">
        <w:r>
          <w:rPr>
            <w:rFonts w:ascii="Times New Roman" w:cs="Times New Roman" w:eastAsia="Times New Roman" w:hAnsi="Times New Roman"/>
            <w:sz w:val="18"/>
            <w:szCs w:val="18"/>
            <w:u w:val="single" w:color="auto"/>
            <w:color w:val="0000EE"/>
          </w:rPr>
          <w:t>Amended and Restated Employment Agreement between Joseph Oliveto and Milestone Pharmaceuticals</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USA, Inc. (incorporated herein by reference to Exhibit 10.9 to Amendment No. 1 to the Registrant’s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Registration Statement on Form S-1 (File No. 333-230846), filed with the SEC on April 29,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as</w:t>
        </w:r>
      </w:hyperlink>
      <w:r>
        <w:rPr>
          <w:rFonts w:ascii="Times New Roman" w:cs="Times New Roman" w:eastAsia="Times New Roman" w:hAnsi="Times New Roman"/>
          <w:sz w:val="18"/>
          <w:szCs w:val="18"/>
          <w:color w:val="0000EE"/>
        </w:rPr>
        <w:t xml:space="preserve"> </w:t>
      </w:r>
      <w:hyperlink r:id="rId173">
        <w:r>
          <w:rPr>
            <w:rFonts w:ascii="Times New Roman" w:cs="Times New Roman" w:eastAsia="Times New Roman" w:hAnsi="Times New Roman"/>
            <w:sz w:val="18"/>
            <w:szCs w:val="18"/>
            <w:u w:val="single" w:color="auto"/>
            <w:color w:val="0000EE"/>
          </w:rPr>
          <w:t>amended by First Amendment to Amended and Restated Employment Agreement between Joseph Oliveto</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and Milestone Pharmaceuticals USA, Inc. (incorporated herein by reference to Exhibit 10.1 to Registrant’s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Current Report on Form 8-K (File No. 001-38899), filed with the SEC on June 8, 2020).</w:t>
        </w:r>
      </w:hyperlink>
    </w:p>
    <w:p>
      <w:pPr>
        <w:jc w:val="both"/>
        <w:ind w:left="1080" w:right="139" w:hanging="944"/>
        <w:spacing w:after="0" w:line="253"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4">
        <w:r>
          <w:rPr>
            <w:rFonts w:ascii="Times New Roman" w:cs="Times New Roman" w:eastAsia="Times New Roman" w:hAnsi="Times New Roman"/>
            <w:sz w:val="18"/>
            <w:szCs w:val="18"/>
            <w:u w:val="single" w:color="auto"/>
            <w:color w:val="0000EE"/>
          </w:rPr>
          <w:t>Employment Agreement between Amit Hasija and Milestone Pharmaceuticals USA, Inc. (incorporated</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herein by reference to Exhibit 10.1 to the Registrant’s Current Report on Form 8-K (File No. 001-38899),</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filed with the SEC on September 9,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as amended by First Amendment to Employment Agreement</w:t>
        </w:r>
      </w:hyperlink>
      <w:r>
        <w:rPr>
          <w:rFonts w:ascii="Times New Roman" w:cs="Times New Roman" w:eastAsia="Times New Roman" w:hAnsi="Times New Roman"/>
          <w:sz w:val="18"/>
          <w:szCs w:val="18"/>
          <w:color w:val="0000EE"/>
        </w:rPr>
        <w:t xml:space="preserve"> </w:t>
      </w:r>
      <w:hyperlink r:id="rId175">
        <w:r>
          <w:rPr>
            <w:rFonts w:ascii="Times New Roman" w:cs="Times New Roman" w:eastAsia="Times New Roman" w:hAnsi="Times New Roman"/>
            <w:sz w:val="18"/>
            <w:szCs w:val="18"/>
            <w:u w:val="single" w:color="auto"/>
            <w:color w:val="0000EE"/>
          </w:rPr>
          <w:t>between Amit Hasija and Milestone Pharmaceuticals USA, Inc. (incorporated herein by reference to</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Exhibit 10.2 to Registrant’s Current Report on Form 8-K (File No. 001-38899), filed with the SEC on June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8, 2020).</w:t>
        </w:r>
      </w:hyperlink>
    </w:p>
    <w:p>
      <w:pPr>
        <w:jc w:val="both"/>
        <w:ind w:left="1080" w:right="139" w:hanging="944"/>
        <w:spacing w:after="0" w:line="253"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76">
        <w:r>
          <w:rPr>
            <w:rFonts w:ascii="Times New Roman" w:cs="Times New Roman" w:eastAsia="Times New Roman" w:hAnsi="Times New Roman"/>
            <w:sz w:val="18"/>
            <w:szCs w:val="18"/>
            <w:u w:val="single" w:color="auto"/>
            <w:color w:val="0000EE"/>
          </w:rPr>
          <w:t>Amended and Restated Employment Agreement between Francis Plat and Milestone Pharmaceuticals Inc.</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(incorporated herein by reference to Exhibit 10.11 to Amendment No. 1 to the Registrant’s Registration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Statement on Form S-1 (File No. 333-230846), filed with the SEC on April 29, 2019)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as amended by</w:t>
        </w:r>
      </w:hyperlink>
      <w:r>
        <w:rPr>
          <w:rFonts w:ascii="Times New Roman" w:cs="Times New Roman" w:eastAsia="Times New Roman" w:hAnsi="Times New Roman"/>
          <w:sz w:val="18"/>
          <w:szCs w:val="18"/>
          <w:color w:val="0000EE"/>
        </w:rPr>
        <w:t xml:space="preserve"> </w:t>
      </w:r>
      <w:hyperlink r:id="rId177">
        <w:r>
          <w:rPr>
            <w:rFonts w:ascii="Times New Roman" w:cs="Times New Roman" w:eastAsia="Times New Roman" w:hAnsi="Times New Roman"/>
            <w:sz w:val="18"/>
            <w:szCs w:val="18"/>
            <w:u w:val="single" w:color="auto"/>
            <w:color w:val="0000EE"/>
          </w:rPr>
          <w:t>Amending Agreement between Francis Plat and Milestone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reference to Exhibit 10.3 to the Registrant’s Current Report on Form 8-K (File No. 001-38899), filed with</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the SEC on June 8, 2020).</w:t>
        </w:r>
      </w:hyperlink>
    </w:p>
    <w:p>
      <w:pPr>
        <w:jc w:val="both"/>
        <w:ind w:left="1080" w:right="139" w:hanging="944"/>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78">
        <w:r>
          <w:rPr>
            <w:rFonts w:ascii="Times New Roman" w:cs="Times New Roman" w:eastAsia="Times New Roman" w:hAnsi="Times New Roman"/>
            <w:sz w:val="18"/>
            <w:szCs w:val="18"/>
            <w:u w:val="single" w:color="auto"/>
            <w:color w:val="0000EE"/>
          </w:rPr>
          <w:t>Employment Agreement, dated February 15, 2022 between David Bharucha, M.D., Ph.D. and Milestone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Pharmaceuticals USA, Inc. (incorporated herein by reference to Exhibit 10.1 to the Registrant’s Current</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Report on Form 8-K (File No. 001-38899), filed with the SEC on February 16, 2022).</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080" w:right="139" w:hanging="944"/>
        <w:spacing w:after="0" w:line="258"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9">
        <w:r>
          <w:rPr>
            <w:rFonts w:ascii="Times New Roman" w:cs="Times New Roman" w:eastAsia="Times New Roman" w:hAnsi="Times New Roman"/>
            <w:sz w:val="18"/>
            <w:szCs w:val="18"/>
            <w:u w:val="single" w:color="auto"/>
            <w:color w:val="0000EE"/>
          </w:rPr>
          <w:t>Securities Purchase Agreement dated July 22, 2020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Registrant’s Current Report on Form 8-K (File No. 001-38899), filed with the SEC on July 23, 2020).</w:t>
        </w:r>
      </w:hyperlink>
    </w:p>
    <w:p>
      <w:pPr>
        <w:jc w:val="both"/>
        <w:ind w:left="1080" w:right="139" w:hanging="944"/>
        <w:spacing w:after="0" w:line="222"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80">
        <w:r>
          <w:rPr>
            <w:rFonts w:ascii="Times New Roman" w:cs="Times New Roman" w:eastAsia="Times New Roman" w:hAnsi="Times New Roman"/>
            <w:sz w:val="18"/>
            <w:szCs w:val="18"/>
            <w:u w:val="single" w:color="auto"/>
            <w:color w:val="0000EE"/>
          </w:rPr>
          <w:t>Amended and Restated Open Market Sale Agreement</w:t>
        </w:r>
        <w:r>
          <w:rPr>
            <w:rFonts w:ascii="Times New Roman" w:cs="Times New Roman" w:eastAsia="Times New Roman" w:hAnsi="Times New Roman"/>
            <w:sz w:val="26"/>
            <w:szCs w:val="26"/>
            <w:u w:val="single" w:color="auto"/>
            <w:color w:val="0000EE"/>
            <w:vertAlign w:val="superscript"/>
          </w:rPr>
          <w:t>SM</w:t>
        </w:r>
        <w:r>
          <w:rPr>
            <w:rFonts w:ascii="Times New Roman" w:cs="Times New Roman" w:eastAsia="Times New Roman" w:hAnsi="Times New Roman"/>
            <w:sz w:val="18"/>
            <w:szCs w:val="18"/>
            <w:u w:val="single" w:color="auto"/>
            <w:color w:val="0000EE"/>
          </w:rPr>
          <w:t>, dated March 18, 2025, by and between Milestone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Pharmaceuticals Inc. and Jefferies LLC (incorporated herein by reference to Exhibit 1.1 to the Registrant’s</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Current Report on Form 8-K (File No. 001-38899), filed with the SEC on March 18, 2025).</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080" w:right="159" w:hanging="944"/>
        <w:spacing w:after="0" w:line="258"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81">
        <w:r>
          <w:rPr>
            <w:rFonts w:ascii="Times New Roman" w:cs="Times New Roman" w:eastAsia="Times New Roman" w:hAnsi="Times New Roman"/>
            <w:sz w:val="18"/>
            <w:szCs w:val="18"/>
            <w:u w:val="single" w:color="auto"/>
            <w:color w:val="0000EE"/>
          </w:rPr>
          <w:t>Form of Indemnity Agreement (incorporated herein by reference to Exhibit 10.14 to the Registrant’s</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Registration Statement on Form S-1 (File No. 333-230846), filed with the SEC on April 12, 2019).</w:t>
        </w:r>
      </w:hyperlink>
    </w:p>
    <w:p>
      <w:pPr>
        <w:jc w:val="both"/>
        <w:ind w:left="1080" w:right="139" w:hanging="944"/>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82">
        <w:r>
          <w:rPr>
            <w:rFonts w:ascii="Times New Roman" w:cs="Times New Roman" w:eastAsia="Times New Roman" w:hAnsi="Times New Roman"/>
            <w:sz w:val="18"/>
            <w:szCs w:val="18"/>
            <w:u w:val="single" w:color="auto"/>
            <w:color w:val="0000EE"/>
          </w:rPr>
          <w:t>Amended and Restated Employment Agreement between Lorenz Muller and Milestone Pharmaceuticals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USA, Inc. (incorporated herein by reference to Exhibit 10.12 to Amendment No. 1 to the Registrant’s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Registration Statement on Form S-1 (File No. 333-230846), filed with the SEC on April 29, 2019).</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080" w:right="139" w:hanging="944"/>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83">
        <w:r>
          <w:rPr>
            <w:rFonts w:ascii="Times New Roman" w:cs="Times New Roman" w:eastAsia="Times New Roman" w:hAnsi="Times New Roman"/>
            <w:sz w:val="18"/>
            <w:szCs w:val="18"/>
            <w:u w:val="single" w:color="auto"/>
            <w:color w:val="0000EE"/>
          </w:rPr>
          <w:t>License and Collaboration Agreement by and among the Company and Ji Xing Pharmaceuticals, Limited,</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dated May 15, 2021 (incorporated herein by reference to Exhibit 10.1 to the Registrant’s Quarterly Report</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on Form 10-Q (File No. 001-38899), filed with the SEC on August 11, 2021.</w:t>
        </w:r>
      </w:hyperlink>
    </w:p>
    <w:p>
      <w:pPr>
        <w:spacing w:after="0" w:line="2" w:lineRule="exact"/>
        <w:rPr>
          <w:rFonts w:ascii="Times New Roman" w:cs="Times New Roman" w:eastAsia="Times New Roman" w:hAnsi="Times New Roman"/>
          <w:sz w:val="18"/>
          <w:szCs w:val="18"/>
          <w:u w:val="single" w:color="auto"/>
          <w:color w:val="0000EE"/>
        </w:rPr>
      </w:pPr>
    </w:p>
    <w:p>
      <w:pPr>
        <w:ind w:left="120"/>
        <w:spacing w:after="0"/>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4">
        <w:r>
          <w:rPr>
            <w:rFonts w:ascii="Times New Roman" w:cs="Times New Roman" w:eastAsia="Times New Roman" w:hAnsi="Times New Roman"/>
            <w:sz w:val="18"/>
            <w:szCs w:val="18"/>
            <w:u w:val="single" w:color="auto"/>
            <w:color w:val="0000EE"/>
          </w:rPr>
          <w:t>Consulting Agreement, between the Company and Francis Plat (incorporated herein by reference to Exhibit</w:t>
        </w:r>
      </w:hyperlink>
    </w:p>
    <w:p>
      <w:pPr>
        <w:spacing w:after="0" w:line="23" w:lineRule="exact"/>
        <w:rPr>
          <w:rFonts w:ascii="Times New Roman" w:cs="Times New Roman" w:eastAsia="Times New Roman" w:hAnsi="Times New Roman"/>
          <w:sz w:val="18"/>
          <w:szCs w:val="18"/>
          <w:u w:val="single" w:color="auto"/>
          <w:color w:val="0000EE"/>
        </w:rPr>
      </w:pPr>
    </w:p>
    <w:p>
      <w:pPr>
        <w:ind w:left="1080"/>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10.18 to the Registrant’s Annual Report on Form 10-K (File No. 001-38899), filed with the SEC on March</w:t>
        </w:r>
      </w:hyperlink>
    </w:p>
    <w:p>
      <w:pPr>
        <w:spacing w:after="0" w:line="9" w:lineRule="exact"/>
        <w:rPr>
          <w:rFonts w:ascii="Times New Roman" w:cs="Times New Roman" w:eastAsia="Times New Roman" w:hAnsi="Times New Roman"/>
          <w:sz w:val="18"/>
          <w:szCs w:val="18"/>
          <w:u w:val="single" w:color="auto"/>
          <w:color w:val="0000EE"/>
        </w:rPr>
      </w:pPr>
    </w:p>
    <w:p>
      <w:pPr>
        <w:ind w:left="1080"/>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29, 2023).</w:t>
        </w:r>
      </w:hyperlink>
    </w:p>
    <w:p>
      <w:pPr>
        <w:spacing w:after="0" w:line="9" w:lineRule="exact"/>
        <w:rPr>
          <w:rFonts w:ascii="Times New Roman" w:cs="Times New Roman" w:eastAsia="Times New Roman" w:hAnsi="Times New Roman"/>
          <w:sz w:val="18"/>
          <w:szCs w:val="18"/>
          <w:u w:val="single" w:color="auto"/>
          <w:color w:val="0000EE"/>
        </w:rPr>
      </w:pPr>
    </w:p>
    <w:p>
      <w:pPr>
        <w:jc w:val="both"/>
        <w:ind w:left="1080" w:right="139" w:hanging="944"/>
        <w:spacing w:after="0" w:line="263"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85">
        <w:r>
          <w:rPr>
            <w:rFonts w:ascii="Times New Roman" w:cs="Times New Roman" w:eastAsia="Times New Roman" w:hAnsi="Times New Roman"/>
            <w:sz w:val="18"/>
            <w:szCs w:val="18"/>
            <w:u w:val="single" w:color="auto"/>
            <w:color w:val="0000EE"/>
          </w:rPr>
          <w:t>Non-Employee Director Compensation Policy, as amended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10.1 to the Registrant’s Quarterly Report on Form 10-Q (File No. 001-38899), filed with the SEC on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November 12, 2024).</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16"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 w:type="dxa"/>
            <w:vAlign w:val="bottom"/>
            <w:tcBorders>
              <w:right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60" w:type="dxa"/>
            <w:vAlign w:val="bottom"/>
            <w:tcBorders>
              <w:top w:val="single" w:sz="8" w:color="auto"/>
            </w:tcBorders>
          </w:tcPr>
          <w:p>
            <w:pPr>
              <w:spacing w:after="0"/>
              <w:rPr>
                <w:sz w:val="16"/>
                <w:szCs w:val="16"/>
                <w:color w:val="auto"/>
              </w:rPr>
            </w:pPr>
          </w:p>
        </w:tc>
        <w:tc>
          <w:tcPr>
            <w:tcW w:w="7680" w:type="dxa"/>
            <w:vAlign w:val="bottom"/>
            <w:tcBorders>
              <w:top w:val="single" w:sz="8" w:color="auto"/>
              <w:bottom w:val="single" w:sz="8" w:color="0000EE"/>
            </w:tcBorders>
            <w:gridSpan w:val="23"/>
          </w:tcPr>
          <w:p>
            <w:pPr>
              <w:spacing w:after="0" w:line="189"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Exchange Agreement, dated as of March 22, 2023, by and among the Company and certain investors party</w:t>
              </w:r>
            </w:hyperlink>
          </w:p>
        </w:tc>
        <w:tc>
          <w:tcPr>
            <w:tcW w:w="200" w:type="dxa"/>
            <w:vAlign w:val="bottom"/>
            <w:tcBorders>
              <w:top w:val="single" w:sz="8" w:color="auto"/>
              <w:right w:val="single" w:sz="8" w:color="auto"/>
            </w:tcBorders>
            <w:gridSpan w:val="7"/>
          </w:tcPr>
          <w:p>
            <w:pPr>
              <w:spacing w:after="0"/>
              <w:rPr>
                <w:sz w:val="16"/>
                <w:szCs w:val="16"/>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thereto (incorporated herein by reference to Exhibit 10.1 to the Registrant’s Current Report on Form 8-K</w:t>
              </w:r>
            </w:hyperlink>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(File No. 001-38899), filed with the SEC on March 27, 2023).</w:t>
              </w:r>
            </w:hyperlink>
          </w:p>
        </w:tc>
        <w:tc>
          <w:tcPr>
            <w:tcW w:w="360" w:type="dxa"/>
            <w:vAlign w:val="bottom"/>
            <w:tcBorders>
              <w:right w:val="single" w:sz="8" w:color="auto"/>
            </w:tcBorders>
            <w:gridSpan w:val="11"/>
          </w:tcPr>
          <w:p>
            <w:pPr>
              <w:spacing w:after="0"/>
              <w:rPr>
                <w:sz w:val="17"/>
                <w:szCs w:val="17"/>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4"/>
                <w:szCs w:val="14"/>
                <w:color w:val="auto"/>
              </w:rPr>
            </w:pPr>
          </w:p>
        </w:tc>
        <w:tc>
          <w:tcPr>
            <w:tcW w:w="7020" w:type="dxa"/>
            <w:vAlign w:val="bottom"/>
            <w:tcBorders>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Royalty Purchase Agreement, dated as of March 27, 2023, by and among the Company and RTW</w:t>
              </w:r>
            </w:hyperlink>
          </w:p>
        </w:tc>
        <w:tc>
          <w:tcPr>
            <w:tcW w:w="860" w:type="dxa"/>
            <w:vAlign w:val="bottom"/>
            <w:tcBorders>
              <w:right w:val="single" w:sz="8" w:color="auto"/>
            </w:tcBorders>
            <w:gridSpan w:val="16"/>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(incorporated herein by reference to Exhibit 10.1 to the Registrant’s Current Report on Form 8-K (File</w:t>
              </w:r>
            </w:hyperlink>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No. 001-38899), filed with the SEC on March 31, 2023).</w:t>
              </w:r>
            </w:hyperlink>
          </w:p>
        </w:tc>
        <w:tc>
          <w:tcPr>
            <w:tcW w:w="520" w:type="dxa"/>
            <w:vAlign w:val="bottom"/>
            <w:tcBorders>
              <w:right w:val="single" w:sz="8" w:color="auto"/>
            </w:tcBorders>
            <w:gridSpan w:val="13"/>
          </w:tcPr>
          <w:p>
            <w:pPr>
              <w:spacing w:after="0"/>
              <w:rPr>
                <w:sz w:val="17"/>
                <w:szCs w:val="17"/>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4"/>
                <w:szCs w:val="14"/>
                <w:color w:val="auto"/>
              </w:rPr>
            </w:pPr>
          </w:p>
        </w:tc>
        <w:tc>
          <w:tcPr>
            <w:tcW w:w="7180" w:type="dxa"/>
            <w:vAlign w:val="bottom"/>
            <w:tcBorders>
              <w:bottom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EE"/>
                <w:w w:val="99"/>
              </w:rPr>
              <w:t>Amendment No. 1 to the Purchase and Sale Agreement, dated August 12, 2024, by and between the</w:t>
            </w:r>
          </w:p>
        </w:tc>
        <w:tc>
          <w:tcPr>
            <w:tcW w:w="700" w:type="dxa"/>
            <w:vAlign w:val="bottom"/>
            <w:tcBorders>
              <w:right w:val="single" w:sz="8" w:color="auto"/>
            </w:tcBorders>
            <w:gridSpan w:val="14"/>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Company and RTW Royalty I DAC.</w:t>
            </w: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EE"/>
              </w:rPr>
              <w:t>Amendment No. 2 to the Purchase and Sale Agreement, dated July 10, 2025, by and between the Company</w:t>
            </w: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7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and RTW Royalty I DAC.</w:t>
            </w:r>
          </w:p>
        </w:tc>
        <w:tc>
          <w:tcPr>
            <w:tcW w:w="180" w:type="dxa"/>
            <w:vAlign w:val="bottom"/>
            <w:tcBorders>
              <w:right w:val="single" w:sz="8" w:color="auto"/>
            </w:tcBorders>
            <w:gridSpan w:val="6"/>
          </w:tcPr>
          <w:p>
            <w:pPr>
              <w:spacing w:after="0"/>
              <w:rPr>
                <w:sz w:val="17"/>
                <w:szCs w:val="17"/>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EE"/>
              </w:rPr>
              <w:t>Amendment No. 3 to and Assignment of the Purchase and Sale Agreement, dated December 12, 2025, by</w:t>
            </w: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5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among the Company, Milestone Pharmaceuticals USA, Inc. and RTW Royalty I DAC.</w:t>
            </w:r>
          </w:p>
        </w:tc>
        <w:tc>
          <w:tcPr>
            <w:tcW w:w="300" w:type="dxa"/>
            <w:vAlign w:val="bottom"/>
            <w:tcBorders>
              <w:right w:val="single" w:sz="8" w:color="auto"/>
            </w:tcBorders>
            <w:gridSpan w:val="9"/>
          </w:tcPr>
          <w:p>
            <w:pPr>
              <w:spacing w:after="0"/>
              <w:rPr>
                <w:sz w:val="17"/>
                <w:szCs w:val="17"/>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60" w:type="dxa"/>
            <w:vAlign w:val="bottom"/>
          </w:tcPr>
          <w:p>
            <w:pPr>
              <w:spacing w:after="0"/>
              <w:rPr>
                <w:sz w:val="14"/>
                <w:szCs w:val="14"/>
                <w:color w:val="auto"/>
              </w:rPr>
            </w:pPr>
          </w:p>
        </w:tc>
        <w:tc>
          <w:tcPr>
            <w:tcW w:w="6800" w:type="dxa"/>
            <w:vAlign w:val="bottom"/>
            <w:tcBorders>
              <w:bottom w:val="single" w:sz="8" w:color="0000EE"/>
            </w:tcBorders>
            <w:gridSpan w:val="13"/>
          </w:tcPr>
          <w:p>
            <w:pPr>
              <w:spacing w:after="0" w:line="169"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Note Purchase Agreement, dated as of March 27, 2023, by and among the Company and RTW</w:t>
              </w:r>
            </w:hyperlink>
          </w:p>
        </w:tc>
        <w:tc>
          <w:tcPr>
            <w:tcW w:w="1080" w:type="dxa"/>
            <w:vAlign w:val="bottom"/>
            <w:tcBorders>
              <w:right w:val="single" w:sz="8" w:color="auto"/>
            </w:tcBorders>
            <w:gridSpan w:val="17"/>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(incorporated herein by reference to Exhibit 10.2 to the Registrant’s Current Report on Form 8-K (File</w:t>
              </w:r>
            </w:hyperlink>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No. 001-38899), filed with the SEC on March 31, 2023).</w:t>
              </w:r>
            </w:hyperlink>
          </w:p>
        </w:tc>
        <w:tc>
          <w:tcPr>
            <w:tcW w:w="520" w:type="dxa"/>
            <w:vAlign w:val="bottom"/>
            <w:tcBorders>
              <w:right w:val="single" w:sz="8" w:color="auto"/>
            </w:tcBorders>
            <w:gridSpan w:val="13"/>
          </w:tcPr>
          <w:p>
            <w:pPr>
              <w:spacing w:after="0"/>
              <w:rPr>
                <w:sz w:val="17"/>
                <w:szCs w:val="17"/>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First Amendment to Note Purchase Agreement, dated as of August 4, 2023 (incorporated herein by</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reference to Exhibit 10.1 to the Registrant’s Quarterly Report on Form 10-Q (File No. 001-38899), filed</w:t>
              </w:r>
            </w:hyperlink>
          </w:p>
        </w:tc>
        <w:tc>
          <w:tcPr>
            <w:tcW w:w="400" w:type="dxa"/>
            <w:vAlign w:val="bottom"/>
            <w:tcBorders>
              <w:right w:val="single" w:sz="8" w:color="auto"/>
            </w:tcBorders>
            <w:gridSpan w:val="12"/>
          </w:tcPr>
          <w:p>
            <w:pPr>
              <w:spacing w:after="0"/>
              <w:rPr>
                <w:sz w:val="17"/>
                <w:szCs w:val="17"/>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with the SEC on November 13, 2023).</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Cooperation Agreement, dated as of July 14, 2024, by and between the Company and Alta Fundamental</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Advisers Master L.P. (incorporated herein by reference to Exhibit 10.1 to the Company’s Current Report on</w:t>
              </w:r>
            </w:hyperlink>
          </w:p>
        </w:tc>
        <w:tc>
          <w:tcPr>
            <w:tcW w:w="140" w:type="dxa"/>
            <w:vAlign w:val="bottom"/>
            <w:tcBorders>
              <w:right w:val="single" w:sz="8" w:color="auto"/>
            </w:tcBorders>
            <w:gridSpan w:val="5"/>
          </w:tcPr>
          <w:p>
            <w:pPr>
              <w:spacing w:after="0"/>
              <w:rPr>
                <w:sz w:val="17"/>
                <w:szCs w:val="17"/>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8-K (File No. 001-38899), filed with the SEC on July 15, 2024).</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4"/>
                <w:szCs w:val="14"/>
                <w:color w:val="auto"/>
              </w:rPr>
            </w:pPr>
          </w:p>
        </w:tc>
        <w:tc>
          <w:tcPr>
            <w:tcW w:w="764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Insider Trading Policy (incorporated herein by reference to Exhibit 19.1 to the Registrant’s Annual Report</w:t>
              </w:r>
            </w:hyperlink>
          </w:p>
        </w:tc>
        <w:tc>
          <w:tcPr>
            <w:tcW w:w="240" w:type="dxa"/>
            <w:vAlign w:val="bottom"/>
            <w:tcBorders>
              <w:right w:val="single" w:sz="8" w:color="auto"/>
            </w:tcBorders>
            <w:gridSpan w:val="8"/>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on Form 10-K (File No. 001-38899), filed with the SEC on March 13, 2025).</w:t>
              </w:r>
            </w:hyperlink>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4"/>
                <w:szCs w:val="14"/>
                <w:color w:val="auto"/>
              </w:rPr>
            </w:pPr>
          </w:p>
        </w:tc>
        <w:tc>
          <w:tcPr>
            <w:tcW w:w="7880" w:type="dxa"/>
            <w:vAlign w:val="bottom"/>
            <w:tcBorders>
              <w:right w:val="single" w:sz="8" w:color="auto"/>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4"/>
                <w:szCs w:val="14"/>
                <w:color w:val="auto"/>
              </w:rPr>
            </w:pPr>
          </w:p>
        </w:tc>
        <w:tc>
          <w:tcPr>
            <w:tcW w:w="7820" w:type="dxa"/>
            <w:vAlign w:val="bottom"/>
            <w:tcBorders>
              <w:bottom w:val="single" w:sz="8" w:color="0000EE"/>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promulgated under</w:t>
            </w:r>
          </w:p>
        </w:tc>
        <w:tc>
          <w:tcPr>
            <w:tcW w:w="60" w:type="dxa"/>
            <w:vAlign w:val="bottom"/>
            <w:tcBorders>
              <w:right w:val="single" w:sz="8" w:color="auto"/>
            </w:tcBorders>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Sarbanes-Oxley Act of 2002</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4"/>
                <w:szCs w:val="14"/>
                <w:color w:val="auto"/>
              </w:rPr>
            </w:pPr>
          </w:p>
        </w:tc>
        <w:tc>
          <w:tcPr>
            <w:tcW w:w="7800" w:type="dxa"/>
            <w:vAlign w:val="bottom"/>
            <w:tcBorders>
              <w:bottom w:val="single" w:sz="8" w:color="0000EE"/>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promulgated under</w:t>
            </w:r>
          </w:p>
        </w:tc>
        <w:tc>
          <w:tcPr>
            <w:tcW w:w="8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 pursuant to section 302 of the Sarbanes-Oxley Act of 2002</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32.1</w:t>
            </w: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7820" w:type="dxa"/>
            <w:vAlign w:val="bottom"/>
            <w:tcBorders>
              <w:bottom w:val="single" w:sz="8" w:color="0000EE"/>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Rules 13a-14(b) and</w:t>
            </w:r>
          </w:p>
        </w:tc>
        <w:tc>
          <w:tcPr>
            <w:tcW w:w="60" w:type="dxa"/>
            <w:vAlign w:val="bottom"/>
            <w:tcBorders>
              <w:right w:val="single" w:sz="8" w:color="auto"/>
            </w:tcBorders>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15d-14(b) promulgated under the Securities Exchange Act of 1934 and 18 U.S.C. Section 1350, as adopted</w:t>
            </w: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7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100" w:type="dxa"/>
            <w:vAlign w:val="bottom"/>
            <w:tcBorders>
              <w:right w:val="single" w:sz="8" w:color="auto"/>
            </w:tcBorders>
            <w:gridSpan w:val="3"/>
          </w:tcPr>
          <w:p>
            <w:pPr>
              <w:spacing w:after="0"/>
              <w:rPr>
                <w:sz w:val="17"/>
                <w:szCs w:val="17"/>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60" w:type="dxa"/>
            <w:vAlign w:val="bottom"/>
          </w:tcPr>
          <w:p>
            <w:pPr>
              <w:spacing w:after="0"/>
              <w:rPr>
                <w:sz w:val="14"/>
                <w:szCs w:val="14"/>
                <w:color w:val="auto"/>
              </w:rPr>
            </w:pPr>
          </w:p>
        </w:tc>
        <w:tc>
          <w:tcPr>
            <w:tcW w:w="7800" w:type="dxa"/>
            <w:vAlign w:val="bottom"/>
            <w:tcBorders>
              <w:bottom w:val="single" w:sz="8" w:color="0000EE"/>
            </w:tcBorders>
            <w:gridSpan w:val="28"/>
          </w:tcPr>
          <w:p>
            <w:pPr>
              <w:spacing w:after="0" w:line="169"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Incentive Compensation Recoupment Policy (incorporated herein by reference to Exhibit 97.1 to the</w:t>
              </w:r>
            </w:hyperlink>
          </w:p>
        </w:tc>
        <w:tc>
          <w:tcPr>
            <w:tcW w:w="80" w:type="dxa"/>
            <w:vAlign w:val="bottom"/>
            <w:tcBorders>
              <w:right w:val="single" w:sz="8" w:color="auto"/>
            </w:tcBorders>
            <w:gridSpan w:val="2"/>
          </w:tcPr>
          <w:p>
            <w:pPr>
              <w:spacing w:after="0"/>
              <w:rPr>
                <w:sz w:val="14"/>
                <w:szCs w:val="1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right w:val="single" w:sz="8" w:color="auto"/>
            </w:tcBorders>
            <w:gridSpan w:val="3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Registrant’s Annual Report on Form 10-K (File No. 001-38899), filed with the SEC on March 21, 2024).</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3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09"/>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0"/>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0"/>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0"/>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9"/>
        </w:trPr>
        <w:tc>
          <w:tcPr>
            <w:tcW w:w="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Borders>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91"/>
        </w:trPr>
        <w:tc>
          <w:tcPr>
            <w:tcW w:w="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6"/>
                <w:szCs w:val="16"/>
                <w:color w:val="auto"/>
              </w:rPr>
            </w:pPr>
          </w:p>
        </w:tc>
        <w:tc>
          <w:tcPr>
            <w:tcW w:w="7880" w:type="dxa"/>
            <w:vAlign w:val="bottom"/>
            <w:tcBorders>
              <w:right w:val="single" w:sz="8" w:color="auto"/>
            </w:tcBorders>
            <w:gridSpan w:val="30"/>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w:t>
            </w:r>
          </w:p>
        </w:tc>
      </w:tr>
      <w:tr>
        <w:trPr>
          <w:trHeight w:val="234"/>
        </w:trPr>
        <w:tc>
          <w:tcPr>
            <w:tcW w:w="4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80" w:type="dxa"/>
            <w:vAlign w:val="bottom"/>
            <w:tcBorders>
              <w:bottom w:val="single" w:sz="8" w:color="auto"/>
              <w:right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information contained in Exhibit 101)</w:t>
            </w:r>
          </w:p>
        </w:tc>
      </w:tr>
      <w:tr>
        <w:trPr>
          <w:trHeight w:val="128"/>
        </w:trPr>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76" w:lineRule="exact"/>
        <w:rPr>
          <w:sz w:val="20"/>
          <w:szCs w:val="20"/>
          <w:color w:val="auto"/>
        </w:rPr>
      </w:pPr>
    </w:p>
    <w:p>
      <w:pPr>
        <w:ind w:left="700" w:right="79" w:hanging="650"/>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 of Regulation S-K. The Registrant hereby undertakes to furnish to the SEC, upon request, copies of any such instruments.</w:t>
      </w:r>
    </w:p>
    <w:p>
      <w:pPr>
        <w:spacing w:after="0" w:line="162" w:lineRule="exact"/>
        <w:rPr>
          <w:sz w:val="20"/>
          <w:szCs w:val="20"/>
          <w:color w:val="auto"/>
        </w:rPr>
      </w:pPr>
    </w:p>
    <w:p>
      <w:pPr>
        <w:ind w:left="700" w:right="79" w:hanging="650"/>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601(b)(10)(iv) of Regulation S-K, certain information (indicated by “[***]”) has been excluded from this exhibit.</w:t>
      </w:r>
    </w:p>
    <w:p>
      <w:pPr>
        <w:spacing w:after="0" w:line="162"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0" w:lineRule="auto"/>
        <w:tabs>
          <w:tab w:leader="none" w:pos="708"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20,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Oliveto</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Oliveto</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Joseph Oliveto and Amit Hasija, and each of them, as his or her true and lawful attorneys-in-fact and agents, each with the full power of substitution, for him or her and in his or her name, place or stead, in any and all capacities, to sign any and all amendments to this report,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substitute or substitutes, may lawfully do or cause to be done by virtue hereof.</w:t>
      </w:r>
    </w:p>
    <w:p>
      <w:pPr>
        <w:spacing w:after="0" w:line="192" w:lineRule="exact"/>
        <w:rPr>
          <w:sz w:val="20"/>
          <w:szCs w:val="20"/>
          <w:color w:val="auto"/>
        </w:rPr>
      </w:pPr>
    </w:p>
    <w:p>
      <w:pPr>
        <w:jc w:val="both"/>
        <w:ind w:left="60" w:right="79"/>
        <w:spacing w:after="0" w:line="28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indicated on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March 2026.</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Oliveto</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Chief Executive Officer and 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Joseph Oliveto</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Amit Hasija</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Amit Hasija</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Wills</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Robert Wills</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Fischer</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Seth Fischer</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Giles</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Lisa M. Giles</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Tomsicek</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Michael Tomsicek</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Saik</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Andrew Saik</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Duty</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Stuart Duty</w:t>
            </w:r>
          </w:p>
        </w:tc>
        <w:tc>
          <w:tcPr>
            <w:tcW w:w="448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Papa</w:t>
            </w: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Joseph Papa</w:t>
            </w:r>
          </w:p>
        </w:tc>
        <w:tc>
          <w:tcPr>
            <w:tcW w:w="44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description sets forth certain material terms and provisions of the securities of Milestone Pharmaceuticals Inc. (the</w:t>
      </w:r>
    </w:p>
    <w:p>
      <w:pPr>
        <w:spacing w:after="0" w:line="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Company</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that are registered under Section 12 of the Securities Exchange Act of 1934, as amended. The following description of our</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i w:val="1"/>
          <w:iCs w:val="1"/>
          <w:color w:val="auto"/>
        </w:rPr>
        <w:t>securities is intended as a summary only and is qualified in its entirety by reference to our articles of incorporation and amendments thereto and our bylaws, each of which are filed as exhibits to the Annual Report on Form 10-K of which this description is a part, and to the applicable provisions of the Business Corporations Act (Qu</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bec) (BCA).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an unlimited number of common shares, no par value per share, and an unlimited number of preferred shares, no par value per share, which are issuable in one or more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Under our articles of incorporation, the holders of common shares are entitled to one vote for each share held at any meeting of our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the prior rights of holders of our preferred shares, if applicable, the holders of common shares are entitled to receive dividends as and when declared by our board of directors. 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prior payment to holders of our preferred shares, if any, in the event of our liquidation, dissolution or winding-up or other distribution of our assets among our shareholders, the holders of common shares are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holders of common shares have no preemptive, conversion rights or other subscription rights. There are no redemption or sinking fund provisions applicable to our common shares. There is no provision in our articles of incorporation requiring the holders of common shares to contribute additional capital or permitting or restricting the issuance of additional securities or any other material restrictions. The rights, preferences and privileges of the holders of common shares may be subject to, and adversely affected by, the rights of the holders of any series of preferred shares that we may designate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do not have any preferred shares outstanding. Under our articles of incorporation, we are authorized to issue, without shareholder approval, an unlimited number of preferred shares, issuable in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ind w:right="40"/>
        <w:spacing w:after="0" w:line="256" w:lineRule="auto"/>
        <w:rPr>
          <w:sz w:val="20"/>
          <w:szCs w:val="20"/>
          <w:color w:val="auto"/>
        </w:rPr>
      </w:pPr>
      <w:r>
        <w:rPr>
          <w:rFonts w:ascii="Times New Roman" w:cs="Times New Roman" w:eastAsia="Times New Roman" w:hAnsi="Times New Roman"/>
          <w:sz w:val="18"/>
          <w:szCs w:val="18"/>
          <w:color w:val="auto"/>
        </w:rPr>
        <w:t>series, and, subject to the provisions of the 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July 11, 2025, we issued (i) Series A common warrants (the “Series A Common Warrants”) to purchase an aggregate of 31,500,000 common shares and (ii) Series B common warrants (the “Series B Common Warrants” and, together with the Series A Common Warrants, the “Common Warrants”) to purchase an aggregate of 31,500,000 common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20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form of Series A Common Warrants was filed as Exhibit 4.2 to our Current Report on Form 8-K filed with the SEC on July 14, 2025. The form of Series B Common Warrants was filed as Exhibit 4.3 to our Current Report on Form 8-K filed with the SEC on July 14,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in connection with any the exercise the Common Warrants. In lieu of any fractional shares that would otherwise be issuable, the number of common shares to be issued shall be rounded down to the next whole number and we shall pay the holder of the Common Warrants in cash the fair market value based on the closing sale price for any such fractional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Common Warrants, we may not give effect to the exercise of any such Common Warrant, and a holder will not be entitled to exercise any portion of any such Common Warrants, if, upon giving effect to such exercise, the aggregate number of common shares beneficially owned by the holder (together with its affiliates, any other persons acting as a group together with the holder or any of the holder’s affiliates, and any other persons whose beneficial ownership of common shares would or could be aggregated with the holder’s for purposes of Section 13(d) or Section 16 of the Securities Exchange Act of 1934, as amended, or the Exchange Act) would exceed 4.99% or 9.99%, as elected by the purchaser, of the number of common shares outstanding immediately after giving effect to such exercise. By giving written notice to us, a holder may increase or decrease the maximum percentage to any other percentage specified not in excess of 19.99%;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increase will not be effective until the sixty-first day after such notice is delivered to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00" w:lineRule="exact"/>
        <w:rPr>
          <w:sz w:val="20"/>
          <w:szCs w:val="20"/>
          <w:color w:val="auto"/>
        </w:rPr>
      </w:pPr>
    </w:p>
    <w:p>
      <w:pPr>
        <w:ind w:right="940"/>
        <w:spacing w:after="0" w:line="453" w:lineRule="auto"/>
        <w:rPr>
          <w:sz w:val="20"/>
          <w:szCs w:val="20"/>
          <w:color w:val="auto"/>
        </w:rPr>
      </w:pPr>
      <w:r>
        <w:rPr>
          <w:rFonts w:ascii="Times New Roman" w:cs="Times New Roman" w:eastAsia="Times New Roman" w:hAnsi="Times New Roman"/>
          <w:sz w:val="18"/>
          <w:szCs w:val="18"/>
          <w:color w:val="auto"/>
        </w:rPr>
        <w:t xml:space="preserve">Subject to applicable laws, the Common Warrants may be offered for sale, sold, transferred or assigned without our consent. </w:t>
      </w:r>
      <w:r>
        <w:rPr>
          <w:rFonts w:ascii="Times New Roman" w:cs="Times New Roman" w:eastAsia="Times New Roman" w:hAnsi="Times New Roman"/>
          <w:sz w:val="18"/>
          <w:szCs w:val="18"/>
          <w:i w:val="1"/>
          <w:iCs w:val="1"/>
          <w:color w:val="auto"/>
        </w:rPr>
        <w:t>Exchange Listing</w:t>
      </w:r>
    </w:p>
    <w:p>
      <w:pPr>
        <w:spacing w:after="0" w:line="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Common Warrants, and we do not expect a market to develop. We do not intend to apply for the listing of Common Warrants on the Nasdaq Stock Market, any other national securities exchange or any other nationally recognized trading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No Rights as a Shareholder</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shares, the holder of a Common Warrant does not have the rights or privileges of a holder of our common shares, including any voting rights, until such holder exercises the Common Warrant.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of Shares Underlying Common Warrants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common shares underlying the Common Warrants were registered on a Prospectus Supplement, which was filed on July 14, 2025, to the Prospectus included in the Form S-3 registration statement, which was declared effective on November 22,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and Term</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Series A Common Warrant entitles the holder thereof to purchase one common share at an exercise price equal to $1.50 per share (or $1.499 per Pre-Funded Warrant), will be immediately exercisable and will expire on the date that is one year from the date of issuance. Each Series B Common Warrant entitles the holder thereof to purchase one common share at an exercise price equal to $1.875 per share (or $1.874 per Pre-Funded Warrant), will be immediately exercisable and will expire five years from the date of issuance. In addition, for so long as the volume weighted average price of the our common shares on each of the preceding 10 consecutive trading days is at least $3.50, we may force the exercise of the Series B Common Warrants, in whole or in part, in cash, by delivering a notice of mandatory exercise to the holders. In the event that we force the exercise of the Series B Common Warrants, to the extent that the holder would own more than the Beneficial Ownership Limitation (as defined in the Common Warrants), the holder would receive a Pre-Funded Warrant for those number of common shares underlying such Series B Common Warrant which would cause the holder to otherwise exceed the Beneficial Ownership Limitation.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Common Warrants, and, among other things, including the sale, transfer or other disposition of all or substantially all of our properties or assets, our consolidation or merger with or into another person in which the Company is not the surviving person, the acquisition of more than 50% of our outstanding common shares, any person or group becoming the beneficial owner of 50% of the voting power of our outstanding common shares or any reorganization, recapitalization or reclassification of our common shares), the holders of the Common Warrants will be entitled to receive, upon exercise of the Common Warrant, the same amount and kind of securities, cash or property as the holder would have been entitled to receive upon the occurrence of such fundamental transaction if the holder had been, immediately prior to such fundamental transaction, the holder of the number of common shares underlying the Common Warrant then issuable upon exercise in full of the Common Warrant without regard to any limitations on exercise contained herein. Notwithstanding the foregoing, in the event of a fundamental transaction, and subject to certain exceptions, the holders of the Common Warrants have the right to require us or a successor entity to redeem the Common Warrants for cash in the amount of the Black-Scholes Value (as defined in the Common Warrants) of the unexercised portion of the Common Warrants. However, in the event of a fundamental transaction which is not in the Company’s control, including a fundamental transaction not approved by the Company’s board of directors, the holders of the Common Warrants will only be entitled to receive from the Company or its successor entity the same type or form of consideration (and in the same proportion) at the Black Scholes Value of the unexercised portion of the Common Warrants that is being offered and paid to the holders of the Company’s common shares in connection with the fundamental transaction, whether that consideration be in the form of cash, shares or any combination thereof, or whether the holders of the Company’s common shares are given the choice to receive from among alternative forms of consideration in connection with the fundamental transaction.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4, 2024, we issued pre-funded warrants (the “2024 Pre-Funded Warrants”) to purchase 3,333,333 common shares and on July 11, 2025, we issued pre-funded warrants (the “2025 Pre-Funded Warrants”) to purchase 3,502,335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Pre-Funded Warrants were issued as individual warrant agreements to certain investors. The form of 2024 Pre-Funded Warrant was filed as Exhibit 4.1 to our Current Report on Form 8-K filed with the SEC on March 4, 2024. The form of 2025 Pre-Funded Warrant was filed as Exhibit 4.1 to our Current Report on Form 8-K filed with the SEC on July 14,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in connection with any the exercise the Pre-Funded Warrants. In lieu of any fractional shares that would otherwise be issuable, the number of common shares to be issued shall be rounded down to the next whole number and we shall pay the holder of the Pre-Funded Warrant in cash the fair market value based on the closing sale price for any such fractional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Pre-Funded Warrants, we may not give effect to the exercise of any such Pre-Funded Warrant, and a holder will not be entitled to exercise any portion of any such Pre-Funded Warrant, if, upon giving effect to such exercise, the aggregate number of common shares beneficially owned by the holder (together with its affiliates, any other persons acting as a group together with the holder or any of the holder’s affiliates, and any other persons whose beneficial ownership of common shares would or could be aggregated with the holder’s for purposes of Section 13(d) or Section 16 of the Securities Exchange Act of 1934, as amended, or the Exchange Act, would exceed 4.99% or 9.99%, as elected by the purchaser, of the number of common shares outstanding immediately after giving effect to such exercise. By giving written notice to us, a holder may increase or decrease the maximum percentage to any other percentage specified not in excess of 19.99%;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increase will not be effective until the sixty-first day after such notice is delivered to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and we do not expect a market to develop. We do not intend to apply for the listing of Pre-Funded Warrants on the Nasdaq Stock Market, any other national securities exchange or any other nationally recognized trading system.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Rights as a Shareholder</w:t>
      </w:r>
    </w:p>
    <w:p>
      <w:pPr>
        <w:spacing w:after="0" w:line="20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Except by virtue of such holder’s ownership of shares of our common shares, the holder of a Pre-Funded Warrant does not have the rights or privileges of a holder of our common shares, including any voting rights, until such holder exercises the Pre-Funded Warrant.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of Shares Underlying Pre-Funded Warrants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common shares underlying the 2024 Pre-Funded Warrants were registered on a Prospectus Supplement, which was filed on February 28, 2024, to the Prospectus included in the Form S-3 registration statement, which was declared effective on February 2, 2022. The common shares underlying the 2025 Pre-Funded Warrants were registered on a Prospectus Supplement, which was filed on July 14, 2025, to the Prospectus included in the Form S-3 registration statement, which was declared effective on November 22,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Pre-Funded Warrant has an exercise price of $0.001 per share. In lieu of making the cash payment otherwise contemplated to be made to the Company upon exercise of a Pre-Funded Warrant in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136" w:name="page137"/>
    <w:bookmarkEnd w:id="136"/>
    <w:p>
      <w:pPr>
        <w:ind w:right="100"/>
        <w:spacing w:after="0" w:line="282" w:lineRule="auto"/>
        <w:rPr>
          <w:sz w:val="20"/>
          <w:szCs w:val="20"/>
          <w:color w:val="auto"/>
        </w:rPr>
      </w:pPr>
      <w:r>
        <w:rPr>
          <w:rFonts w:ascii="Times New Roman" w:cs="Times New Roman" w:eastAsia="Times New Roman" w:hAnsi="Times New Roman"/>
          <w:sz w:val="18"/>
          <w:szCs w:val="18"/>
          <w:color w:val="auto"/>
        </w:rPr>
        <w:t>of the aggregate exercise price, the holder may elect instead to receive upon such exercise (either in whole or in part) the net number of common shares determined according to a formula set forth in the Pre-Funded 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00" w:lineRule="exact"/>
        <w:rPr>
          <w:sz w:val="20"/>
          <w:szCs w:val="20"/>
          <w:color w:val="auto"/>
        </w:rPr>
      </w:pPr>
    </w:p>
    <w:p>
      <w:pPr>
        <w:ind w:right="1120"/>
        <w:spacing w:after="0" w:line="453" w:lineRule="auto"/>
        <w:rPr>
          <w:sz w:val="20"/>
          <w:szCs w:val="20"/>
          <w:color w:val="auto"/>
        </w:rPr>
      </w:pPr>
      <w:r>
        <w:rPr>
          <w:rFonts w:ascii="Times New Roman" w:cs="Times New Roman" w:eastAsia="Times New Roman" w:hAnsi="Times New Roman"/>
          <w:sz w:val="18"/>
          <w:szCs w:val="18"/>
          <w:color w:val="auto"/>
        </w:rPr>
        <w:t xml:space="preserve">Each Pre-Funded Warrant is exercisable immediately and is exercisable until the Pre-Funded Warrant is exercised in full. </w:t>
      </w:r>
      <w:r>
        <w:rPr>
          <w:rFonts w:ascii="Times New Roman" w:cs="Times New Roman" w:eastAsia="Times New Roman" w:hAnsi="Times New Roman"/>
          <w:sz w:val="18"/>
          <w:szCs w:val="18"/>
          <w:i w:val="1"/>
          <w:iCs w:val="1"/>
          <w:color w:val="auto"/>
        </w:rPr>
        <w:t>Fundamental Transactions</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among other things, including the sale, transfer or other disposition of all or substantially all of our properties or assets, our consolidation or merger with or into another person in which the Company is not the surviving person, the acquisition of more than 50% of our outstanding common shares, any person or group becoming the beneficial owner of 50% of the voting power of our outstanding common shares or any reorganization, recapitalization or reclassification of our common shares), the holders of the Pre-Funded Warrants will be entitled to receive, upon exercise of the Pre-Funded Warrant, the same amount and kind of securities, cash or property as the holder would have been entitled to receive upon the occurrence of such fundamental transaction if the holder had been, immediately prior to such fundamental transaction, the holder of the number of common shares underlying the Pre-Funded Warrant then issuable upon exercise in full of the Pre-Funded Warrant without regard to any limitations on exercise contained herein.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Our transfer agent and registrar for our common shares is Computershare Investor Services Inc., with an address of 650 de Maisonneuve Blvd W., 7th Floor, Montr</w:t>
      </w:r>
      <w:r>
        <w:rPr>
          <w:rFonts w:ascii="Arial" w:cs="Arial" w:eastAsia="Arial" w:hAnsi="Arial"/>
          <w:sz w:val="18"/>
          <w:szCs w:val="18"/>
          <w:color w:val="auto"/>
        </w:rPr>
        <w:t>é</w:t>
      </w:r>
      <w:r>
        <w:rPr>
          <w:rFonts w:ascii="Times New Roman" w:cs="Times New Roman" w:eastAsia="Times New Roman" w:hAnsi="Times New Roman"/>
          <w:sz w:val="18"/>
          <w:szCs w:val="18"/>
          <w:color w:val="auto"/>
        </w:rPr>
        <w:t>al, Quebec H3A 3T2.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01" w:lineRule="exact"/>
        <w:rPr>
          <w:sz w:val="20"/>
          <w:szCs w:val="20"/>
          <w:color w:val="auto"/>
        </w:rPr>
      </w:pPr>
    </w:p>
    <w:p>
      <w:pPr>
        <w:ind w:right="2980"/>
        <w:spacing w:after="0" w:line="453" w:lineRule="auto"/>
        <w:rPr>
          <w:sz w:val="20"/>
          <w:szCs w:val="20"/>
          <w:color w:val="auto"/>
        </w:rPr>
      </w:pPr>
      <w:r>
        <w:rPr>
          <w:rFonts w:ascii="Times New Roman" w:cs="Times New Roman" w:eastAsia="Times New Roman" w:hAnsi="Times New Roman"/>
          <w:sz w:val="18"/>
          <w:szCs w:val="18"/>
          <w:color w:val="auto"/>
        </w:rPr>
        <w:t xml:space="preserve">Our common shares are listed on The Nasdaq Global Market under the trading symbol </w:t>
      </w:r>
      <w:r>
        <w:rPr>
          <w:rFonts w:ascii="Arial" w:cs="Arial" w:eastAsia="Arial" w:hAnsi="Arial"/>
          <w:sz w:val="18"/>
          <w:szCs w:val="18"/>
          <w:color w:val="auto"/>
        </w:rPr>
        <w:t>“</w:t>
      </w:r>
      <w:r>
        <w:rPr>
          <w:rFonts w:ascii="Times New Roman" w:cs="Times New Roman" w:eastAsia="Times New Roman" w:hAnsi="Times New Roman"/>
          <w:sz w:val="18"/>
          <w:szCs w:val="18"/>
          <w:color w:val="auto"/>
        </w:rPr>
        <w:t>MIST.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 Notice Procedures and Shareholder Proposals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BCA, shareholders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BCA. The notice must include information on the business the shareholder intends to bring before the meeting.</w:t>
      </w:r>
    </w:p>
    <w:p>
      <w:pPr>
        <w:spacing w:after="0" w:line="1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our bylaws require that shareholders provide us with advance notice of their intention to nominate any persons, other than those nominated by management, for election to our board of directors at a meeting of shareholders.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the nomination of certain persons for director that are favored by the holders of a majority of our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to the Purchase and Sale Agreement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August 12, 2024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is between RTW Royalty I DAC, a designated activity company incorporated under the laws of Ireland with registered number 734869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Milestone Pharmaceuticals Inc., a Quebec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Purchase and Sale Agreement by and between the Buyer and the Company, dated as of March 27, 2023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3.1 of the Agreement, the parties hereto mutually wish to amend the Agreement to revise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3.1 of the Agreement provides that the Closing can take place during such period as mutually agreed upon by the parties to the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10.4 of the Agreement provides that the Agreement may be amended, modified or supplemented only in a writing signed by each of the parties to the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good and valuable consideration, the receipt and adequacy of which are hereby acknowledged, the Company and the Buyer hereby agree as follows:</w:t>
      </w:r>
    </w:p>
    <w:p>
      <w:pPr>
        <w:spacing w:after="0" w:line="162" w:lineRule="exact"/>
        <w:rPr>
          <w:sz w:val="20"/>
          <w:szCs w:val="20"/>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that are used in this Amendment have the meaning set forth in the Agreement, unless otherwise defined in this Amendment.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Effective as of the Amendment Date, Section 3.1 of the Agreement is amended and restated to read in its entirety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shall take place remotely via the exchange of documents and signatures on the date that is thirty</w:t>
      </w:r>
    </w:p>
    <w:p>
      <w:pPr>
        <w:spacing w:after="0" w:line="27" w:lineRule="exact"/>
        <w:rPr>
          <w:sz w:val="20"/>
          <w:szCs w:val="20"/>
          <w:color w:val="auto"/>
        </w:rPr>
      </w:pPr>
    </w:p>
    <w:p>
      <w:pPr>
        <w:ind w:left="1300" w:right="20" w:firstLine="4"/>
        <w:spacing w:after="0" w:line="260" w:lineRule="auto"/>
        <w:tabs>
          <w:tab w:leader="none" w:pos="16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or such period as mutually agreed upon by the parties hereto, after the date on which the conditions set forth in ARTICLE 5 are satisfied or waived.</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Amendment supersede all provisions of the Agreement that are inconsistent with the provisions of this Amendment. The Agreement, as modified by this Amendment, remains in full force and effect and, with the Exhibits annexed thereto and the Disclosure Schedule constitute the entire understanding between the parties hereto with respect to the subject matter hereof and thereof and supersede all other understandings and negotiations with respect hereto and thereto. Unless the context otherwise requires, the term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used in the Agreement shall be deemed to refer to the Agreement as amended 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exclusively governed by, and construed in accordance with, the laws of the State of New York without giving effect to any choice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38" w:name="page139"/>
    <w:bookmarkEnd w:id="138"/>
    <w:p>
      <w:pPr>
        <w:ind w:left="652"/>
        <w:spacing w:after="0"/>
        <w:rPr>
          <w:sz w:val="20"/>
          <w:szCs w:val="20"/>
          <w:color w:val="auto"/>
        </w:rPr>
      </w:pPr>
      <w:r>
        <w:rPr>
          <w:rFonts w:ascii="Times New Roman" w:cs="Times New Roman" w:eastAsia="Times New Roman" w:hAnsi="Times New Roman"/>
          <w:sz w:val="18"/>
          <w:szCs w:val="18"/>
          <w:color w:val="auto"/>
        </w:rPr>
        <w:t>conflict of law provision or rule that would cause the application of the laws of any other jurisdiction.</w:t>
      </w:r>
    </w:p>
    <w:p>
      <w:pPr>
        <w:spacing w:after="0" w:line="225" w:lineRule="exact"/>
        <w:rPr>
          <w:sz w:val="20"/>
          <w:szCs w:val="20"/>
          <w:color w:val="auto"/>
        </w:rPr>
      </w:pPr>
    </w:p>
    <w:p>
      <w:pPr>
        <w:ind w:left="652" w:hanging="652"/>
        <w:spacing w:after="0" w:line="282"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Amendment shall not be deemed a waiver by any party of any of its rights or remedies under the Agreement, except to the extent expressly set forth in this Amendment.</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shall be considered original executed counterparts, provided receipt of such counterparts is confirmed.</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139" w:name="page140"/>
    <w:bookmarkEnd w:id="13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and delivered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thereunto duly authorized as of the date first above written.</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BUYER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RTW ROYALTY I DAC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Authorized Attorney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2 to the Purchase and Sale Agreement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July 10, 2025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is between RTW Royalty I DAC, a designated activity company incorporated under the laws of Ireland with registered number 734869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Milestone Pharmaceuticals Inc., a Quebec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amends that certain Purchase and Sale Agreement by and between the Buyer and the Company, dated as of March 27, 2023, as amended by Amendment No. 1, dated August 12, 2024 (as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10.4 of the Agreement provides that the Agreement may be amended, modified or supplemented only in writing signed by each of the parties to the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good and valuable consideration, the receipt and adequacy of which are hereby acknowledged, the Company and the Buyer hereby agree as follows:</w:t>
      </w:r>
    </w:p>
    <w:p>
      <w:pPr>
        <w:spacing w:after="0" w:line="162" w:lineRule="exact"/>
        <w:rPr>
          <w:sz w:val="20"/>
          <w:szCs w:val="20"/>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that are used in this Amendment have the meaning set forth in the Agreement, unless otherwise defined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Defined Terms</w:t>
      </w:r>
      <w:r>
        <w:rPr>
          <w:rFonts w:ascii="Times New Roman" w:cs="Times New Roman" w:eastAsia="Times New Roman" w:hAnsi="Times New Roman"/>
          <w:sz w:val="18"/>
          <w:szCs w:val="18"/>
          <w:color w:val="auto"/>
        </w:rPr>
        <w:t>. Effective as of the Amendment Date, Section 1.1 of the Agreement is amended by removing the definition of “</w:t>
      </w:r>
      <w:r>
        <w:rPr>
          <w:rFonts w:ascii="Times New Roman" w:cs="Times New Roman" w:eastAsia="Times New Roman" w:hAnsi="Times New Roman"/>
          <w:sz w:val="18"/>
          <w:szCs w:val="18"/>
          <w:u w:val="single" w:color="auto"/>
          <w:color w:val="auto"/>
        </w:rPr>
        <w:t>Marketing Approval Deadline</w:t>
      </w:r>
      <w:r>
        <w:rPr>
          <w:rFonts w:ascii="Times New Roman" w:cs="Times New Roman" w:eastAsia="Times New Roman" w:hAnsi="Times New Roman"/>
          <w:sz w:val="18"/>
          <w:szCs w:val="18"/>
          <w:color w:val="auto"/>
        </w:rPr>
        <w:t>” and replacing such definition in its entirety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Approval Deadline</w:t>
      </w:r>
      <w:r>
        <w:rPr>
          <w:rFonts w:ascii="Times New Roman" w:cs="Times New Roman" w:eastAsia="Times New Roman" w:hAnsi="Times New Roman"/>
          <w:sz w:val="18"/>
          <w:szCs w:val="18"/>
          <w:color w:val="auto"/>
        </w:rPr>
        <w:t>” means 11:59 pm P.T. December 31, 2025.</w:t>
      </w:r>
    </w:p>
    <w:p>
      <w:pPr>
        <w:spacing w:after="0" w:line="225" w:lineRule="exact"/>
        <w:rPr>
          <w:sz w:val="20"/>
          <w:szCs w:val="20"/>
          <w:color w:val="auto"/>
        </w:rPr>
      </w:pPr>
    </w:p>
    <w:p>
      <w:pPr>
        <w:jc w:val="both"/>
        <w:ind w:left="660" w:hanging="652"/>
        <w:spacing w:after="0" w:line="25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Amendment supersede all provisions of the Agreement that are inconsistent with the provisions of this Amendment. The Agreement, as modified by this Amendment, remains in full force and effect and, with the Exhibits annexed thereto and the Disclosure Schedule constitute the entire understanding between the parties hereto with respect to the subject matter hereof and thereof and supersede all other understandings and negotiations with respect hereto and thereto. Unless the context otherwise requires, the term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used in the Agreement shall be deemed to refer to the Agreement as amended hereby.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exclusively governed by, and construed in accordance with, the laws of the State of New York without giving effect to any choice or conflict of law provision or rule that would cause the application of the laws of any other jurisdiction.</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Amendment shall not be deemed a waiver by any party of any of its rights or remedies under the Agreement, except to the extent expressly set forth in this Amendment.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parties hereto in separate counterparts, each of which when so executed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41" w:name="page142"/>
    <w:bookmarkEnd w:id="141"/>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be an original and all of which taken together shall constitute one and the same agreement. Copies of executed counterparts transmitted by telecopy, facsimile or other similar means of electronic transmission, including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shall be considered original executed counterparts, provided receipt of such counterparts is confirmed.</w:t>
      </w:r>
    </w:p>
    <w:p>
      <w:pPr>
        <w:spacing w:after="0" w:line="17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42" w:name="page143"/>
    <w:bookmarkEnd w:id="14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and delivered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thereunto duly authorized as of the date first above written.</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17145</wp:posOffset>
            </wp:positionV>
            <wp:extent cx="2957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BUYER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RTW ROYALTY I DAC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17145</wp:posOffset>
            </wp:positionV>
            <wp:extent cx="2957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Authorized Attorney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3" w:name="page144"/>
    <w:bookmarkEnd w:id="143"/>
    <w:p>
      <w:pPr>
        <w:ind w:left="890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4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BECAUSE IT IS BOTH (I) NOT MATERIAL AND (II) IS THE TYPE THAT MILESTONE PHARMACEUTICALS INC. TREATS AS PRIVATE OR CONFIDENTIAL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AND ASSIGNMENT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3 to and Assignment of the Purchase and Sale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December 12, 2025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is among RTW Royalty I DAC, a designated activity company incorporated under the laws of Ireland with registered number 734869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Milestone Pharmaceuticals Inc., a Quebec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Milestone Pharmaceuticals USA, Inc., a Delaware corporation (the “</w:t>
      </w:r>
      <w:r>
        <w:rPr>
          <w:rFonts w:ascii="Times New Roman" w:cs="Times New Roman" w:eastAsia="Times New Roman" w:hAnsi="Times New Roman"/>
          <w:sz w:val="18"/>
          <w:szCs w:val="18"/>
          <w:u w:val="single" w:color="auto"/>
          <w:color w:val="auto"/>
        </w:rPr>
        <w:t>US Subsidiary</w:t>
      </w:r>
      <w:r>
        <w:rPr>
          <w:rFonts w:ascii="Times New Roman" w:cs="Times New Roman" w:eastAsia="Times New Roman" w:hAnsi="Times New Roman"/>
          <w:sz w:val="18"/>
          <w:szCs w:val="18"/>
          <w:color w:val="auto"/>
        </w:rPr>
        <w:t>”), and amends that certain Purchase and Sale Agreement by and between the Buyer and Holdings, dated as of March 27, 2023, as amended by Amendment No. 1, dated August 12, 2024 and Amendment No. 2, dated July 10, 2025 (as amended, the “</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 and as further amended by this Amendment,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10.3 of the Existing Agreement provides that Holdings as the “Seller” under the Existing Agreement must obtain the prior written consent of Buyer to assign the obligations to make Royalty Payments and the CoC Payment to the US Subsidiary prior to the Closing Date;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Section 10.4 of the Existing Agreement provides that the Existing Agreement may be amended, modified or supplemented only in writing signed by each of the parties to the Existing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good and valuable consideration, the receipt and adequacy of which are hereby acknowledged, the Buyer, Holdings and the US Subsidiary hereby agree as follows:</w:t>
      </w:r>
    </w:p>
    <w:p>
      <w:pPr>
        <w:spacing w:after="0" w:line="176" w:lineRule="exact"/>
        <w:rPr>
          <w:sz w:val="20"/>
          <w:szCs w:val="20"/>
          <w:color w:val="auto"/>
        </w:rPr>
      </w:pPr>
    </w:p>
    <w:p>
      <w:pPr>
        <w:ind w:left="660" w:right="2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that are used in this Amendment have the meaning set forth in the Agreement, unless otherwise defined in this Amendment.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to Amendment</w:t>
      </w:r>
      <w:r>
        <w:rPr>
          <w:rFonts w:ascii="Times New Roman" w:cs="Times New Roman" w:eastAsia="Times New Roman" w:hAnsi="Times New Roman"/>
          <w:sz w:val="18"/>
          <w:szCs w:val="18"/>
          <w:color w:val="auto"/>
        </w:rPr>
        <w:t>. At or prior to the Amendment Date, the Seller shall have paid the Transaction Expenses incurred prior to or on the Amendment Date to the extent invoiced two (2) Business Days prior to the Amendment Date.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Existing Agreement</w:t>
      </w:r>
      <w:r>
        <w:rPr>
          <w:rFonts w:ascii="Times New Roman" w:cs="Times New Roman" w:eastAsia="Times New Roman" w:hAnsi="Times New Roman"/>
          <w:sz w:val="18"/>
          <w:szCs w:val="18"/>
          <w:color w:val="auto"/>
        </w:rPr>
        <w:t xml:space="preserve">. Effective as of the Amendment Date and concurrent with the assignment set forth in Section 4 below, the Existing Agreement is hereby amended to delete all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all </w:t>
      </w:r>
      <w:r>
        <w:rPr>
          <w:rFonts w:ascii="Times New Roman" w:cs="Times New Roman" w:eastAsia="Times New Roman" w:hAnsi="Times New Roman"/>
          <w:sz w:val="18"/>
          <w:szCs w:val="18"/>
          <w:b w:val="1"/>
          <w:bCs w:val="1"/>
          <w:u w:val="single" w:color="auto"/>
          <w:color w:val="0070C0"/>
        </w:rPr>
        <w:t>double-underlined text</w:t>
      </w:r>
      <w:r>
        <w:rPr>
          <w:rFonts w:ascii="Times New Roman" w:cs="Times New Roman" w:eastAsia="Times New Roman" w:hAnsi="Times New Roman"/>
          <w:sz w:val="18"/>
          <w:szCs w:val="18"/>
          <w:color w:val="auto"/>
        </w:rPr>
        <w:t xml:space="preserve"> (indicated textually in the same manner as the following example: double-underlined text) as set forth in the conformed Agreement attached hereto as Exhibit A,</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of the Agreement</w:t>
      </w:r>
      <w:r>
        <w:rPr>
          <w:rFonts w:ascii="Times New Roman" w:cs="Times New Roman" w:eastAsia="Times New Roman" w:hAnsi="Times New Roman"/>
          <w:sz w:val="18"/>
          <w:szCs w:val="18"/>
          <w:color w:val="auto"/>
        </w:rPr>
        <w:t>. Effective as of the Amendment Date and concurrent with the amendment set forth in Section 3 above, Holdings hereby irrevocably assigns to the US Subsidiary, and the US Subsidiary hereby irrevocably assumes from Holdings, all of Holdings’ rights and obligations in its capacity as the “Seller” under the Agreement and any other documents or instruments delivered pursuant thereto. Such assignment is without recourse to the Buyer or Holdings, as the assignor, and, except as expressly provided in the Agreement, without representation or warranty by Holdings.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provisions of this Amendment supersede all provisions of the Existing Agreement that are inconsistent with the provisions of this Amendment. The Existing Agreement, as modified by this Amendment, remains in full force and effect and, with the Exhibits annexed thereto and the Disclosure Schedule constitute the entire understanding between the parties hereto with respect to the subject matter hereof and thereof and supersede all other understandings and negotiations with respect hereto and thereto. Unless the context otherwise requires, the term “Agreement” as used in the Agreement shall be deemed to refer to the Existing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4" w:name="page145"/>
    <w:bookmarkEnd w:id="144"/>
    <w:p>
      <w:pPr>
        <w:jc w:val="both"/>
        <w:ind w:left="652" w:hanging="652"/>
        <w:spacing w:after="0" w:line="266"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exclusively governed by, and construed in accordance with, the laws of the State of New York without giving effect to any choice or conflict of law provision or rule that would cause the application of the laws of any other jurisdiction.</w:t>
      </w:r>
    </w:p>
    <w:p>
      <w:pPr>
        <w:spacing w:after="0" w:line="17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Amendment shall not be deemed a waiver by any party of any of its rights or remedies under the Agreement, except to the extent expressly set forth in this Amendment.</w:t>
      </w:r>
    </w:p>
    <w:p>
      <w:pPr>
        <w:spacing w:after="0" w:line="161" w:lineRule="exact"/>
        <w:rPr>
          <w:rFonts w:ascii="Times New Roman" w:cs="Times New Roman" w:eastAsia="Times New Roman" w:hAnsi="Times New Roman"/>
          <w:sz w:val="18"/>
          <w:szCs w:val="18"/>
          <w:color w:val="auto"/>
        </w:rPr>
      </w:pPr>
    </w:p>
    <w:p>
      <w:pPr>
        <w:jc w:val="both"/>
        <w:ind w:left="652" w:right="20" w:hanging="652"/>
        <w:spacing w:after="0" w:line="258" w:lineRule="auto"/>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145" w:name="page146"/>
    <w:bookmarkEnd w:id="14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and delivered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thereunto duly authorized as of the date first above written.</w:t>
      </w:r>
    </w:p>
    <w:p>
      <w:pPr>
        <w:spacing w:after="0" w:line="1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HOLDINGS: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17145</wp:posOffset>
            </wp:positionV>
            <wp:extent cx="27089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23" w:lineRule="exact"/>
        <w:rPr>
          <w:sz w:val="20"/>
          <w:szCs w:val="20"/>
          <w:color w:val="auto"/>
        </w:rPr>
      </w:pPr>
    </w:p>
    <w:p>
      <w:pPr>
        <w:ind w:left="5260"/>
        <w:spacing w:after="0"/>
        <w:tabs>
          <w:tab w:leader="none" w:pos="58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US SUBSIDIARY:</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Milestone Pharmaceuticals USA, Inc.</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17145</wp:posOffset>
            </wp:positionV>
            <wp:extent cx="27089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23" w:lineRule="exact"/>
        <w:rPr>
          <w:sz w:val="20"/>
          <w:szCs w:val="20"/>
          <w:color w:val="auto"/>
        </w:rPr>
      </w:pPr>
    </w:p>
    <w:p>
      <w:pPr>
        <w:ind w:left="5260"/>
        <w:spacing w:after="0"/>
        <w:tabs>
          <w:tab w:leader="none" w:pos="58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Amendment No. 3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6" w:name="page147"/>
    <w:bookmarkEnd w:id="1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and delivered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thereunto duly authorized as of the date first above written.</w:t>
      </w:r>
    </w:p>
    <w:p>
      <w:pPr>
        <w:spacing w:after="0" w:line="1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BUYER:</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RTW Royalty I DAC</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By:/s/Roderick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32486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Authorized Attorney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3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Purchase and Sale Agreement as amended through Amendment No. 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866140</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48" w:name="page149"/>
    <w:bookmarkEnd w:id="148"/>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As amended by Amendment No.1, Amendment No.2 and Amendment No. 3</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etween</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xml:space="preserve"> USA,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as assignee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RTW R</w:t>
      </w:r>
      <w:r>
        <w:rPr>
          <w:rFonts w:ascii="Times New Roman" w:cs="Times New Roman" w:eastAsia="Times New Roman" w:hAnsi="Times New Roman"/>
          <w:sz w:val="12"/>
          <w:szCs w:val="12"/>
          <w:b w:val="1"/>
          <w:bCs w:val="1"/>
          <w:color w:val="auto"/>
        </w:rPr>
        <w:t>oyalty</w:t>
      </w:r>
      <w:r>
        <w:rPr>
          <w:rFonts w:ascii="Times New Roman" w:cs="Times New Roman" w:eastAsia="Times New Roman" w:hAnsi="Times New Roman"/>
          <w:sz w:val="18"/>
          <w:szCs w:val="18"/>
          <w:b w:val="1"/>
          <w:bCs w:val="1"/>
          <w:color w:val="auto"/>
        </w:rPr>
        <w:t xml:space="preserve"> I DAC</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ated as of</w:t>
      </w:r>
      <w:r>
        <w:rPr>
          <w:rFonts w:ascii="Times New Roman" w:cs="Times New Roman" w:eastAsia="Times New Roman" w:hAnsi="Times New Roman"/>
          <w:sz w:val="18"/>
          <w:szCs w:val="18"/>
          <w:b w:val="1"/>
          <w:bCs w:val="1"/>
          <w:color w:val="auto"/>
        </w:rPr>
        <w:t xml:space="preserve">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911225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9" w:right="9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80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8"/>
        </w:trPr>
        <w:tc>
          <w:tcPr>
            <w:tcW w:w="92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 (Quebec).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SALE AND ASSIGNMENT OF THE REVENUE PARTICIPATION RIGHT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Sale and Assignment.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Assumed Obligations,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CLOSING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 of Sale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Seller’s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Buyer’s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Implied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CONDITIONS TO CLOSING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Buyer’s Obligations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Seller’s Obligations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Meetings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Payments; Royalty Reports; Buy-Back Option.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6.4</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Inspections and Audits of the Seller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6.5</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6.6</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In-Licenses.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6.7</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Licenses; Sales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6.8</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Indebtedness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6.9</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Diligence.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6.10</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Efforts to Consummate Transactions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6.11</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Efforts; Further Assurances.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6.12</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Non-Impairment; Back-Up Security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6.13</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Tax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6.14</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6.15</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Intercompany License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6.16</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Seller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INDEMNIFICATION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73" w:right="99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7.1</w:t>
            </w:r>
          </w:p>
        </w:tc>
        <w:tc>
          <w:tcPr>
            <w:tcW w:w="20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Indemnity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7.2</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Claims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7.3</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7.4</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Liability.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7.5</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Remedy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7.6</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7.7</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8.1</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8.2</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Disclosure.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9.1</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9.2</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upon Failure to Achieve U.S. Marketing Approval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9.3</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Buyer Termination for Unexpected Contraindications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9.4</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Automatic 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Section 9.5</w:t>
            </w:r>
          </w:p>
        </w:tc>
        <w:tc>
          <w:tcPr>
            <w:tcW w:w="2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10.4</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Waiver.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10.5</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10.6</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10.7</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10.8</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Venue.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10.9</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10.10</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10.14</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Recourse and Non-Petition.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10.15</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Subordination of Obligations to Holdings.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11. 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11.1</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11.2</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of Payment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11.3</w:t>
            </w:r>
          </w:p>
        </w:tc>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Limitations,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ectPr>
          <w:pgSz w:w="11900" w:h="16838" w:orient="portrait"/>
          <w:cols w:equalWidth="0" w:num="1">
            <w:col w:w="9920"/>
          </w:cols>
          <w:pgMar w:left="980" w:top="89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type w:val="continuous"/>
        </w:sectPr>
      </w:pPr>
    </w:p>
    <w:bookmarkStart w:id="151" w:name="page152"/>
    <w:bookmarkEnd w:id="151"/>
    <w:tbl>
      <w:tblPr>
        <w:tblLayout w:type="fixed"/>
        <w:tblInd w:w="2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11.5  Agreement To Pay; Subrogation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Subordination.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of Exhibits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Description of Etripamil</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Bill of Sale</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Form of Royalty Report</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Assignment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of Schedules</w:t>
      </w:r>
    </w:p>
    <w:p>
      <w:pPr>
        <w:spacing w:after="0" w:line="22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Schedule 4.1(k)(i)</w:t>
      </w:r>
      <w:r>
        <w:rPr>
          <w:sz w:val="20"/>
          <w:szCs w:val="20"/>
          <w:color w:val="auto"/>
        </w:rPr>
        <w:tab/>
      </w:r>
      <w:r>
        <w:rPr>
          <w:rFonts w:ascii="Times New Roman" w:cs="Times New Roman" w:eastAsia="Times New Roman" w:hAnsi="Times New Roman"/>
          <w:sz w:val="17"/>
          <w:szCs w:val="17"/>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This PURCHASE AND SALE AGREEMENT, dated as of March 27, 2023 (as amended, supplemented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RTW Royalty I DAC, a designated activity company incorporated under the laws of Ireland with registered number 734869 and registered address at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Palmerston House, Denzille Lane, Dublin 2, D02 WD37, Ireland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Milestone Pharmaceuticals USA, Inc., a Delaware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as assignee to Milestone Pharmaceuticals Inc., a Quebec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Holdings.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Seller is in the business of, among other things, developing and commercializing the Product; and WHEREAS, the Buyer desires to purchase the Revenue Participation Right from the Seller in exchange for payment of the Purchase Price, and the Seller desires to sell the Revenue Participation Right to the Buyer in exchange for the Buyer’s payment of the Purchase Price, in each case on the terms and conditions set forth in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terms, as used herein, shall have the following meanings: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Intercreditor Agreement</w:t>
      </w:r>
      <w:r>
        <w:rPr>
          <w:rFonts w:ascii="Times New Roman" w:cs="Times New Roman" w:eastAsia="Times New Roman" w:hAnsi="Times New Roman"/>
          <w:sz w:val="18"/>
          <w:szCs w:val="18"/>
          <w:color w:val="auto"/>
        </w:rPr>
        <w:t>” means an intercreditor agreement on customary terms among the Buyer, the Seller, Holdings and the Senior Debt Provider, to be mutually agreed by the parties thereto.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with respect to any particular Person, any other Person directly or indirectly controlling, controlled by or under common control with such particular Person or (b) with respect to the Buyer, any Person now or hereafter existing that is managed or otherwise controlled by RTW Investments, LP. For purposes of the foregoing sentence, the term “control” means direct or indirect ownership of (i) fifty percent (50%) or more, including ownership by trusts with substantially the same beneficial interests, of the voting and equity rights of such Person, firm, trust, corporation, partnership or other entity or combination thereof, or (ii) the power to direct the management of such person, firm, trust, corporation, partnership or other entity or combination thereof, by contract or otherwise.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means December 12, 2025.</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Indications</w:t>
      </w:r>
      <w:r>
        <w:rPr>
          <w:rFonts w:ascii="Times New Roman" w:cs="Times New Roman" w:eastAsia="Times New Roman" w:hAnsi="Times New Roman"/>
          <w:sz w:val="17"/>
          <w:szCs w:val="17"/>
          <w:color w:val="auto"/>
        </w:rPr>
        <w:t>” means the treatment of paroxysmal supraventricular tachycardia (“</w:t>
      </w:r>
      <w:r>
        <w:rPr>
          <w:rFonts w:ascii="Times New Roman" w:cs="Times New Roman" w:eastAsia="Times New Roman" w:hAnsi="Times New Roman"/>
          <w:sz w:val="17"/>
          <w:szCs w:val="17"/>
          <w:u w:val="single" w:color="auto"/>
          <w:color w:val="auto"/>
        </w:rPr>
        <w:t>PSVT</w:t>
      </w:r>
      <w:r>
        <w:rPr>
          <w:rFonts w:ascii="Times New Roman" w:cs="Times New Roman" w:eastAsia="Times New Roman" w:hAnsi="Times New Roman"/>
          <w:sz w:val="17"/>
          <w:szCs w:val="17"/>
          <w:color w:val="auto"/>
        </w:rPr>
        <w:t>”) in adults with a confirmed diagnosis of PSVT, which may include expected contraindications including but not limited to: hypersensitivity to Etripamil; heart failure</w:t>
      </w:r>
    </w:p>
    <w:p>
      <w:pPr>
        <w:spacing w:after="0" w:line="1" w:lineRule="exact"/>
        <w:rPr>
          <w:sz w:val="20"/>
          <w:szCs w:val="20"/>
          <w:color w:val="auto"/>
        </w:rPr>
      </w:pPr>
    </w:p>
    <w:p>
      <w:pPr>
        <w:jc w:val="both"/>
        <w:ind w:firstLine="8"/>
        <w:spacing w:after="0" w:line="253" w:lineRule="auto"/>
        <w:tabs>
          <w:tab w:leader="none" w:pos="1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NYHA Class II to IV; known Wolff-Parkinson-White (WPW), Lown-Ganong-Levine (LGL) syndromes, sick sinus syndrome (except in patients with a functioning artificial ventricular pacemaker); second degree atrioventricular (AV) Mobitz 2 block and higher; or first degree AV block plus bundle branch block (BBB)/intraventricular conduction delay (IVCD), but shall exclude any and all Unexpected Contraindications.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 is defined in Section 2.1(b).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the occurrence of any of the following in respect of a Person: (a) such Person shall generally not, shall be unable to, or an admission in writing by such Person of its inability to, pay its debts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3" w:name="page154"/>
    <w:bookmarkEnd w:id="153"/>
    <w:p>
      <w:pPr>
        <w:jc w:val="both"/>
        <w:spacing w:after="0" w:line="252" w:lineRule="auto"/>
        <w:rPr>
          <w:sz w:val="20"/>
          <w:szCs w:val="20"/>
          <w:color w:val="auto"/>
        </w:rPr>
      </w:pPr>
      <w:r>
        <w:rPr>
          <w:rFonts w:ascii="Times New Roman" w:cs="Times New Roman" w:eastAsia="Times New Roman" w:hAnsi="Times New Roman"/>
          <w:sz w:val="18"/>
          <w:szCs w:val="18"/>
          <w:color w:val="auto"/>
        </w:rPr>
        <w:t>they 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applicable law relating to bankruptcy, insolvency, examinership, receivership, winding-up, liquidation, reorganization, examination, relief of debtors or other similar applicable law now or hereafter in effect, or seeking, consenting to or acquiescing in the entry of an order for relief in any case under any such applicable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 (a) or clause (b) above; or (d) without the consent or acquiescence of such Person, the commencement of an action seeking entry of an order for relief or approval of a petition for relief or reorganization or any other petition seeking any reorganization, arrangement, composition, readjustment, liquidation, dissolution or other similar relief under any present or future bankruptcy, insolvency or similar applicable law, or the filing of any such petition against such Person, or, without the consent or acquiescence of such Person, the commencement of an action seeking entry of an order appointing a trustee, custodian, receiver or liquidator of such Person or of all or any substantial part of the property of such Person, in each case where such petition or order shall remain unstayed or shall not have been stayed or dismissed within ninety (90) calendar days from entry thereof.</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Laws</w:t>
      </w:r>
      <w:r>
        <w:rPr>
          <w:rFonts w:ascii="Times New Roman" w:cs="Times New Roman" w:eastAsia="Times New Roman" w:hAnsi="Times New Roman"/>
          <w:sz w:val="18"/>
          <w:szCs w:val="18"/>
          <w:color w:val="auto"/>
        </w:rPr>
        <w:t>” means, collectively, bankruptcy, insolvency, reorganization, moratorium, fraudulent conveyance, fraudulent transfer or other similar laws affecting the enforcement of creditors’ rights generally.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New York or Ireland are permitted or required by applicable law or regulation to remain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Buy-Back Option</w:t>
      </w:r>
      <w:r>
        <w:rPr>
          <w:rFonts w:ascii="Times New Roman" w:cs="Times New Roman" w:eastAsia="Times New Roman" w:hAnsi="Times New Roman"/>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Buy-Back Requirement</w:t>
      </w:r>
      <w:r>
        <w:rPr>
          <w:rFonts w:ascii="Times New Roman" w:cs="Times New Roman" w:eastAsia="Times New Roman" w:hAnsi="Times New Roman"/>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is defined in Section 7.1(a).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Representative</w:t>
      </w:r>
      <w:r>
        <w:rPr>
          <w:rFonts w:ascii="Times New Roman" w:cs="Times New Roman" w:eastAsia="Times New Roman" w:hAnsi="Times New Roman"/>
          <w:sz w:val="18"/>
          <w:szCs w:val="18"/>
          <w:color w:val="auto"/>
        </w:rPr>
        <w:t>” means (a) if there is more than one Buyer, one Buyer acting on behalf of all Buyers, as designated in writing from time to time by the Buyers to the Seller, and (b) if there is only one Buyer, the Buyer.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means, for the first calendar quarter, the period beginning on the first day of the calendar quarter in which the Closing Date falls and ending on the last day of such calendar quarter, and thereafter, each successive period of three (3) consecutive calendar months ending on March 31, June 30, September 30 or December 31.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obligations owed by the Seller to any provider of Treasury Management Arrangement pursuant to such arrangement.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one or more of the following: (a) the acquisition, whether directly, indirectly, beneficially or of record, whether by merger, consolidation, sale or other transfer of securities in a single transaction or series of related transactions, by any Person of any voting securities of Holdings, or if the percentage ownership of any Person in the voting securities of Holdings is increased through stock redemption, cancellation, or other recapitalization, and immediately after such acquisition or increase such Person is, directly or indirectly, the beneficial owner of voting securities representing fifty percent (50%) or more of the total voting power of all of the then outstanding voting securities of Holdings; (b) a merger, consolidation, recapitalization, or reorganization of Holdings is consummated that would result in shareholders or equity holders of Holdings immediately prior to such transaction that did not own more than fifty percent (50%) of the outstanding voting securities of Holdings immediately prior to such transaction, owning more than fifty percent (50%) of the outstanding voting securities of the surviving entity (or its parent entity) immediately following such transaction; (c) the sale, lease, transfer, license or other disposition, in a single transaction or series of related transactions, by the Seller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4" w:name="page155"/>
    <w:bookmarkEnd w:id="154"/>
    <w:p>
      <w:pPr>
        <w:jc w:val="both"/>
        <w:spacing w:after="0" w:line="258" w:lineRule="auto"/>
        <w:rPr>
          <w:sz w:val="20"/>
          <w:szCs w:val="20"/>
          <w:color w:val="auto"/>
        </w:rPr>
      </w:pPr>
      <w:r>
        <w:rPr>
          <w:rFonts w:ascii="Times New Roman" w:cs="Times New Roman" w:eastAsia="Times New Roman" w:hAnsi="Times New Roman"/>
          <w:sz w:val="18"/>
          <w:szCs w:val="18"/>
          <w:color w:val="auto"/>
        </w:rPr>
        <w:t>Subsidiary of the Seller of all or substantially all the assets of the Seller and its Subsidiaries taken as a whole, or the sale or disposition (whether by merger, consolidation or otherwise) of one or more Subsidiaries of the Seller if substantially all of the assets of the Seller and its Subsidiaries taken as a whole are held by such Subsidiary or Subsidiaries, except where such sale, lease, transfer, license or other disposition is to a wholly owned Subsidiary of Holdings; and (d) Holdings ceases to own directly or indirectly 100% of outstanding voting securities of the Seller or any successor or assignee of the Seller.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 clinical trial or study intended to support or maintain Marketing Approval or Commercialization of a Product, including post-approval clinical trials or studies.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sale, transfer, assignment and conveyance of the Revenue Participation Right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defined in Section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CMC</w:t>
      </w:r>
      <w:r>
        <w:rPr>
          <w:rFonts w:ascii="Times New Roman" w:cs="Times New Roman" w:eastAsia="Times New Roman" w:hAnsi="Times New Roman"/>
          <w:sz w:val="18"/>
          <w:szCs w:val="18"/>
          <w:color w:val="auto"/>
        </w:rPr>
        <w:t>” means chemistry, manufacturing and controls with respect to a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CoC Agreement</w:t>
      </w:r>
      <w:r>
        <w:rPr>
          <w:rFonts w:ascii="Times New Roman" w:cs="Times New Roman" w:eastAsia="Times New Roman" w:hAnsi="Times New Roman"/>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CoC Date</w:t>
      </w:r>
      <w:r>
        <w:rPr>
          <w:rFonts w:ascii="Times New Roman" w:cs="Times New Roman" w:eastAsia="Times New Roman" w:hAnsi="Times New Roman"/>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CoC Payment</w:t>
      </w:r>
      <w:r>
        <w:rPr>
          <w:rFonts w:ascii="Times New Roman" w:cs="Times New Roman" w:eastAsia="Times New Roman" w:hAnsi="Times New Roman"/>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 Product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4"/>
        <w:spacing w:after="0" w:line="266" w:lineRule="auto"/>
        <w:tabs>
          <w:tab w:leader="none" w:pos="19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pharmaceutical formulation (whether co-formulated or administered together via the same administration route) containing as its active ingredients both a Product and one or more other therapeutically or prophylactically active pharmaceutical or biologic ingredients (each an “Other Component”),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therapy comprised of a Product and one or more Other Component(s), whether priced and sold in a single package containing such multiple products, packaged separately but sold together for a single price, or sold under separate price points but labeled for use together, 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the distribution, marketing, detailing, promotion, selling and securing of reimbursement of a Product (including the using, importing, selling and offering for sale of such Product), and shall include post-Marketing Approval studies to the extent required by a Regulatory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Regulatory Authority, “Commercialization” shall not include any activities directed to the research or development (including pre-clinical and clinical development) or manufacture of a Product.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the level of efforts and resources (measured as of the time that such efforts and resources are required to be used under this Agreement) that are commonly used by a biotechnology company of similar size and resources to Holdings (provided that, for purposes of this definition, such size and resources shall not be less than the size and resources of Holdings as of the Closing Date), to develop, manufacture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5" w:name="page156"/>
    <w:bookmarkEnd w:id="1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commercialize, as the case may be, a comparable product for a comparable clinical indication (with respect to market size and commercial opportunity) at a similar stage in its development or product life and of a similar market and potential to a Product, but without regard to the Seller’s financial obligations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is defined in Section 8.1.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(as defined in Article 9 of the UCC), investment account or other account in which funds are held or invested to or for the credit or account of the Seller.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is defined in Section 8.1.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means the Disclosure Schedule, dated as of the date hereof, delivered to the Buyer by the Seller concurrently with the execution of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 means a Third Party that (a) purchases or has the option to purchase any Product in finished form from or at the direction of the Seller or any of its Affiliates or Licensees, and (b) has the right, option or obligation to distribute, market and sell such Product (with or without packaging rights) in one or more regions, but does not otherwise obtain a license or other rights to Intellectual Property Rights with respect to such Product. The term “packaging rights” in this definition will mean the right for the Distributor to package or have packaged Product supplied in unpackaged bulk form into individual ready-for-sale packs.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 or any successor agency thereto.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Etripamil</w:t>
      </w:r>
      <w:r>
        <w:rPr>
          <w:rFonts w:ascii="Times New Roman" w:cs="Times New Roman" w:eastAsia="Times New Roman" w:hAnsi="Times New Roman"/>
          <w:sz w:val="18"/>
          <w:szCs w:val="18"/>
          <w:color w:val="auto"/>
        </w:rPr>
        <w:t xml:space="preserve">” means the calcium channel blocker referred to by Seller as of the date hereof and as of the Amendment Date as etripamil and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Collateral</w:t>
      </w:r>
      <w:r>
        <w:rPr>
          <w:rFonts w:ascii="Times New Roman" w:cs="Times New Roman" w:eastAsia="Times New Roman" w:hAnsi="Times New Roman"/>
          <w:sz w:val="18"/>
          <w:szCs w:val="18"/>
          <w:color w:val="auto"/>
        </w:rPr>
        <w:t>” means, each of (a) any “intent to use” trademark applications for which a statement of use has not been filed (but only until such statement is filed), (b) equipment, (c) investment property and securities and bank accounts, and (d) any permit, license or agreement entered into by the Seller or Holdings (except the Intercompany License) (i) to the extent that any such permit, license or agreement or any law applicable thereto prohibits the creation of a Lien thereon, but only to the extent, and for as long as, such prohibition is not terminated or rendered unenforceable or otherwise deemed ineffective by the UCC or any other applicable law, or (ii) to the extent that the creation of a Lien in favor of the Buyer would result in a breach or termination pursuant to the terms of or a default under any such permit, license, or agreement (other than to the extent that any such term would be rendered ineffective pursuant to the Sections 9-406, 9-407, 9-408, or 9-409 of the UCC or any other applicable law (including the Bankruptcy Laws) or principles of equity).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Patent Rights</w:t>
      </w:r>
      <w:r>
        <w:rPr>
          <w:rFonts w:ascii="Times New Roman" w:cs="Times New Roman" w:eastAsia="Times New Roman" w:hAnsi="Times New Roman"/>
          <w:sz w:val="18"/>
          <w:szCs w:val="18"/>
          <w:color w:val="auto"/>
        </w:rPr>
        <w:t>” is defined in Section 4.1(k)(i).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FD&amp;C Act</w:t>
      </w:r>
      <w:r>
        <w:rPr>
          <w:rFonts w:ascii="Times New Roman" w:cs="Times New Roman" w:eastAsia="Times New Roman" w:hAnsi="Times New Roman"/>
          <w:sz w:val="18"/>
          <w:szCs w:val="18"/>
          <w:color w:val="auto"/>
        </w:rPr>
        <w:t>” means the United States Federal Food, Drug, and Cosmetic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 “</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means, with respect to a Product, the first sale for use or consumption by an end user of such Product in the Territory after Marketing Approval of such Product has been granted in the Territory.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in effect from time to time.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Sales</w:t>
      </w:r>
      <w:r>
        <w:rPr>
          <w:rFonts w:ascii="Times New Roman" w:cs="Times New Roman" w:eastAsia="Times New Roman" w:hAnsi="Times New Roman"/>
          <w:sz w:val="18"/>
          <w:szCs w:val="18"/>
          <w:color w:val="auto"/>
        </w:rPr>
        <w:t>” is defined in the definition of “Net Sales”.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means any improvement, invention or discovery necessary for the development, manufacture, use, or Commercialization of a Product or primarily directed to a Product (other than with respect to a new composition of matter), including the formulation, or the method of manufacture of a Product.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In-License</w:t>
      </w:r>
      <w:r>
        <w:rPr>
          <w:rFonts w:ascii="Times New Roman" w:cs="Times New Roman" w:eastAsia="Times New Roman" w:hAnsi="Times New Roman"/>
          <w:sz w:val="18"/>
          <w:szCs w:val="18"/>
          <w:color w:val="auto"/>
        </w:rPr>
        <w:t>” means (i)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the research, development, manufacture, use or Commercialization of a Product in the Territory, other than non-exclusive license or other rights ancillary to the provision of services by any Third Party, and (ii) the Intercompany License.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any indebtedness for borrowed money, any obligation evidenced by a note, bond, debenture, or similar instrument, or any guarantee of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is defined in Section 7.2.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Canadian and/or U.S. federal withholding Taxes imposed on or with respect to any payment made by (or on account of any obligation of) the Seller and/or Holdings under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defined in Section 7.2.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Tier Royalty</w:t>
      </w:r>
      <w:r>
        <w:rPr>
          <w:rFonts w:ascii="Times New Roman" w:cs="Times New Roman" w:eastAsia="Times New Roman" w:hAnsi="Times New Roman"/>
          <w:sz w:val="18"/>
          <w:szCs w:val="18"/>
          <w:color w:val="auto"/>
        </w:rPr>
        <w:t>” is defined in the definition of “Royalty Rate.”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Product Rights</w:t>
      </w:r>
      <w:r>
        <w:rPr>
          <w:rFonts w:ascii="Times New Roman" w:cs="Times New Roman" w:eastAsia="Times New Roman" w:hAnsi="Times New Roman"/>
          <w:sz w:val="18"/>
          <w:szCs w:val="18"/>
          <w:color w:val="auto"/>
        </w:rPr>
        <w:t>” means any and all of the following as they exist in the Territory at any time: (a) the Intellectual Property Rights; (b) rights in registered and unregistered trademarks, service marks, trade names, trade dress, logos, packaging design, slogans and Internet domain names, and registrations and applications for registration of any of the foregoing, in each case, that are (i) owned or in-licensed by the Seller or any of its Affiliates and (ii) used by Seller or any of its Affiliates in connection with the development, manufacture, use, or Commercialization of any Product; and (c) any and all other intellectual property rights and/or proprietary rights, whether or not patentable, relating to any of the foregoing, in each case, (i) owned or in-licensed by the Seller or any of its Affiliates (other than software licenses or non-exclusive licenses granted by service providers in connection with the development or manufacture of the Product), and (ii) that are necessary for the development, manufacture, use, or Commercialization of a Product or primarily directed to a Product.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of the following as they exist in the Territory at any time: (a) the Patent Rights and (b) the Know-How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Updates</w:t>
      </w:r>
      <w:r>
        <w:rPr>
          <w:rFonts w:ascii="Times New Roman" w:cs="Times New Roman" w:eastAsia="Times New Roman" w:hAnsi="Times New Roman"/>
          <w:sz w:val="18"/>
          <w:szCs w:val="18"/>
          <w:color w:val="auto"/>
        </w:rPr>
        <w:t>” means an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License</w:t>
      </w:r>
      <w:r>
        <w:rPr>
          <w:rFonts w:ascii="Times New Roman" w:cs="Times New Roman" w:eastAsia="Times New Roman" w:hAnsi="Times New Roman"/>
          <w:sz w:val="18"/>
          <w:szCs w:val="18"/>
          <w:color w:val="auto"/>
        </w:rPr>
        <w:t>” means the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means any judgment, order, writ, injunction, citation, award or decree of any nature.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 Rights</w:t>
      </w:r>
      <w:r>
        <w:rPr>
          <w:rFonts w:ascii="Times New Roman" w:cs="Times New Roman" w:eastAsia="Times New Roman" w:hAnsi="Times New Roman"/>
          <w:sz w:val="18"/>
          <w:szCs w:val="18"/>
          <w:color w:val="auto"/>
        </w:rPr>
        <w:t>” means any and all Know-How owned or in-licensed by the Seller or any of its Affiliates under which the Seller or any of its Affiliates is or may become empowered to grant licenses and are necessary for the development, manufacture, use, or Commercialization of a Product or primarily directed to a Product (other than software licenses or non-exclusive licenses granted by service providers in connection with the development or manufacture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7" w:name="page158"/>
    <w:bookmarkEnd w:id="15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Seller and Holdings</w:t>
      </w:r>
      <w:r>
        <w:rPr>
          <w:rFonts w:ascii="Times New Roman" w:cs="Times New Roman" w:eastAsia="Times New Roman" w:hAnsi="Times New Roman"/>
          <w:sz w:val="18"/>
          <w:szCs w:val="18"/>
          <w:color w:val="auto"/>
        </w:rPr>
        <w:t xml:space="preserve">” means the actual knowledge of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Disclosure Schedule, after reasonable due inquiry.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means, with respect to any Product, a Third Party to whom the Seller or any Affiliate of the Seller has granted a license or sublicense to Commercialize such Product. For clarity, a Distributor shall not be deemed to be a “Licensee.”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Reports</w:t>
      </w:r>
      <w:r>
        <w:rPr>
          <w:rFonts w:ascii="Times New Roman" w:cs="Times New Roman" w:eastAsia="Times New Roman" w:hAnsi="Times New Roman"/>
          <w:sz w:val="18"/>
          <w:szCs w:val="18"/>
          <w:color w:val="auto"/>
        </w:rPr>
        <w:t>” is defined in Section 6.7(c).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participation interest, charge, adverse claim, security interest, encumbrance or restriction of any kind, including any restriction on use, transfer or exercise of any other attribute of ownership of any kind.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Judgments, damages, losses, claims, costs, liabilities and expenses, including reasonable and documented fees and out-of-pocket expenses of counsel.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of Market Exclusivity</w:t>
      </w:r>
      <w:r>
        <w:rPr>
          <w:rFonts w:ascii="Times New Roman" w:cs="Times New Roman" w:eastAsia="Times New Roman" w:hAnsi="Times New Roman"/>
          <w:sz w:val="18"/>
          <w:szCs w:val="18"/>
          <w:color w:val="auto"/>
        </w:rPr>
        <w:t>” shall mean the later to occur of: (a) the expiration of the last-to-expire Valid Claim of a Patent Right covering such Product in the Territory; and (b) the expiry of all Regulatory Exclusivity Periods for such Product in the Territory.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Stock Exchange</w:t>
      </w:r>
      <w:r>
        <w:rPr>
          <w:rFonts w:ascii="Times New Roman" w:cs="Times New Roman" w:eastAsia="Times New Roman" w:hAnsi="Times New Roman"/>
          <w:sz w:val="18"/>
          <w:szCs w:val="18"/>
          <w:color w:val="auto"/>
        </w:rPr>
        <w:t>” means the NYSE, NASDAQ, Tokyo Stock Exchange, Euronext, or the stock exchanges of Toronto, Frankfurt, or London.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Approval</w:t>
      </w:r>
      <w:r>
        <w:rPr>
          <w:rFonts w:ascii="Times New Roman" w:cs="Times New Roman" w:eastAsia="Times New Roman" w:hAnsi="Times New Roman"/>
          <w:sz w:val="18"/>
          <w:szCs w:val="18"/>
          <w:color w:val="auto"/>
        </w:rPr>
        <w:t>” means an NDA approved by the FDA (including accelerated approval). For clarity, “Marketing Approval” shall not include pricing and reimbursement approvals.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Approval Deadline</w:t>
      </w:r>
      <w:r>
        <w:rPr>
          <w:rFonts w:ascii="Times New Roman" w:cs="Times New Roman" w:eastAsia="Times New Roman" w:hAnsi="Times New Roman"/>
          <w:sz w:val="18"/>
          <w:szCs w:val="18"/>
          <w:color w:val="auto"/>
        </w:rPr>
        <w:t>” means 11:59 pm P.T. December 31, 2025.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effect on (i) a Product, (ii) any of the Intellectual Property Rights, including Holdings’ or the Seller’s rights in or to any Intellectual Property Rights, (iii) any Marketing Approval of a Product or the timing thereof, (iv) the legality, validity or enforceability of any provision of this Agreement, (v) the ability of the Seller or Holdings to perform any of its obligations under this Agreement, (vi) the rights or remedies of the Buyer under this Agreement, or (vii) the business of Holdings or its Affiliates; or (b) an adverse effect in any material respect on (i) the timing, duration or amount of the Royalty Payments, or (ii) the Revenue Participation Right, the Product Collateral, or the Back-Up Security Interest.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New Drug Application submitted to the FDA in the United States in accordance with the FD&amp;C Act with respect to a pharmaceutical product.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with respect to each Product, the gross amount invoiced, billed or otherwise recorded for sales of such Product in the Territory by or on behalf of the Seller, its Affiliates, or any Licensee of the Seller or any of the Seller’s Affiliates (each of the foregoing Persons, for purposes of this definition, shall be considered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to a Third Party (including Distributors) in an arms-length transaction (“</w:t>
      </w:r>
      <w:r>
        <w:rPr>
          <w:rFonts w:ascii="Times New Roman" w:cs="Times New Roman" w:eastAsia="Times New Roman" w:hAnsi="Times New Roman"/>
          <w:sz w:val="18"/>
          <w:szCs w:val="18"/>
          <w:u w:val="single" w:color="auto"/>
          <w:color w:val="auto"/>
        </w:rPr>
        <w:t>Gross Sales</w:t>
      </w:r>
      <w:r>
        <w:rPr>
          <w:rFonts w:ascii="Times New Roman" w:cs="Times New Roman" w:eastAsia="Times New Roman" w:hAnsi="Times New Roman"/>
          <w:sz w:val="18"/>
          <w:szCs w:val="18"/>
          <w:color w:val="auto"/>
        </w:rPr>
        <w:t>”), less the following amounts incurred in connection with such Product sales in the Territory, to the extent actually incurred or accrued in accordance with GAAP consistently applied, and not reimbursed by such Third Party, provided that any given amount may be taken as a permitted deduction only once:</w:t>
      </w:r>
    </w:p>
    <w:p>
      <w:pPr>
        <w:spacing w:after="0" w:line="187" w:lineRule="exact"/>
        <w:rPr>
          <w:sz w:val="20"/>
          <w:szCs w:val="20"/>
          <w:color w:val="auto"/>
        </w:rPr>
      </w:pPr>
    </w:p>
    <w:p>
      <w:pPr>
        <w:ind w:left="660" w:firstLine="644"/>
        <w:spacing w:after="0" w:line="282" w:lineRule="auto"/>
        <w:tabs>
          <w:tab w:leader="none" w:pos="19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rebates, chargebacks, quantity, trade and similar discounts, credits and allowances and other price reductions reasonably granted, allowed, incurred or paid in so far as they are applied to sales of a Product;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(including cash, quantity, trade, governmental, and similar discounts), coupons, retroactive price reductions, charge back payments and rebates granted to wholesalers, pharmacies and other retailers, buying groups (including group purchasing organizations), and other purchasers, including trade customers, Third Party payers, pharmacy benefit management companies (or equivalents thereof), health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8" w:name="page159"/>
    <w:bookmarkEnd w:id="158"/>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insurance carriers, health maintenance organizations, managed care organizations or to federal, state and local governments, or to their respective agencies, purchasers or reimbursers (including payments made under the new “Medicare Part D Coverage Gap Discount Program” and the “Annual Fee for Branded Pharmaceutical Manufacturers” specific to a Product), in each case, as applied to sales of a Product and actually given to customers;</w:t>
      </w:r>
    </w:p>
    <w:p>
      <w:pPr>
        <w:spacing w:after="0" w:line="180" w:lineRule="exact"/>
        <w:rPr>
          <w:sz w:val="20"/>
          <w:szCs w:val="20"/>
          <w:color w:val="auto"/>
        </w:rPr>
      </w:pPr>
    </w:p>
    <w:p>
      <w:pPr>
        <w:jc w:val="both"/>
        <w:ind w:left="660" w:firstLine="644"/>
        <w:spacing w:after="0" w:line="282"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credits, adjustments, and allowances, including those granted on account of price adjustments, billing errors, and damage, Product otherwise not in saleable condition, and rejection, return or recall of a Product;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freight, postage, shipping, and insurance costs incurred with respect to the shipment of a Product to customers, in each case if charged and invoiced to the customer;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duties, surcharges and other similar governmental charges incurred in connection with the exportation or importation of a Product to the extent included in the gross amount invoiced;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use, value-added, excise, turnover, inventory and other similar Taxes (excluding income or franchise Taxes of any kind), and that portion of annual fees due under Section 9008 of the United States Patient Protection and Affordable Care Act of 2010 (Pub. L. No. 111-48) and any other fee imposed by any equivalent applicable law, in each of the foregoing cases, that Seller allocates to sales of a Product in accordance with Seller’s standard policies and procedures consistently applied across its products, as adjusted for offsets, rebates and refunds, imposed in connection with the sales of a Product to any Third Party, to the extent such Taxes are not paid by the Third Party;</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copayment waiver amounts and uncollected or uncollectible debt amounts with respect to sales of a Product, provided that, if the debt is thereafter paid, the corresponding amount shall be added to the Net Sales of the period during which it is paid;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customary and documented out-of-pocket amounts directly relating to co-pay programs, bridging programs or other similar patient assistance programs which may be implemented from time to time by the Seller;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or customary deductions taken in the ordinary course of business as permitted in calculating net sales or net revenue (as applicable) under GAAP consistently applied. For the avoidance of doubt, such deductions shall not include any amount that is treated as an operating expense for the U.S. federal income tax purposes.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will include monetary damages, but not punitive damages, recovered by Seller, its Affiliates or Holdings from a Third Party to the extent permitted, and treated as “Net Sales,” under Section 6.5(e)(iii). “Net Sales” shall be consistent with the meaning ascribed to “net sales” for GAAP, provided that, notwithstanding anything to the contrary in this definition, in the case of any sales by any Licensee (or any of its Affiliates or sublicensees), “Net Sales” (including Combination Product allocations in connection with such Net Sales) will be defined in the same manner as such term or comparable term in the applicable license agreement with such Licensee, provided that any such change to the definition of “Net Sales” does not cause a Material Adverse Effect. For clarity, “Net Sales” will not include (i) sales or dispositions for charitable, promotional, pre-clinical, clinical, regulatory, compassionate use, named patient use or indigent or other similar programs, reasonable quantities of Products used as samples, and Products used in the development of Products,</w:t>
      </w:r>
    </w:p>
    <w:p>
      <w:pPr>
        <w:spacing w:after="0" w:line="1" w:lineRule="exact"/>
        <w:rPr>
          <w:sz w:val="20"/>
          <w:szCs w:val="20"/>
          <w:color w:val="auto"/>
        </w:rPr>
      </w:pPr>
    </w:p>
    <w:p>
      <w:pPr>
        <w:jc w:val="both"/>
        <w:ind w:firstLine="8"/>
        <w:spacing w:after="0" w:line="253" w:lineRule="auto"/>
        <w:tabs>
          <w:tab w:leader="none" w:pos="2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dispositions between any of the Related Parties (unless a Related Party is the final end-user of such Product), but will include subsequent sales or dispositions of Products to a non-Related Party, or (iii) any amounts or other consideration received by a Related Party from a Licensee, Distributor, or a non-Related Party in consideration of the grant of a (sub)license or co-promotion or distribution right to such non-Related Party, including any upfront or milestone payments (whether or not such milestones are based on net sales of a Product).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calculating Net Sales, no deduction from Gross Sales may be made with respect to any monies paid or owed by Seller to Holdings pursuant to the Intercompany License, nor any fees or charges paid to Seller or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9" w:name="page160"/>
    <w:bookmarkEnd w:id="159"/>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therewith, including any Taxes or tariffs, except for Taxes and tariffs otherwise deductible under the definition of Net Sales. For clarity, no deductions from Gross Sales are permitted with respect to any charges, costs, fees, payments, or other adverse impacts in any way associated with the Intercompany License.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sales of a Product invoiced in U.S. dollars, Net Sales shall be determined in U.S. dollars. If applicable, with respect to sales of a Product invoiced in a currency other than U.S. dollars, Net Sales shall be determined by converting the currencies at which the sales are made into U.S. dollars, at rates of exchange determined in a manner consistent with Holdings’, the Seller’s or a Licensee’s, as applicable, method for calculating rates of exchange in the preparation of the Seller’s or such Licensee’s annual financial statements in accordance with GAAP consistently applied.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Sales for any Combination Product in the Territory shall be calculated by multiplying actual Net Sales of such Combination Product by the fraction A/(A+B) where “A” is the weighted average invoice price of a Product contained in such Combination Product when sold separately in the Territory during the applicable accounting period in which the sales of the Combination Product were made, and “B” is the combined weighted average invoice prices of all of the Other Components contained in such Combination Product sold separately in the Territory during such same accounting period. If the weighted average invoice price of a Product in the Territory can be determined but combined weighted average invoice prices of all of the Other Components contained in such Combination Product cannot be determined, Net Sales for such Combination Product in the Territory shall be calculated by multiplying actual Net Sales of such Combination Product by the fraction A/C, where “A” is the weighted average invoice price of a Product contained in such Combination Product when sold separately in the Territory during the applicable accounting period in which the sales of the Combination Product were made, and “C” is the weighted average invoice price of such Combination Product sold in the Territory during the applicable accounting period. If a Product contained in such Combination Product is not sold separately in finished form in the Territory but the Other Components included in such Combination Product are sold separately in finished form in the Territory, Net Sales for such Combination Product in the Territory shall be calculated by multiplying actual Net Sales of such Combination Product by the fraction determined by the following formula: one (1) minus (B/C), where “B” is the combined weighted average invoice prices of all of the Other Components contained in such Combination Product when sold separately in the Territory during the applicable accounting period in which the sales of the Combination Product were made and “C” is the weighted average invoice price of such Combination Product sold in the Territory during the applicable accounting period. If neither the Product nor the Other Components contained in such Combination Product is sold separately in finished form in the Territory, the Seller shall determine Net Sales for such Product in good faith based on the relative contribution of such Product and each such Other Component in such Combination Product, and shall take into account in good faith any applicable allocations and calculations that may have been made for the same period in the Territory.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Closing</w:t>
      </w:r>
      <w:r>
        <w:rPr>
          <w:rFonts w:ascii="Times New Roman" w:cs="Times New Roman" w:eastAsia="Times New Roman" w:hAnsi="Times New Roman"/>
          <w:sz w:val="18"/>
          <w:szCs w:val="18"/>
          <w:color w:val="auto"/>
        </w:rPr>
        <w:t>” shall have the meaning ascribed to the term “Closing” set forth in the Note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Closing Date</w:t>
      </w:r>
      <w:r>
        <w:rPr>
          <w:rFonts w:ascii="Times New Roman" w:cs="Times New Roman" w:eastAsia="Times New Roman" w:hAnsi="Times New Roman"/>
          <w:sz w:val="18"/>
          <w:szCs w:val="18"/>
          <w:color w:val="auto"/>
        </w:rPr>
        <w:t>” means the date on which the Note Closing occurs.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means that certain Note Purchase Agreement dated as of the date hereof among Holdings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Orange Book</w:t>
      </w:r>
      <w:r>
        <w:rPr>
          <w:rFonts w:ascii="Times New Roman" w:cs="Times New Roman" w:eastAsia="Times New Roman" w:hAnsi="Times New Roman"/>
          <w:sz w:val="18"/>
          <w:szCs w:val="18"/>
          <w:color w:val="auto"/>
        </w:rPr>
        <w:t>” means the FDA publication “Approved Drug Products with Therapeutic Equivalence Evaluations,” as may be amended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Orange Book Patents</w:t>
      </w:r>
      <w:r>
        <w:rPr>
          <w:rFonts w:ascii="Times New Roman" w:cs="Times New Roman" w:eastAsia="Times New Roman" w:hAnsi="Times New Roman"/>
          <w:sz w:val="18"/>
          <w:szCs w:val="18"/>
          <w:color w:val="auto"/>
        </w:rPr>
        <w:t>” means the Patents listed in the Orange Book by Seller, its Affiliates or Licensees in connection with Etripamil.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Component</w:t>
      </w:r>
      <w:r>
        <w:rPr>
          <w:rFonts w:ascii="Times New Roman" w:cs="Times New Roman" w:eastAsia="Times New Roman" w:hAnsi="Times New Roman"/>
          <w:sz w:val="18"/>
          <w:szCs w:val="18"/>
          <w:color w:val="auto"/>
        </w:rPr>
        <w:t>” is defined in the definition of “Combination Products”. “</w:t>
      </w:r>
      <w:r>
        <w:rPr>
          <w:rFonts w:ascii="Times New Roman" w:cs="Times New Roman" w:eastAsia="Times New Roman" w:hAnsi="Times New Roman"/>
          <w:sz w:val="18"/>
          <w:szCs w:val="18"/>
          <w:u w:val="single" w:color="auto"/>
          <w:color w:val="auto"/>
        </w:rPr>
        <w:t>Other License</w:t>
      </w:r>
      <w:r>
        <w:rPr>
          <w:rFonts w:ascii="Times New Roman" w:cs="Times New Roman" w:eastAsia="Times New Roman" w:hAnsi="Times New Roman"/>
          <w:sz w:val="18"/>
          <w:szCs w:val="18"/>
          <w:color w:val="auto"/>
        </w:rPr>
        <w:t>” is defined in Section 6.7(a).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0" w:name="page161"/>
    <w:bookmarkEnd w:id="1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Out-License</w:t>
      </w:r>
      <w:r>
        <w:rPr>
          <w:rFonts w:ascii="Times New Roman" w:cs="Times New Roman" w:eastAsia="Times New Roman" w:hAnsi="Times New Roman"/>
          <w:sz w:val="18"/>
          <w:szCs w:val="18"/>
          <w:color w:val="auto"/>
        </w:rPr>
        <w:t>” means each license or other agreement between the Seller or any of its Affiliates and any Third Party (other than Distributors) pursuant to which the Seller or any of its Affiliates grants a license, sublicense or other rights to practice any Intellectual Property Right to Commercialize a Product in the Territory.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any and all patents and patent applications existing as of the date of this Agreement and all patent applications filed hereafter,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means any and all Patents owned or in-licensed by the Seller or any of its Affiliates under which the Seller or any of its Affiliates is or may become empowered to grant licenses that covers the composition of matter, method of using or making, delivery systems for, or formulation of the Product, in each case that is necessary or used in the development, manufacture, use, or Commercialization of a Product in the Territory, as well as existing or future Patents covering any Improvements of the foregoing in the Territory.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is defined in the definition of “</w:t>
      </w:r>
      <w:r>
        <w:rPr>
          <w:rFonts w:ascii="Times New Roman" w:cs="Times New Roman" w:eastAsia="Times New Roman" w:hAnsi="Times New Roman"/>
          <w:sz w:val="18"/>
          <w:szCs w:val="18"/>
          <w:u w:val="single" w:color="auto"/>
          <w:color w:val="auto"/>
        </w:rPr>
        <w:t>Restricted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License</w:t>
      </w:r>
      <w:r>
        <w:rPr>
          <w:rFonts w:ascii="Times New Roman" w:cs="Times New Roman" w:eastAsia="Times New Roman" w:hAnsi="Times New Roman"/>
          <w:sz w:val="18"/>
          <w:szCs w:val="18"/>
          <w:color w:val="auto"/>
        </w:rPr>
        <w:t>” is defined in Section 6.7(a).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the following:</w:t>
      </w:r>
    </w:p>
    <w:p>
      <w:pPr>
        <w:spacing w:after="0" w:line="225" w:lineRule="exact"/>
        <w:rPr>
          <w:sz w:val="20"/>
          <w:szCs w:val="20"/>
          <w:color w:val="auto"/>
        </w:rPr>
      </w:pPr>
    </w:p>
    <w:p>
      <w:pPr>
        <w:jc w:val="both"/>
        <w:ind w:left="660" w:right="20" w:firstLine="644"/>
        <w:spacing w:after="0" w:line="266"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Liens of carriers, warehousemen, mechanics, materialmen and suppliers and other Liens imposed by law or pursuant to customary reservations or retentions of title arising in the ordinary course of business, provided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any judgment rendered or claim filed against the Seller or Holdings, which the Seller, Holdings or others on its behalf shall be contesting diligently and in good faith by proper legal proceedings, provided the action to enforce the same has not proceeded to final non-appealable judgment and adequate provision has been made for the payment thereof in accordance with GAAP and in a manner acceptable to the Buyer;</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of such property, provided that such liens were in existence prior to such acquisition and not incurred in contemplation thereof;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Licenses, including any interest or title of a licensee under a Permitted License;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the Collateral Documents (as defined under the Note Purchase Agreement) or otherwise securing the obligations of Holdings and its Subsidiaries under the Note Purchase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1" w:name="page162"/>
    <w:bookmarkEnd w:id="161"/>
    <w:p>
      <w:pPr>
        <w:jc w:val="both"/>
        <w:ind w:left="660" w:firstLine="64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arising or potentially arising under statutory provisions which have not at the time been filed or registered in accordance with applicable law or of which written notice has not been duly given in accordance with applicable law or which, although filed or registered, relate to obligations not due or delinquent;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indemnity and performance bonds and other obligations of a like nature incurred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leases or subleases granted to others in the ordinary course of business and not interfering in any material respect with the Revenue Participation Right, the Product Rights, the Product Collateral, or the Back-Up Security Interest;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of title of a lessor under, and Liens arising from any protective UCC financing statements (or equivalent filings, registrations or agreements in foreign jurisdictions) relating to, leases permitted by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banker’s Liens and rights of setoff upon deposits of cash and securities in favor of banks or other depository institutions;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4-210 of the UCC on items in the course of collection;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securing obligations in respect of bankers’ acceptances issued or created to facilitate the purchase, shipment or storage of such inventory or other goods;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 duties in connection with the importation of goods in the ordinary course;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of sellers of goods to Holdings and any of its Subsidiaries arising under Article 2 of the UCC or similar provisions of applicable law in the ordinary course of business, covering only the goods sold and securing only the unpaid purchase price for such goods and related expenses;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rights of setoff in favor of counterparties to contractual agreements;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Indebtedness (to the extent permitted to be secured pursuant to the definition thereof); provided that the Permitted Indebtedness in clauses (a) and (d) shall be secured solely by cash and cash equivalents, clause (b) shall only be secured by the assets financed by such Indebtedness, and, with respect to any such Permitted Indebtedness provided by any Senior Debt Providers, the requirements of Section 6.8 are satisfied.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Out-License</w:t>
      </w:r>
      <w:r>
        <w:rPr>
          <w:rFonts w:ascii="Times New Roman" w:cs="Times New Roman" w:eastAsia="Times New Roman" w:hAnsi="Times New Roman"/>
          <w:sz w:val="18"/>
          <w:szCs w:val="18"/>
          <w:color w:val="auto"/>
        </w:rPr>
        <w:t>” is defined in Section 6.7(a).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company, partnership, limited liability company, trust, joint venture, association, estate, trust, Governmental Entity or other entity, enterprise, association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prime rate published by The Wall Street Journal, from time to time, as the prime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individually and collectively, (a) Etripamil, (b) any radioisomer, stereoisomer, racemates, solvates, salt forms, bases, anhydrides, hydrates, polymorphs, metabolites, ester forms, deuterated forms or pro-drugs of such compound, and (c) any pharmaceutical product that contains any of the foregoing, in each case in any form, formulation, dosing regimen, strength, or route of administration.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Collateral</w:t>
      </w:r>
      <w:r>
        <w:rPr>
          <w:rFonts w:ascii="Times New Roman" w:cs="Times New Roman" w:eastAsia="Times New Roman" w:hAnsi="Times New Roman"/>
          <w:sz w:val="18"/>
          <w:szCs w:val="18"/>
          <w:color w:val="auto"/>
        </w:rPr>
        <w:t>” means the Seller’s or any of its Affiliates’ right, title and interest in (a) all Products (including all inventory of all Products), (b) the Product Rights owned, in-licensed or otherwise held by the Seller or its Affiliates, and (c) any proceeds from either (a) or (b), including all accounts receivable and general intangibles resulting from the sale, license or other disposition of any Products by a Related Party in the Territory. Notwithstanding the foregoing, “Product Collateral” shall not include any Excluded Collateral.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Rights</w:t>
      </w:r>
      <w:r>
        <w:rPr>
          <w:rFonts w:ascii="Times New Roman" w:cs="Times New Roman" w:eastAsia="Times New Roman" w:hAnsi="Times New Roman"/>
          <w:sz w:val="18"/>
          <w:szCs w:val="18"/>
          <w:color w:val="auto"/>
        </w:rPr>
        <w:t>” means any and all of the following, as they exist in the Territory (a) Intellectual Property Product Rights, (b) regulatory filings, submissions and approvals, including Marketing Approvals, with or from any Regulatory Authorities with respect to the Products, (c) In-Licenses and (d) Out-Licenses.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PSVT</w:t>
      </w:r>
      <w:r>
        <w:rPr>
          <w:rFonts w:ascii="Times New Roman" w:cs="Times New Roman" w:eastAsia="Times New Roman" w:hAnsi="Times New Roman"/>
          <w:sz w:val="18"/>
          <w:szCs w:val="18"/>
          <w:color w:val="auto"/>
        </w:rPr>
        <w:t>” is defined in the definition of “Approved Indication.”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is defined in Section 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Buyer</w:t>
      </w:r>
      <w:r>
        <w:rPr>
          <w:rFonts w:ascii="Times New Roman" w:cs="Times New Roman" w:eastAsia="Times New Roman" w:hAnsi="Times New Roman"/>
          <w:sz w:val="18"/>
          <w:szCs w:val="18"/>
          <w:color w:val="auto"/>
        </w:rPr>
        <w:t>” means any global pharmaceutical company with (a) a market capitalization greater than [***] for [***] trading days on a Major Stock Exchange, or (b) annual net revenue greater than [***], in each case ((a) and (b)), measured as of the date the definitive agreement for such Change of Control is executed.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is defined in Section 8.1.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any national or supranational Governmental Entity, including the FDA, or such equivalent regulatory authority, or any successor agency thereto, that has responsibility in granting a Marketing Approval.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Exclusivity Period</w:t>
      </w:r>
      <w:r>
        <w:rPr>
          <w:rFonts w:ascii="Times New Roman" w:cs="Times New Roman" w:eastAsia="Times New Roman" w:hAnsi="Times New Roman"/>
          <w:sz w:val="18"/>
          <w:szCs w:val="18"/>
          <w:color w:val="auto"/>
        </w:rPr>
        <w:t>” shall mean, with respect to a Product in the Territory, any period of data, market or other regulatory exclusivity (other than Patent exclusivity) granted or afforded by law or by a Regulatory Authority in the Territory that confers exclusive marketing rights with respect to such Product in the Territory or prevents another party from using or otherwise relying on any data supporting the Marketing Approval for such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Updates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is defined in the definition of “Net Sales.”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Event</w:t>
      </w:r>
      <w:r>
        <w:rPr>
          <w:rFonts w:ascii="Times New Roman" w:cs="Times New Roman" w:eastAsia="Times New Roman" w:hAnsi="Times New Roman"/>
          <w:sz w:val="18"/>
          <w:szCs w:val="18"/>
          <w:color w:val="auto"/>
        </w:rPr>
        <w:t>” means the earliest of the following dates: (a) the date on which the aggregate amount of all Royalty Payments received by the Buyer from the Seller equals at least [***], (b) the date of consummation of a Change of Control with a Qualified Buyer and (c) the date on which Holdings’ market capitalization is at least [***] for [***] trading days on a Major Stock Exchange.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is defined in Section 6.1.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Date</w:t>
      </w:r>
      <w:r>
        <w:rPr>
          <w:rFonts w:ascii="Times New Roman" w:cs="Times New Roman" w:eastAsia="Times New Roman" w:hAnsi="Times New Roman"/>
          <w:sz w:val="18"/>
          <w:szCs w:val="18"/>
          <w:color w:val="auto"/>
        </w:rPr>
        <w:t>” means, for each Calendar Quarter, the earlier of (a) forty-five (45) calendar days after the end of such Calendar Quarter (in the case of the first three Calendar Quarters of any calendar year) or ninety (90) calendar days after the end of such Calendar Quarter (in the case of the fourth Calendar Quarter of any calendar year), and (b) five (5) Business Days after the earlier of (X) the date that Holdings has filed with the SEC its Form 10-Q or Form 10-K, as applicable, for the immediately preceding Calendar Quarter, and (Y) the filing due date for such Form 10-Q or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3" w:name="page164"/>
    <w:bookmarkEnd w:id="1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Indebtedness</w:t>
      </w:r>
      <w:r>
        <w:rPr>
          <w:rFonts w:ascii="Times New Roman" w:cs="Times New Roman" w:eastAsia="Times New Roman" w:hAnsi="Times New Roman"/>
          <w:sz w:val="18"/>
          <w:szCs w:val="18"/>
          <w:color w:val="auto"/>
        </w:rPr>
        <w:t>” mean any financing or factoring of royalties on the Products, or any Indebtedness, in each case other than the following (collectively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Note Purchase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date hereof and disclosed to the Buyer on Schedule A of the Disclosure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the ordinary course of business consisting of capitalized lease obligations and purchase money Indebtedness, in each case incurred to finance the acquisition, repair, improvement or construction of fixed or capital assets of Holdings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total of all such Indebtedness for Holdings and its Subsidiaries taken together shall not exceed an aggregate principal amount of [***] at any one time outstanding. For the avoidance of doubt, leases that would have been treated as operating leases prior to the adoption of Accounting Standards Codification 842 will not be deemed to constitute as “Restricted Indebtedness”;</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revolving line of credit (which may be first lien senior secured) in an aggregate principal amount not to exceed [***] at any time;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bankers’ acceptances, guarantees or other similar instruments or obligations issued or relating to liabilities or obligations incurred in the ordinary course of business; provided that the aggregate outstanding amount of such letters of credit, bankers’ acceptances, guarantees or other similar instruments or other obligations issued thereunder shall not exceed [***] at any time outstanding;</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between or among Holdings and any of its Subsidiaries, including, without limitation, any intercompany obligations incurred pursuant to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owed to any Person providing property, casualty, liability, or other insurance to Holdings or any of its Subsidiaries,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under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 and other Indebtedness in respect of netting services, automatic clearinghouse arrangements, overdraft protections, employee credit card programs and other cash management and similar arrangements in the ordinary course of business or the honoring by a bank or other financial institution of a check, draft, or similar instrument drawn against insufficient funds in the ordinary course of business;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Indebtedness set forth in clauses (i) through (k) above, provided that the principal amount thereof is not increased and the terms thereof are not modified to impose materially more burdensome terms upon Holdings or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4" w:name="page165"/>
    <w:bookmarkEnd w:id="1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Participation Right</w:t>
      </w:r>
      <w:r>
        <w:rPr>
          <w:rFonts w:ascii="Times New Roman" w:cs="Times New Roman" w:eastAsia="Times New Roman" w:hAnsi="Times New Roman"/>
          <w:sz w:val="18"/>
          <w:szCs w:val="18"/>
          <w:color w:val="auto"/>
        </w:rPr>
        <w:t>” means the right to receive the Royalty Payments. “</w:t>
      </w: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means, for each Calendar Quarter, an amount equal to the aggregate Net Sales of Products in the Territory during such Calendar Quarter multiplied by the applicable Royalty Rate.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Rate</w:t>
      </w:r>
      <w:r>
        <w:rPr>
          <w:rFonts w:ascii="Times New Roman" w:cs="Times New Roman" w:eastAsia="Times New Roman" w:hAnsi="Times New Roman"/>
          <w:sz w:val="18"/>
          <w:szCs w:val="18"/>
          <w:color w:val="auto"/>
        </w:rPr>
        <w:t>” means the percentage based on the applicable level of aggregate Net Sales of Products in the Territory in a calendar year as set forth in the chart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Payment Tiers based on Annual Net Sales</w:t>
            </w:r>
          </w:p>
        </w:tc>
        <w:tc>
          <w:tcPr>
            <w:tcW w:w="466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Royalty Rate</w:t>
            </w:r>
          </w:p>
        </w:tc>
      </w:tr>
      <w:tr>
        <w:trPr>
          <w:trHeight w:val="169"/>
        </w:trPr>
        <w:tc>
          <w:tcPr>
            <w:tcW w:w="526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A. Annual Net Sales less than or equal to</w:t>
            </w:r>
          </w:p>
        </w:tc>
        <w:tc>
          <w:tcPr>
            <w:tcW w:w="466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rPr>
              <w:t>7.0% (the “Initial Tier Royalty”)</w:t>
            </w:r>
          </w:p>
        </w:tc>
      </w:tr>
      <w:tr>
        <w:trPr>
          <w:trHeight w:val="237"/>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$500,000,000</w:t>
            </w:r>
          </w:p>
        </w:tc>
        <w:tc>
          <w:tcPr>
            <w:tcW w:w="1980" w:type="dxa"/>
            <w:vAlign w:val="bottom"/>
            <w:tcBorders>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91"/>
        </w:trPr>
        <w:tc>
          <w:tcPr>
            <w:tcW w:w="5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 Annual Net Sales greater than $500,000,000 and less than or equal</w:t>
            </w:r>
          </w:p>
        </w:tc>
        <w:tc>
          <w:tcPr>
            <w:tcW w:w="3360" w:type="dxa"/>
            <w:vAlign w:val="bottom"/>
            <w:gridSpan w:val="2"/>
          </w:tcPr>
          <w:p>
            <w:pPr>
              <w:jc w:val="center"/>
              <w:ind w:left="1190"/>
              <w:spacing w:after="0" w:line="191" w:lineRule="exact"/>
              <w:rPr>
                <w:sz w:val="20"/>
                <w:szCs w:val="20"/>
                <w:color w:val="auto"/>
              </w:rPr>
            </w:pPr>
            <w:r>
              <w:rPr>
                <w:rFonts w:ascii="Times New Roman" w:cs="Times New Roman" w:eastAsia="Times New Roman" w:hAnsi="Times New Roman"/>
                <w:sz w:val="18"/>
                <w:szCs w:val="18"/>
                <w:color w:val="auto"/>
                <w:w w:val="95"/>
              </w:rPr>
              <w:t>4.0%</w:t>
            </w:r>
          </w:p>
        </w:tc>
        <w:tc>
          <w:tcPr>
            <w:tcW w:w="1300" w:type="dxa"/>
            <w:vAlign w:val="bottom"/>
            <w:tcBorders>
              <w:right w:val="single" w:sz="8" w:color="auto"/>
            </w:tcBorders>
          </w:tcPr>
          <w:p>
            <w:pPr>
              <w:spacing w:after="0"/>
              <w:rPr>
                <w:sz w:val="16"/>
                <w:szCs w:val="16"/>
                <w:color w:val="auto"/>
              </w:rPr>
            </w:pPr>
          </w:p>
        </w:tc>
      </w:tr>
      <w:tr>
        <w:trPr>
          <w:trHeight w:val="234"/>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$800,000,000</w:t>
            </w:r>
          </w:p>
        </w:tc>
        <w:tc>
          <w:tcPr>
            <w:tcW w:w="1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 Annual Net Sales greater than $800,000,000</w:t>
            </w:r>
          </w:p>
        </w:tc>
        <w:tc>
          <w:tcPr>
            <w:tcW w:w="336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5"/>
              </w:rPr>
              <w:t>1.0%</w:t>
            </w:r>
          </w:p>
        </w:tc>
        <w:tc>
          <w:tcPr>
            <w:tcW w:w="13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provided that, if annual Net Sales of Products do not equal at least Fifty Million Dollars ($50,000,000) for calendar year 2025, One Hundred Million Dollars ($100,000,000) for calendar year 2026, or One Hundred Fifty Million Dollars ($150,000,000) for calendar year 2027 (each such threshold, a “</w:t>
      </w:r>
      <w:r>
        <w:rPr>
          <w:rFonts w:ascii="Times New Roman" w:cs="Times New Roman" w:eastAsia="Times New Roman" w:hAnsi="Times New Roman"/>
          <w:sz w:val="18"/>
          <w:szCs w:val="18"/>
          <w:u w:val="single" w:color="auto"/>
          <w:color w:val="auto"/>
        </w:rPr>
        <w:t>Sales Threshold</w:t>
      </w:r>
      <w:r>
        <w:rPr>
          <w:rFonts w:ascii="Times New Roman" w:cs="Times New Roman" w:eastAsia="Times New Roman" w:hAnsi="Times New Roman"/>
          <w:sz w:val="18"/>
          <w:szCs w:val="18"/>
          <w:color w:val="auto"/>
        </w:rPr>
        <w:t>”), the Initial Tier Royalty will increase to 9.5% beginning on January 1 of the following calendar year until a subsequent Sales Threshold is attained, at which time the Initial Tier Royalty would revert to seven percent (7.0%) beginning January 1 of the following calendar year; provided that, for any calendar year after calendar year 2027, if annual Net Sales equals or exceeds Five Hundred Million Dollars ($500,000,000), then the Initial Tier Royalty will revert to seven percent (7.0%) beginning January 1 of the following calendar year. For clarity, (a) if Net Sales of Products for calendar year 2025 are less than Fifty Million Dollars ($50,000,000), then the Initial Tier Royalty would increase to 9.5% for all Net Sales of Products on or after January 1, 2026 until a subsequent Sales Threshold is attained; (b) if the Sales Threshold for calendar year 2027 is not attained then the Initial Tier Royalty will increase to 9.5% until January 1 of the calendar year following a calendar year in which the Seller has achieved Net Sales equal to or exceeding Five Hundred Million Dollars ($500,000,000); (c) the Initial Tier Royalty will not exceed 9.5%, regardless of how many of the Sales Thresholds fail to be met; and (d) once a Sales Threshold is met, the Initial Tier Royalty will revert to seven percent (7.0%) beginning January 1 of the following calendar year.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Royalty Rates above are incremental rates, which apply only for the respective increment of annual Net Sales described in the “Payment Tiers based on Annual Net Sales” column.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Report</w:t>
      </w:r>
      <w:r>
        <w:rPr>
          <w:rFonts w:ascii="Times New Roman" w:cs="Times New Roman" w:eastAsia="Times New Roman" w:hAnsi="Times New Roman"/>
          <w:sz w:val="18"/>
          <w:szCs w:val="18"/>
          <w:color w:val="auto"/>
        </w:rPr>
        <w:t>” is defined in Section 6.2(b).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means any sale, transfer, assignment or other disposition, not constituting an Out-License or Other License, of any material development, manufacturing, or Commercialization rights relating to Etripamil in the Territory, excluding for all purposes hereunder a Change of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Threshold</w:t>
      </w:r>
      <w:r>
        <w:rPr>
          <w:rFonts w:ascii="Times New Roman" w:cs="Times New Roman" w:eastAsia="Times New Roman" w:hAnsi="Times New Roman"/>
          <w:sz w:val="18"/>
          <w:szCs w:val="18"/>
          <w:color w:val="auto"/>
        </w:rPr>
        <w:t>” is defined in the definition of “Net Sales”.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Certificate</w:t>
      </w:r>
      <w:r>
        <w:rPr>
          <w:rFonts w:ascii="Times New Roman" w:cs="Times New Roman" w:eastAsia="Times New Roman" w:hAnsi="Times New Roman"/>
          <w:sz w:val="18"/>
          <w:szCs w:val="18"/>
          <w:color w:val="auto"/>
        </w:rPr>
        <w:t>” is defined in Section 5.1(i)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is defined in Section 7.1(b)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Debt Provider</w:t>
      </w:r>
      <w:r>
        <w:rPr>
          <w:rFonts w:ascii="Times New Roman" w:cs="Times New Roman" w:eastAsia="Times New Roman" w:hAnsi="Times New Roman"/>
          <w:sz w:val="18"/>
          <w:szCs w:val="18"/>
          <w:color w:val="auto"/>
        </w:rPr>
        <w:t>” means, collectively, the lenders or providers (or its or their agents or representatives, as applicable) of Permitted Indebtedness secured by Lien(s) on any of the Product Collateral that enter into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Acceptable Intercreditor Agreement executed and delivered by the Buyer, the Seller. Holdings and the applicable Senior Debt Provider.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Discharge Event</w:t>
      </w:r>
      <w:r>
        <w:rPr>
          <w:rFonts w:ascii="Times New Roman" w:cs="Times New Roman" w:eastAsia="Times New Roman" w:hAnsi="Times New Roman"/>
          <w:sz w:val="18"/>
          <w:szCs w:val="18"/>
          <w:color w:val="auto"/>
        </w:rPr>
        <w:t>” is defined in Section 10.15.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is defined in Section 10.15.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that (a) the fair saleable value of the Seller’s and Holdings’ consolidated assets is greater than the sum of its debts, liabilities and other obligations, including known contingent liabilities, (b) the present fair saleable value of the Seller’s and Holdings’ consolidated assets is greater than the amount that would be required to pay its liabilities on its existing debts, liabilities and other obligations, including known contingent liabilities, as they become absolute and matured, (c) each of the Seller and Holdings is able to realize upon its assets and pay its debts, liabilities and other obligations, including known contingent obligations, as they mature,</w:t>
      </w:r>
    </w:p>
    <w:p>
      <w:pPr>
        <w:spacing w:after="0" w:line="3" w:lineRule="exact"/>
        <w:rPr>
          <w:sz w:val="20"/>
          <w:szCs w:val="20"/>
          <w:color w:val="auto"/>
        </w:rPr>
      </w:pPr>
    </w:p>
    <w:p>
      <w:pPr>
        <w:jc w:val="both"/>
        <w:ind w:firstLine="8"/>
        <w:spacing w:after="0" w:line="252" w:lineRule="auto"/>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Holdings has any present plans or intentions to incur, debts or other obligations or liabilities beyond their abilities to pay such debts or other obligations or liabilities as they become absolute and matured, (e) neither the Seller nor Holdings has become subject to any Bankruptcy Event, (f) neither the Seller nor Holdings has been rendered insolvent within the meaning of any applicable law, and (g) no step has been taken or is intended by the Seller or Holdings or, to the Knowledge of the Seller and Holdings, any other Person to make the Seller or Holdings subject to a Bankruptcy Event. For purposes of this definition,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and all corporations, partnerships, limited liability companies, joint ventures, associations and other entities controlled (by contract or otherwise) by Holdings directly or indirectly through one or more intermediaries. For purposes hereof, Holdings shall be deemed to control a partnership, limited liability company, association or other business entity if Holdings,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 Unless specified otherwise, as used herein, a Subsidiary shall mean a Subsidiary of Holdings, which shall include the Seller.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Obligations</w:t>
      </w:r>
      <w:r>
        <w:rPr>
          <w:rFonts w:ascii="Times New Roman" w:cs="Times New Roman" w:eastAsia="Times New Roman" w:hAnsi="Times New Roman"/>
          <w:sz w:val="18"/>
          <w:szCs w:val="18"/>
          <w:color w:val="auto"/>
        </w:rPr>
        <w:t>” is defined in Section 10.15.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that is not the Seller or the Seller’s Affiliates.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Note Purchase Agreement, any security documents contemplated under the Note Purchase Agreement, and any other ancillary agreement or transaction document contemplated by this Agreement or the Note Purchase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the aggregate amount of any and all documented out-of-pocket fees and expenses reasonably incurred by or on behalf of, or paid directly by, the Buyer in connection with the transactions contemplated hereby, including diligence and the negotiation, preparation, and execution of the Transaction Documents, and the consummation of the transactions contemplated hereby; [***].</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Arrangement</w:t>
      </w:r>
      <w:r>
        <w:rPr>
          <w:rFonts w:ascii="Times New Roman" w:cs="Times New Roman" w:eastAsia="Times New Roman" w:hAnsi="Times New Roman"/>
          <w:sz w:val="18"/>
          <w:szCs w:val="18"/>
          <w:color w:val="auto"/>
        </w:rPr>
        <w:t>” means any agreement or other arrangement governing the provision of treasury or cash management services, including Deposit Accounts, investment accounts or other accounts in which funds are held or invested to or for the credit or account of Holdings or any of its Subsidiaries, netting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6" w:name="page167"/>
    <w:bookmarkEnd w:id="166"/>
    <w:p>
      <w:pPr>
        <w:jc w:val="both"/>
        <w:spacing w:after="0" w:line="266" w:lineRule="auto"/>
        <w:rPr>
          <w:sz w:val="20"/>
          <w:szCs w:val="20"/>
          <w:color w:val="auto"/>
        </w:rPr>
      </w:pPr>
      <w:r>
        <w:rPr>
          <w:rFonts w:ascii="Times New Roman" w:cs="Times New Roman" w:eastAsia="Times New Roman" w:hAnsi="Times New Roman"/>
          <w:sz w:val="18"/>
          <w:szCs w:val="18"/>
          <w:color w:val="auto"/>
        </w:rPr>
        <w:t>overdraft, credit or debit card, funds transfer, automated clearinghouse, zero balance accounts, returned check concentration, controlled disbursement, lockbox, account reconciliation and reporting, direct debit, cash concentration, trade finance services, payment processors, and other cash management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Unexpected Contraindications</w:t>
      </w:r>
      <w:r>
        <w:rPr>
          <w:rFonts w:ascii="Times New Roman" w:cs="Times New Roman" w:eastAsia="Times New Roman" w:hAnsi="Times New Roman"/>
          <w:sz w:val="18"/>
          <w:szCs w:val="18"/>
          <w:color w:val="auto"/>
        </w:rPr>
        <w:t>” means (a) any contraindications for Etripamil’s use in the combined group of patients taking calcium channel blockers or beta blockers, or (b) other contraindications or limitations that, taken as a whole, would have a similar impact on the total addressable market for Etripamil in the Territory as the contraindications described in clause (a), in each case of (a) and (b), to the extent set forth in the approved label in connection with U.S. Marketing Approval.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Marketing Approval</w:t>
      </w:r>
      <w:r>
        <w:rPr>
          <w:rFonts w:ascii="Times New Roman" w:cs="Times New Roman" w:eastAsia="Times New Roman" w:hAnsi="Times New Roman"/>
          <w:sz w:val="18"/>
          <w:szCs w:val="18"/>
          <w:color w:val="auto"/>
        </w:rPr>
        <w:t>” is defined in Section 5.1(a)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 Financing Statements</w:t>
      </w:r>
      <w:r>
        <w:rPr>
          <w:rFonts w:ascii="Times New Roman" w:cs="Times New Roman" w:eastAsia="Times New Roman" w:hAnsi="Times New Roman"/>
          <w:sz w:val="18"/>
          <w:szCs w:val="18"/>
          <w:color w:val="auto"/>
        </w:rPr>
        <w:t>” means the UCC-1 financing statements or equivalent in the applicable jurisdiction, in form and substance reasonably satisfactory to the Buyer and the Seller, that shall be filed by the Buyer, with the assistance of the Seller as reasonably requested by the Buyer, at or promptly following the Closing, as well as any additional UCC-1 financing statements or amendments thereto as reasonably requested from time to time, to perfect the Buyer’s ownership interest in the Revenue Participation Right and the Buyer’s Back-up Security Interest in the Revenue Participation Right and Product Collateral.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shall mean: (a) any claim of an issued and unexpired Patent included within the Patent Rights, that shall not have been withdrawn, lapsed, abandoned, revoked, canceled or disclaimed, or held invalid or unenforceable by a court, Governmental Entity, national or regional patent office or other appropriate body that has competent jurisdiction in a decision being final and unappealable or unappealed within the time allowed for appeal; and (b) a claim of a pending Patent application included within the Patent Rights that is filed and being prosecuted in good faith and that has not been finally abandoned or finally rejected and which has been pending for no more than seven (7) years from the date of filing of the earliest Patent application to which such pending Patent application claims priority.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Action</w:t>
      </w:r>
      <w:r>
        <w:rPr>
          <w:rFonts w:ascii="Times New Roman" w:cs="Times New Roman" w:eastAsia="Times New Roman" w:hAnsi="Times New Roman"/>
          <w:sz w:val="18"/>
          <w:szCs w:val="18"/>
          <w:color w:val="auto"/>
        </w:rPr>
        <w:t>” means (a) a permitted assignment of this Agreement (in whole or in part) by the Buyer to an Affiliate or a Third Party resident in a different jurisdiction; but excluding, in each case, any assignment of this Agreement by the Buyer to an Affiliate of the Buyer or RTW Investments, LP that provides the documentation described in clauses (c)(i) and/or (c)(ii), as applicable; (b) a redomiciliation of Buyer to a jurisdiction other than Ireland; and (c) a failure to deliver, prior to the Closing, either (i) (x) an IRS Form W-9 or (y) an IRS Form W-8BEN-E certifying that it is exempt from U.S. federal withholding Tax in respect of all payments with respect to the Revenue Participation Right under the tax treaty between the United States and Ireland; or (ii) an IRS Form W-8IMY, accompanied by IRS Form(s) W-8BEN-E certifying that the applicable beneficial owner(s) is/are exempt from U.S. federal withholding Tax in respect of all payments with respect to the Revenue Participation Right under an applicable United States income Tax treaty or IRS Form(s) W-9, from the applicable beneficial owner(s), as applicable.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Interpretations. Except where expressly stated otherwise in this Agreement, the following rules of interpretation apply to this Agreement:</w:t>
      </w:r>
    </w:p>
    <w:p>
      <w:pPr>
        <w:spacing w:after="0" w:line="162" w:lineRule="exact"/>
        <w:rPr>
          <w:sz w:val="20"/>
          <w:szCs w:val="20"/>
          <w:color w:val="auto"/>
        </w:rPr>
      </w:pPr>
    </w:p>
    <w:p>
      <w:pPr>
        <w:ind w:left="660" w:firstLine="644"/>
        <w:spacing w:after="0" w:line="282" w:lineRule="auto"/>
        <w:tabs>
          <w:tab w:leader="none" w:pos="19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and “or” are not exclusive and “include,” “includes” and “including” are not limiting and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in the phrase “to the extent” means the degree to which a subject or other thing extends, and such phrase does not mean simply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7" w:name="page168"/>
    <w:bookmarkEnd w:id="167"/>
    <w:p>
      <w:pPr>
        <w:ind w:left="660" w:firstLine="644"/>
        <w:spacing w:after="0" w:line="282" w:lineRule="auto"/>
        <w:tabs>
          <w:tab w:leader="none" w:pos="19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“hereto,” “herein” and “hereunder” and words of similar import when used in this Agreement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“Person” are also to its permitted successors and assigns;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are applicable to the singular as well as the plural forms of such terms;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“Article,” “Section” or “Exhibit” refer to an Article or Section of, or an Exhibit to, this Agreement, and references to a “Schedule” refer to the corresponding part of the Disclosure Schedule;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otherwise to dollar amounts refer to the lawful currency of the United States;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b w:val="1"/>
          <w:bCs w:val="1"/>
          <w:color w:val="auto"/>
        </w:rPr>
        <w:t>Interpretation (Quebec)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For purposes of any assets, liabilities or entities located in the Province of Québec, Canada, including any Product Collateral charged under the security documents entered into in connection with this Agreement, and for all other purposes pursuant to which the interpretation or construction of this Agreement or any other document related thereto may be subject to the laws of the Province of Québec, Canada or a court or tribunal exercising jurisdiction in the Province of Québec, Canada (i) “personal property” shall be deemed to include “movable property”, (ii) “real property” shall be deemed to include “immovable property”, (iii) “tangible property” shall be deemed to include “corporeal property”, (iv) “intangible property” shall be deemed to include “incorporeal property”, (v) “security interest”, “mortgage” and “lien” shall be deemed to include a “hypothec”, “prior claim”, “reservation of ownership” and a “resolutory clause”, (vi) all references to filing, registering or recording under the UCC, the Personal Property Security Act shall be deemed to include publication under the Civil Code of Québec, (vii) all references to “perfection” of or “perfected” liens or security interest shall be deemed to include a reference to an “opposable” or “set up” hypothec as against third parties, (viii) any “right of offset”, “right of setoff” or similar expression shall be deemed to include a “right of compensation”, (ix) “goods” shall be deemed to include “corporeal movable property” other than chattel paper, documents of title, instruments, money and securities, (x) an “agent” shall be deemed to include a “mandatary”, (xi) “construction liens” shall be deemed to include “legal hypothecs in favour of persons having taken part in the construction or renovation of an immovable”; (xii) “joint and several” shall be deemed to include “solidary”; (xiii) “gross negligence or willful misconduct” shall be deemed to be “intentional or gross fault”; (xiv) “beneficial ownership” shall be deemed to include “ownership”; (xv) “legal title” shall be deemed to include “holding title on behalf of an owner as mandatary or prête nom”; (xvi) “easement” shall be deemed to include “servitude”; (xvii) “priority” shall be deemed to include “rank” or “prior claim”, as applicable;</w:t>
      </w:r>
    </w:p>
    <w:p>
      <w:pPr>
        <w:spacing w:after="0" w:line="10" w:lineRule="exact"/>
        <w:rPr>
          <w:sz w:val="20"/>
          <w:szCs w:val="20"/>
          <w:color w:val="auto"/>
        </w:rPr>
      </w:pPr>
    </w:p>
    <w:p>
      <w:pPr>
        <w:jc w:val="both"/>
        <w:ind w:firstLine="8"/>
        <w:spacing w:after="0" w:line="250" w:lineRule="auto"/>
        <w:tabs>
          <w:tab w:leader="none" w:pos="5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shall be deemed to include “certificate of location and plan”; (xix) “fee simple title” shall be deemed to include “ownership” (including ownership under a right of superficies); (xx) “ground lease” shall be deemed to include “emphyteusis” or a “lease with a right of superficies”, as applicable; (xxi) “leasehold interest” shall be deemed to include “a valid lease”; (xxii) “lease” shall be deemed to include a “leasing contract”; (xxiii) “guarantee” and “guarantor” shall include “suretyship” and “surety”, respectively;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5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“foreclosure” shall be deemed to include “the exercise of a hypothecary right”; (xxv) “merger” shall be deemed to include “amalgamation”; (xxvi) “accounts receivables” shall be deemed to include and “claims” (including monetary claims) as referenced in the Civil Code of Québec; and (xxvii) “deposit account” shall be deemed to include “financial account” (as defined in Article 2713.6 of the Civil Code of Québec).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Times New Roman" w:cs="Times New Roman" w:eastAsia="Times New Roman" w:hAnsi="Times New Roman"/>
          <w:sz w:val="18"/>
          <w:szCs w:val="18"/>
          <w:i w:val="1"/>
          <w:iCs w:val="1"/>
          <w:color w:val="auto"/>
        </w:rPr>
        <w:t>Les parties aux présentes confirment que c’est leur volonté que cette convention et les autres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crédit soient rédigés en langue anglaise seulement et que tous les documents, y compris tous avis, envisages par cette convention et les autres documents peuvent être rédigés en langue anglaise seulement, sauf, dans chaque cas, si une autre langue est requise en vertu d’une loi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PURCHASE, SALE AND ASSIGNMENT OF THE REVENUE PARTICIPATION RIGHT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Purchase, Sale and Assignment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19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and upon the terms and subject to the conditions of this Agreement, the Seller shall sell, transfer, assign and convey to the Buyer, without recourse (except as expressly provided herein), and the Buyer shall purchase, acquire and accept from the Seller, the Revenue Participation Right, free and clear of all Liens. Immediately upon the sale to the Buyer by the Seller of the Revenue Participation Right pursuant to this Section 2.1 all of the Seller’s right, title and interest in and to the Revenue Participation Right shall terminate, and all such right, title and interest shall vest in the Buyer, free and clear of all Liens.</w:t>
      </w:r>
    </w:p>
    <w:p>
      <w:pPr>
        <w:spacing w:after="0" w:line="18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parties hereto that the sale, transfer, assignment and conveyance contemplated by this Agreement be, and is, a true, complete, absolute and irrevocable sale, transfer, assignment and conveyance by the Seller to the Buyer of all of the Seller’s right, title and interest in and to the Revenue Participation Right. Neither the Seller nor the Buyer intends the transactions contemplated by this Agreement to be, or for any purpose (other than for accounting purposes) characterized as, a loan from the Buyer to the Seller or a pledge, a security interest,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Each of the Seller and the Buyer hereby waives, to the maximum extent permitted by applicable law, any right to contest or otherwise assert that this Agreement does not constitute a true, complete, absolute and irrevocable sale, transfer, assignment and conveyance by the Seller to the Buyer of all of the Seller’s right, title and interest in and to the Revenue Participation Right under applicable law, which waiver shall, to the maximum extent permitted by applicable law, be enforceable against the Seller in any bankruptcy or insolvency proceeding relating to the Seller. Accordingly, the Seller shall treat the sale, transfer, assignment and conveyance of the Revenue Participation Right as a sale of an “account” or a “payment intangible” (as appropriate) in accordance with the UCC and the Seller hereby authorizes the Buyer to file UCC Financing Statements (and continuation statements with respect to such financing statements when applicable) naming the Seller as the debtor/Seller and the Buyer as the secured party/Buyer in respect to the Revenue Participation Right. For sake of clarification, the foregoing statements in this Section 2.1(b) shall not bind either party regarding the reporting of transactions contemplated hereby for GAAP or securities law reporting purposes.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each of Holdings and the Seller does hereby grant to the Buyer, as security for the payment of amounts to the Buyer equal to the sum of the Purchase Price (including a market rate of return thereon) less all Royalty Payments received by the Buyer pursuant to this Agreement, a first priority security interest in and to all of its respective right, title and interest in, to and under the Revenue Participation Right and the Royalty Payments and a security interest in and to all right, title and interest in, to and under the Product Collateral, and Holdings and the Seller do hereby authorize the Buyer, from and after the Closing, to file UCC Financing Statements, and continuation statements with respect to such financing statements when applicable meeting the requirements of applicable law, in such manner and such jurisdictions as are necessary or appropriate to perfect such security interest (the “</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 (or, in respect of any subsequent Permitted Out-License, in each case with respect to Commercialization of a Product in the Territory, a first priority security interest in and to all right, title and interest in, to and under the Revenue Participation Right and the Royalty Payments) and naming the Seller or Holdings, as applicable, as the debtor and the Buyer as the secured party in respect to the Revenue Participation Right.</w:t>
      </w:r>
    </w:p>
    <w:p>
      <w:pPr>
        <w:spacing w:after="0" w:line="20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At the Closing and upon the terms and subject to the conditions of this Agreement, the Buyer shall pay the Seller the purchase price of Seventy-Five Million Dollars ($75,000,000) in cash, as consideration to the Seller for the sale, transfer, assignment and conveyance of the Revenue Participation Right to the Buyer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9" w:name="page170"/>
    <w:bookmarkEnd w:id="16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No Assumed Obligations, Etc</w:t>
      </w:r>
      <w:r>
        <w:rPr>
          <w:rFonts w:ascii="Times New Roman" w:cs="Times New Roman" w:eastAsia="Times New Roman" w:hAnsi="Times New Roman"/>
          <w:sz w:val="18"/>
          <w:szCs w:val="18"/>
          <w:color w:val="auto"/>
        </w:rPr>
        <w:t>. Notwithstanding any provision in this Agreement to the contrary, the Buyer is only agreeing, on the terms and conditions set forth in this Agreement, to purchase, acquire and accept the Revenue Participation Right and is not assuming any liability or obligation of the Seller of whatever nature, whether presently in existence or arising or asserted hereafter. All such liabilities and obligations shall be retained by and remain obligations and liabilities of the Seller or its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shall take place remotely via the exchange of documents and signatures on the date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that is thirty (30) calendar days, or such period as mutually agreed upon by the parties hereto, after the date on which the condition set forth in Section 5.1(a) is satisfied, subject to the satisfaction or waiver of the other conditions set forth in ARTICLE 5</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Payment of Purchase Price</w:t>
      </w:r>
      <w:r>
        <w:rPr>
          <w:rFonts w:ascii="Times New Roman" w:cs="Times New Roman" w:eastAsia="Times New Roman" w:hAnsi="Times New Roman"/>
          <w:sz w:val="18"/>
          <w:szCs w:val="18"/>
          <w:color w:val="auto"/>
        </w:rPr>
        <w:t>. At the Closing, the Buyer shall deliver (or cause to be delivered) payment of the Purchase Price to the Seller by electronic funds transfer or wire transfer of immediately available funds to one or more accounts specified by the Seller.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xml:space="preserve">. At the Closing, upon confirmation of the receipt of the Purchase Price, the Seller shall deliver to the Buyer a duly executed bill of sale evidencing the sale, transfer, assignment and conveyance of the Revenue Participation Right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Seller’s Representations and Warranties</w:t>
      </w:r>
      <w:r>
        <w:rPr>
          <w:rFonts w:ascii="Times New Roman" w:cs="Times New Roman" w:eastAsia="Times New Roman" w:hAnsi="Times New Roman"/>
          <w:sz w:val="18"/>
          <w:szCs w:val="18"/>
          <w:color w:val="auto"/>
        </w:rPr>
        <w:t>. Except as set forth on the Disclosure Schedules attached hereto, Holdings and the Seller represent and warrant to the Buyer that as of the date hereof or as of the Amendment Date, as applicable, and, unless specified otherwise, as of the Closing Date:</w:t>
      </w:r>
    </w:p>
    <w:p>
      <w:pPr>
        <w:spacing w:after="0" w:line="175" w:lineRule="exact"/>
        <w:rPr>
          <w:sz w:val="20"/>
          <w:szCs w:val="20"/>
          <w:color w:val="auto"/>
        </w:rPr>
      </w:pPr>
    </w:p>
    <w:p>
      <w:pPr>
        <w:jc w:val="both"/>
        <w:ind w:firstLine="1304"/>
        <w:spacing w:after="0" w:line="256" w:lineRule="auto"/>
        <w:tabs>
          <w:tab w:leader="none" w:pos="1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Good Standing</w:t>
      </w:r>
      <w:r>
        <w:rPr>
          <w:rFonts w:ascii="Times New Roman" w:cs="Times New Roman" w:eastAsia="Times New Roman" w:hAnsi="Times New Roman"/>
          <w:sz w:val="18"/>
          <w:szCs w:val="18"/>
          <w:color w:val="auto"/>
        </w:rPr>
        <w:t>. The Seller is a corporation duly incorporated, validly existing and in good standing under the laws of Delaware and Holdings is a corporation duly incorporated, validly existing and in good standing under the laws of Quebec. Each of the Seller and Holdings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Each of the Seller and Holdings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 or Holdings,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has been duly executed and delivered by an authorized officer of the Seller and Holdings and constitutes the valid and binding obligation of the Seller and Holdings, enforceable against the Seller and Holdings in accordance with its terms, except as may be limited by applicable Bankruptcy Laws or by general principles of equity (whether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Seller and Holdings of this Agreement and the consummation of the transactions contemplated hereby and thereby do not and will not (i) contravene or conflict with the certificate of incorporation or bylaws of the Seller or Holdings, (ii) contravene or conflict with or constitute a material default under any law binding upon or applicable to the Seller, Holdings or the Revenue Participation Right or (iii) contravene or conflict with or constitute a material default under any material agreement or Judgment binding upon or applicable to the Seller, Holdings or the Revenue Participation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0" w:name="page171"/>
    <w:bookmarkEnd w:id="170"/>
    <w:p>
      <w:pPr>
        <w:jc w:val="both"/>
        <w:ind w:firstLine="1304"/>
        <w:spacing w:after="0" w:line="256" w:lineRule="auto"/>
        <w:tabs>
          <w:tab w:leader="none" w:pos="1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Except for the consents that have been obtained on or prior to the Closing, the UCC financing statements contemplated by Section 2.1(b), or any filings required by the federal securities laws or stock exchange rules, no consent, approval, license, order, authorization, registration, declaration or filing with or of any Governmental Entity or other Person is required to be done or obtained by the Seller or Holdings in connection with (i) the execution and delivery by the Seller and Holdings of this Agreement, (ii) the performance by the Seller and Holdings of its obligations under this Agreement or (iii) the consummation by the Seller and Holdings of any of the transactions contemplated by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Neither Holdings nor any of its Subsidiaries is a party to, or has received any written notice of, any action, suit, investigation or proceeding pending before any Governmental Entity and, to the Knowledge of the Seller and Holdings, no such action, suit, investigation or proceeding has been threatened against the Seller or Holdings, that, individually or in the aggregate, has had or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applications, submissions, information and data related to a Product submitted or utilized as the basis for any request to any Regulatory Authority by or on behalf of the Seller or Holdings were true and correct in all material respects as of the date of such submission or request, and, to the Knowledge of the Seller and Holdings, any material updates, changes, corrections or modification to such applications, submissions, information or data required under applicable laws or regulations have been submitted to the necessary Regulatory Authorities.</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has committed any act, made any statement or failed to make any statement that would reasonably be expected to provide a basis for the FDA or other Regulatory Authority to invoke its policy with respect to “Fraud, Untrue Statements of Material Facts, Bribery, and Illegal Gratuities,” or similar policies, set forth in any applicable laws or regulations.</w:t>
      </w:r>
    </w:p>
    <w:p>
      <w:pPr>
        <w:spacing w:after="0" w:line="179" w:lineRule="exact"/>
        <w:rPr>
          <w:rFonts w:ascii="Times New Roman" w:cs="Times New Roman" w:eastAsia="Times New Roman" w:hAnsi="Times New Roman"/>
          <w:sz w:val="18"/>
          <w:szCs w:val="18"/>
          <w:color w:val="auto"/>
        </w:rPr>
      </w:pPr>
    </w:p>
    <w:p>
      <w:pPr>
        <w:jc w:val="both"/>
        <w:ind w:left="660" w:right="20" w:firstLine="1292"/>
        <w:spacing w:after="0" w:line="261"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its Subsidiaries, or to the Knowledge of the Seller and Holdings, any Third Party acting on behalf of Seller or Holdings, has used in any capacity the services of a person debarred, excluded or disqualified (or convicted of any crime or engaged in any conduct for which debarment, exclusion or disqualification is mandated) under 21 U.S.C. § 335a.</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 and Holdings has provided to the Buyer prior to the Amendment Date in a data room available to the Buyer true and correct copies of all material written communications sent or received by the Seller and any of its Affiliates to or from any Regulatory Authorities in the United States and Canada that relate to each Product since March 27, 2023, including but not limited to any written reports or other written communications received from a Governmental Entity that would indicate that any Regulatory Authority (A) is likely to reject, condition, or delay any application for Marketing Approval, or (B) is likely to pursue any material compliance actions against the Seller.</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Date, Etripamil has not been the subject of a prior Marketing Approval in the Territory and as of the Closing Date, Etripamil has not been the subject of a prior Marketing Approval in the Territory, other than the U.S. Marketing Approval.</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In-Licenses</w:t>
      </w:r>
      <w:r>
        <w:rPr>
          <w:rFonts w:ascii="Times New Roman" w:cs="Times New Roman" w:eastAsia="Times New Roman" w:hAnsi="Times New Roman"/>
          <w:sz w:val="18"/>
          <w:szCs w:val="18"/>
          <w:color w:val="auto"/>
        </w:rPr>
        <w:t>. Except for In-Licenses that are permitted under this Agreement, there are no In-Licenses.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Out-Licenses</w:t>
      </w:r>
      <w:r>
        <w:rPr>
          <w:rFonts w:ascii="Times New Roman" w:cs="Times New Roman" w:eastAsia="Times New Roman" w:hAnsi="Times New Roman"/>
          <w:sz w:val="18"/>
          <w:szCs w:val="18"/>
          <w:color w:val="auto"/>
        </w:rPr>
        <w:t>. Except for Permitted Out-Licenses, there are no Out-Licenses.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Liens; Title to Revenue Participation Right</w:t>
      </w:r>
      <w:r>
        <w:rPr>
          <w:rFonts w:ascii="Times New Roman" w:cs="Times New Roman" w:eastAsia="Times New Roman" w:hAnsi="Times New Roman"/>
          <w:sz w:val="18"/>
          <w:szCs w:val="18"/>
          <w:color w:val="auto"/>
        </w:rPr>
        <w:t>. None of the Product Collateral is subject to any Lien, except for Permitted Liens and Liens created hereunder as of the Closing Date. The Seller has the full right to sell, transfer, convey and assign to Buyer all of the Seller’s rights and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1" w:name="page172"/>
    <w:bookmarkEnd w:id="171"/>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and to the Revenue Participation Right being sold, transferred, conveyed and assigned to Buyer pursuant to this Agreement without any requirement to obtain the consent of any Person (including Holdings). The claims and rights of Buyer created by this Agreement in and to the Revenue Participation Right and any other Product Collateral are not subordinated in right of payment to any creditor of the Seller or any other Person (except to the extent specified in any Acceptable Intercreditor Agreement). Upon the Closing, the Buyer will have acquired good and valid title to the Revenue Participation Right, free and clear of all Liens, except for Liens for Taxes, assessments or governmental charges or levies not yet due.</w:t>
      </w:r>
    </w:p>
    <w:p>
      <w:pPr>
        <w:spacing w:after="0" w:line="187" w:lineRule="exact"/>
        <w:rPr>
          <w:sz w:val="20"/>
          <w:szCs w:val="20"/>
          <w:color w:val="auto"/>
        </w:rPr>
      </w:pPr>
    </w:p>
    <w:p>
      <w:pPr>
        <w:jc w:val="both"/>
        <w:ind w:firstLine="1304"/>
        <w:spacing w:after="0" w:line="253" w:lineRule="auto"/>
        <w:tabs>
          <w:tab w:leader="none" w:pos="194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Supply</w:t>
      </w:r>
      <w:r>
        <w:rPr>
          <w:rFonts w:ascii="Times New Roman" w:cs="Times New Roman" w:eastAsia="Times New Roman" w:hAnsi="Times New Roman"/>
          <w:sz w:val="18"/>
          <w:szCs w:val="18"/>
          <w:color w:val="auto"/>
        </w:rPr>
        <w:t>. All Products have, since June 30, 2019, been manufactured, transported, stored and handled in all material respects in accordance with applicable law and with good manufacturing practices. Since June 30, 2019, neither the Seller nor any Affiliate of the Seller has experienced any failures in the manufacturing or supply of any Product that, individually or in the aggregate, have had or would reasonably be expected to result in a Material Adverse Effect. The Seller has on hand or has made adequate provisions to secure sufficient clinical quantities of Etripamil to complete all clinical trials and all activities required for Marketing Approvals, in each case, that are ongoing or planned as of the Amendment Date. As of the Closing Date, the Seller has on hand or has made adequate provisions to secure sufficient quantities of Etripamil to support the commercial launch of Products in the Territory, and Seller and Holdings will each take such additional actions as may be reasonably necessary during the Term to ensure that Seller has reasonably sufficient quantities of Product to permit Seller to meet demand for Products in the Territory during the Term. Holdings may not, and shall not, privilege its own needs with respect to Product supply over the needs of Seller.</w:t>
      </w:r>
    </w:p>
    <w:p>
      <w:pPr>
        <w:spacing w:after="0" w:line="19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Amendment Date, </w:t>
      </w:r>
      <w:r>
        <w:rPr>
          <w:rFonts w:ascii="Times New Roman" w:cs="Times New Roman" w:eastAsia="Times New Roman" w:hAnsi="Times New Roman"/>
          <w:sz w:val="18"/>
          <w:szCs w:val="18"/>
          <w:u w:val="single" w:color="auto"/>
          <w:color w:val="auto"/>
        </w:rPr>
        <w:t>Schedule 4.1(k)(i)</w:t>
      </w:r>
      <w:r>
        <w:rPr>
          <w:rFonts w:ascii="Times New Roman" w:cs="Times New Roman" w:eastAsia="Times New Roman" w:hAnsi="Times New Roman"/>
          <w:sz w:val="18"/>
          <w:szCs w:val="18"/>
          <w:color w:val="auto"/>
        </w:rPr>
        <w:t xml:space="preserve"> of the Disclosure Schedule lists all of the currently existing Patents included within the Patent Rights in the Territory (the “</w:t>
      </w:r>
      <w:r>
        <w:rPr>
          <w:rFonts w:ascii="Times New Roman" w:cs="Times New Roman" w:eastAsia="Times New Roman" w:hAnsi="Times New Roman"/>
          <w:sz w:val="18"/>
          <w:szCs w:val="18"/>
          <w:u w:val="single" w:color="auto"/>
          <w:color w:val="auto"/>
        </w:rPr>
        <w:t>Existing Patent Rights</w:t>
      </w:r>
      <w:r>
        <w:rPr>
          <w:rFonts w:ascii="Times New Roman" w:cs="Times New Roman" w:eastAsia="Times New Roman" w:hAnsi="Times New Roman"/>
          <w:sz w:val="18"/>
          <w:szCs w:val="18"/>
          <w:color w:val="auto"/>
        </w:rPr>
        <w:t xml:space="preserve">”). As of the Closing Date, the updated Schedule 4.1(k)(i) of the Disclosure Schedule delivered as of the Closing Date lists all of the then existing Patents included within the Patent Rights as of the Closing Date. The Seller or Holdings is the sole and exclusive owner of all of the Existing Patent Rights. </w:t>
      </w:r>
      <w:r>
        <w:rPr>
          <w:rFonts w:ascii="Times New Roman" w:cs="Times New Roman" w:eastAsia="Times New Roman" w:hAnsi="Times New Roman"/>
          <w:sz w:val="18"/>
          <w:szCs w:val="18"/>
          <w:u w:val="single" w:color="auto"/>
          <w:color w:val="auto"/>
        </w:rPr>
        <w:t>Schedule 4.1(k)</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Disclosure Schedule specifies as to each listed patent or patent application the jurisdictions by or in which each such patent has issued as a patent or such patent application has been filed, including the respective patent or application numbers.</w:t>
      </w:r>
    </w:p>
    <w:p>
      <w:pPr>
        <w:spacing w:after="0" w:line="181" w:lineRule="exact"/>
        <w:rPr>
          <w:rFonts w:ascii="Times New Roman" w:cs="Times New Roman" w:eastAsia="Times New Roman" w:hAnsi="Times New Roman"/>
          <w:sz w:val="18"/>
          <w:szCs w:val="18"/>
          <w:u w:val="single" w:color="auto"/>
          <w:color w:val="auto"/>
        </w:rPr>
      </w:pPr>
    </w:p>
    <w:p>
      <w:pPr>
        <w:jc w:val="both"/>
        <w:ind w:left="660" w:firstLine="1292"/>
        <w:spacing w:after="0" w:line="261" w:lineRule="auto"/>
        <w:tabs>
          <w:tab w:leader="none" w:pos="260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is a party to any pending and, to the Knowledge of the Seller and Holdings, there is no threatened litigation, interference, reexamination, opposition or like procedure involving any of the Existing Patent Rights in the Territory or any currently existing Patent included within the Patent Rights outside of the Territory.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0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patents within the Existing Patent Rights are (A) to the Knowledge of the Seller and Holdings, valid and enforceable, and (B) in full force and effect. None of the issued patents within the Existing Patent Rights have lapsed, expired or otherwise terminated. Neither Holdings nor any of its Subsidiaries has received any written notice relating to the lapse, expiration or other termination of any of the issued patents within the Existing Patent Rights in the Territory, and neither Holdings nor its Subsidiaries has received any written legal opinion that alleges that, an issued patent within any of the Existing Patent Rights is invalid or unenforceable.</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has received any written notice that there is any, and, to the Knowledge of the Seller and Holdings, there is no Person who is or claims to be an inventor under any of the Existing Patent Rights who is not a named inventor thereof.</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0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its Affiliates has received any written notice of any claim by any Person challenging the inventorship or ownership of, the rights of the Seller or Holdings in and to, or the patentability, validity or enforceability of, any of the Existing Patent Rights, or asserting that the development, manufacture, importation, sale, offer for sale or use of a Product infringes, misappropriates or otherwise violates or will infringe, misappropriate or otherwise violate such Person’s Patents or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2" w:name="page173"/>
    <w:bookmarkEnd w:id="172"/>
    <w:p>
      <w:pPr>
        <w:jc w:val="both"/>
        <w:ind w:left="660" w:right="20" w:firstLine="1292"/>
        <w:spacing w:after="0" w:line="261" w:lineRule="auto"/>
        <w:tabs>
          <w:tab w:leader="none" w:pos="26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 and Holdings, the discovery, development manufacture, importation, sale, offer for sale or use of each Product, in each case in the form such Product exists as of the Amendment Date and as such activity is currently contemplated by the Seller, has not and will not, infringe, misappropriate or otherwise violate any Patents or other intellectual property rights owned by any Third Party.</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 and Holdings, no Person has infringed, misappropriated or otherwise violated, or is infringing, misappropriating or otherwise violating, any of the Intellectual Property Rights.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or Holdings has paid all maintenance fees, annuities and like payments required as of the Amendment Date with respect to each of the Existing Patent Rights.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No Undisclosed Indebtedness</w:t>
      </w:r>
      <w:r>
        <w:rPr>
          <w:rFonts w:ascii="Times New Roman" w:cs="Times New Roman" w:eastAsia="Times New Roman" w:hAnsi="Times New Roman"/>
          <w:sz w:val="18"/>
          <w:szCs w:val="18"/>
          <w:color w:val="auto"/>
        </w:rPr>
        <w:t>. Other than any Indebtedness owed under the Note Purchase Agreement upon signing and closing the transaction contemplated by the Note Purchase Agreement and Permitted Indebtedness, (i) neither Holdings or any of its Subsidiaries has any outstanding Indebtedness, and (ii) there are no liabilities (excluding Indebtedness or obligations under the Intercompany License) of Holdings or its Subsidiaries related to a Product not incurred in the ordinary course.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Each of Holdings and the Seller has determined that, and by virtue of its entering into the transactions contemplated by the respective Transaction Documents to which each is party and the respective authorization, execution and delivery of the Transaction Documents to which each is party, each of Holdings’ and the Seller’s incurrence of any liability hereunder or thereunder or contemplated hereby or thereby is in its own best interests. Upon consummation of the transactions contemplated by the Transaction Documents on the Amendment Date and the application of the proceeds therefrom, each of Holdings and the Seller will be Solvent.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Related Representation and Warranties</w:t>
      </w:r>
      <w:r>
        <w:rPr>
          <w:rFonts w:ascii="Times New Roman" w:cs="Times New Roman" w:eastAsia="Times New Roman" w:hAnsi="Times New Roman"/>
          <w:sz w:val="18"/>
          <w:szCs w:val="18"/>
          <w:color w:val="auto"/>
        </w:rPr>
        <w:t>. The Seller’s exact legal name is, and for the immediately preceding five (5) years has been, “Milestone Pharmaceuticals USA, Inc.” The Seller is, and for the prior five (5) years has been, incorporated in the state of Delaware. Holdings’ exact legal name is, and for the immediately preceding ten (10) years has been, “Milestone Pharmaceuticals Inc.” The Seller is, and for the prior ten (10) years has been, incorporated in a jurisdiction of Canada.</w:t>
      </w:r>
    </w:p>
    <w:p>
      <w:pPr>
        <w:spacing w:after="0" w:line="179" w:lineRule="exact"/>
        <w:rPr>
          <w:rFonts w:ascii="Times New Roman" w:cs="Times New Roman" w:eastAsia="Times New Roman" w:hAnsi="Times New Roman"/>
          <w:sz w:val="18"/>
          <w:szCs w:val="18"/>
          <w:color w:val="auto"/>
        </w:rPr>
      </w:pPr>
    </w:p>
    <w:p>
      <w:pPr>
        <w:jc w:val="both"/>
        <w:ind w:firstLine="1304"/>
        <w:spacing w:after="0" w:line="289" w:lineRule="auto"/>
        <w:tabs>
          <w:tab w:leader="none" w:pos="194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Except for Cowen Inc., the fees of which will be paid by the Seller or Holdings, there is no investment banker, broker, finder, financial advisor or other intermediary who has been retained by or is authorized to act on behalf of the Seller or Holdings who might be entitled to any fee or commission in connection with the transactions contemplated by this Agreement.</w:t>
      </w:r>
    </w:p>
    <w:p>
      <w:pPr>
        <w:spacing w:after="0" w:line="157" w:lineRule="exact"/>
        <w:rPr>
          <w:rFonts w:ascii="Times New Roman" w:cs="Times New Roman" w:eastAsia="Times New Roman" w:hAnsi="Times New Roman"/>
          <w:sz w:val="17"/>
          <w:szCs w:val="17"/>
          <w:color w:val="auto"/>
        </w:rPr>
      </w:pPr>
    </w:p>
    <w:p>
      <w:pPr>
        <w:jc w:val="both"/>
        <w:ind w:firstLine="1304"/>
        <w:spacing w:after="0" w:line="252" w:lineRule="auto"/>
        <w:tabs>
          <w:tab w:leader="none" w:pos="19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Company Reporting Obligations</w:t>
      </w:r>
      <w:r>
        <w:rPr>
          <w:rFonts w:ascii="Times New Roman" w:cs="Times New Roman" w:eastAsia="Times New Roman" w:hAnsi="Times New Roman"/>
          <w:sz w:val="18"/>
          <w:szCs w:val="18"/>
          <w:color w:val="auto"/>
        </w:rPr>
        <w:t>. Holdings has filed or furnished (as applicable) with or to the SEC all registration statements, forms, reports, certifications and other documents required to be filed or furnished by Holdings with or to the SEC since January 1, 2022 (all such registration statements, forms, reports, certifications and other documents (including those that Holdings may file or furnish after the Amendment Date until the Closing and Holdings’ Annual Report on Form 10-K for the year ended December 31, 2022) are referred to herein as the “</w:t>
      </w:r>
      <w:r>
        <w:rPr>
          <w:rFonts w:ascii="Times New Roman" w:cs="Times New Roman" w:eastAsia="Times New Roman" w:hAnsi="Times New Roman"/>
          <w:sz w:val="18"/>
          <w:szCs w:val="18"/>
          <w:u w:val="single" w:color="auto"/>
          <w:color w:val="auto"/>
        </w:rPr>
        <w:t>Holdings SEC Documents</w:t>
      </w:r>
      <w:r>
        <w:rPr>
          <w:rFonts w:ascii="Times New Roman" w:cs="Times New Roman" w:eastAsia="Times New Roman" w:hAnsi="Times New Roman"/>
          <w:sz w:val="18"/>
          <w:szCs w:val="18"/>
          <w:color w:val="auto"/>
        </w:rPr>
        <w:t>”). Holdings SEC Documents (i) were filed or furnished on a timely basis or has received a valid extension of such time of filing and has filed any such Holdings SEC Documents prior to the expiration of any such extension, (ii) at the time filed or furnished, were prepared in compliance as to form in all material respects with the applicable requirements of the Securities Act and the Securities Exchange Act of 1934, as amended, as the case may be, and the rules and regulations of the SEC thereunder applicable to such Holdings SEC Documents, except to the extent that information contained in any Holdings SEC Document has been revised or superseded by a later filed Holdings SEC Document filed and made publicly available prior to the date of this Agreement, and (iii) did not at the time they were filed or furnished contain any untrue statement of a material fact or omit to state a material fact required to be stated in such Holdings SEC Documents or necessary in order to make the statements in such Holdings SEC Documents, in the light of the circumstances under which they were made, not materially misleading. Holdings’ financial statements included within Holdings SEC Documents have been prepared in accordance with accounting principles generally accepted in the United States and such financial statements do not contain an untrue statement of a material fact or omit to state a material fact required to be stated therein or necessary to make the statements therein not materially misleading at the time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3" w:name="page174"/>
    <w:bookmarkEnd w:id="173"/>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color w:val="auto"/>
        </w:rPr>
        <w:t>Buyer’s Representations and Warranties</w:t>
      </w:r>
      <w:r>
        <w:rPr>
          <w:rFonts w:ascii="Times New Roman" w:cs="Times New Roman" w:eastAsia="Times New Roman" w:hAnsi="Times New Roman"/>
          <w:sz w:val="18"/>
          <w:szCs w:val="18"/>
          <w:color w:val="auto"/>
        </w:rPr>
        <w:t>. The Buyer hereby represents and warrants to the Seller as of the date hereof or as of the Amendment Date, as applicable, that:</w:t>
      </w:r>
    </w:p>
    <w:p>
      <w:pPr>
        <w:spacing w:after="0" w:line="159" w:lineRule="exact"/>
        <w:rPr>
          <w:sz w:val="20"/>
          <w:szCs w:val="20"/>
          <w:color w:val="auto"/>
        </w:rPr>
      </w:pPr>
    </w:p>
    <w:p>
      <w:pPr>
        <w:ind w:right="20" w:firstLine="1304"/>
        <w:spacing w:after="0" w:line="282"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Good Standing</w:t>
      </w:r>
      <w:r>
        <w:rPr>
          <w:rFonts w:ascii="Times New Roman" w:cs="Times New Roman" w:eastAsia="Times New Roman" w:hAnsi="Times New Roman"/>
          <w:sz w:val="18"/>
          <w:szCs w:val="18"/>
          <w:color w:val="auto"/>
        </w:rPr>
        <w:t>. The Buyer is a designated activity company duly incorporated, validly existing and in good standing under the laws of Ireland.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Buyer has the requisite corporate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Buyer of this Agreement do not and will not (i) 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other material agreement or Judgment binding upon or applicable to the Buyer.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The Buyer will have sufficient cash to pay the Purchase Price at the Closing. The Buyer acknowledges that its obligations under this Agreement are not contingent on obtaining financing.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color w:val="auto"/>
        </w:rPr>
        <w:t>No Implied Representations and Warranties</w:t>
      </w:r>
      <w:r>
        <w:rPr>
          <w:rFonts w:ascii="Times New Roman" w:cs="Times New Roman" w:eastAsia="Times New Roman" w:hAnsi="Times New Roman"/>
          <w:sz w:val="18"/>
          <w:szCs w:val="18"/>
          <w:color w:val="auto"/>
        </w:rPr>
        <w:t>. The Buyer acknowledges and agrees that, other than the express representations and warranties of the Seller specifically contained in ARTICLE 4 (a) there are no representations or warranties of the Seller either expressed or implied with respect to the Patent Rights or Royalty Payment and that the Buyer does not rely on, and shall have no remedies in respect of, any representation or warranty not specifically set forth in ARTICLE 4 and all other representations and warranties are hereby expressly disclaimed, and (b) nothing contained herein guarantees that sales of the Products or the aggregate Royalty Payments due to the Buyer will achieve any specific amounts (it being understood and agreed that nothing in this Section 4.3 shall limit in any way the Seller’s obligations under ARTICLE 8). Notwithstanding the foregoing, claims for fraud, gross negligence, or willful misconduct shall not be waived or limited in any way by this Section 4.3. Except for the Revenue Participation Right, Back-Up Security Interest and the Buyer’s rights under Section 6.5(e) the Buyer further acknowledges and agrees that no licenses or assignments under any assets (including the Patent Rights or any other intellectual property) of the Seller and its Affiliates are granted pursuant to this Agreement, including by implication, estoppel, exhaustion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Conditions to the Buyer’s Obligations</w:t>
      </w:r>
      <w:r>
        <w:rPr>
          <w:rFonts w:ascii="Times New Roman" w:cs="Times New Roman" w:eastAsia="Times New Roman" w:hAnsi="Times New Roman"/>
          <w:sz w:val="18"/>
          <w:szCs w:val="18"/>
          <w:color w:val="auto"/>
        </w:rPr>
        <w:t>. The obligations of the Buyer to consummate the transactions contemplated hereunder on the Closing Date are subject to the satisfaction or waiver, at or prior to the Closing Date, of each of the following conditions precedent:</w:t>
      </w:r>
    </w:p>
    <w:p>
      <w:pPr>
        <w:spacing w:after="0" w:line="175" w:lineRule="exact"/>
        <w:rPr>
          <w:sz w:val="20"/>
          <w:szCs w:val="20"/>
          <w:color w:val="auto"/>
        </w:rPr>
      </w:pPr>
    </w:p>
    <w:p>
      <w:pPr>
        <w:jc w:val="both"/>
        <w:ind w:firstLine="1304"/>
        <w:spacing w:after="0" w:line="266"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or Holdings shall have received Marketing Approval from the FDA, based on the active ingredient Etripamil, for the Commercialization of Etripamil in the United States (“</w:t>
      </w:r>
      <w:r>
        <w:rPr>
          <w:rFonts w:ascii="Times New Roman" w:cs="Times New Roman" w:eastAsia="Times New Roman" w:hAnsi="Times New Roman"/>
          <w:sz w:val="18"/>
          <w:szCs w:val="18"/>
          <w:u w:val="single" w:color="auto"/>
          <w:color w:val="auto"/>
        </w:rPr>
        <w:t>U.S. Marketing Approval</w:t>
      </w:r>
      <w:r>
        <w:rPr>
          <w:rFonts w:ascii="Times New Roman" w:cs="Times New Roman" w:eastAsia="Times New Roman" w:hAnsi="Times New Roman"/>
          <w:sz w:val="18"/>
          <w:szCs w:val="18"/>
          <w:color w:val="auto"/>
        </w:rPr>
        <w:t>”) for the Approved Indication on or prior to the Marketing Approval Deadline.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Holdings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delivered to Buyer an updated Schedule 4.1(k)(i);</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 and Holdings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respects as of such date; provided that (A),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and (B) notwithstanding the foregoing, the representations and warranties of Holdings and the Seller contained in Sections Section 4.1(g) and 4.1(k)(ii) through (viii) shall be true and correct as of the Closing Date, except as would not reasonably be expected to have a Material Adverse Effect. The Buyer shall have received a certificate executed by an authorized officer of the Seller and Holdings on the Closing Date certifying on behalf of the Seller and Holdings to the effect of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events shall have occurred, or be reasonably likely to occur, that, individually or in the aggregate, have had or would reasonably be expected to result in (or, with the giving of notice, the passage of time or otherwise, would result in) a material adverse effect [***]. The Buyer shall have received a certificate executed by a duly authorized officer of the Seller on the Closing Date certifying on behalf of the Seller to the effect of the foregoing.</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a fully executed copy of the Note Purchase Agreement and no Event of Default (as defined in the Note Purchase Agreement) shall have occurred and be continuing. Upon consummation of the transactions contemplated by the Transaction Documents on the Closing Date and the application of the proceeds therefrom, each of the Seller and Holdings will be Solvent.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a certificate of an officer of the Seller and Holdings, dated the Closing Date, certifying as to (i) the incumbency of each officer of the Seller and Holdings executing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5" w:name="page176"/>
    <w:bookmarkEnd w:id="175"/>
    <w:p>
      <w:pPr>
        <w:jc w:val="both"/>
        <w:spacing w:after="0" w:line="261" w:lineRule="auto"/>
        <w:rPr>
          <w:sz w:val="20"/>
          <w:szCs w:val="20"/>
          <w:color w:val="auto"/>
        </w:rPr>
      </w:pPr>
      <w:r>
        <w:rPr>
          <w:rFonts w:ascii="Times New Roman" w:cs="Times New Roman" w:eastAsia="Times New Roman" w:hAnsi="Times New Roman"/>
          <w:sz w:val="18"/>
          <w:szCs w:val="18"/>
          <w:color w:val="auto"/>
        </w:rPr>
        <w:t>Agreement and (ii) the attached thereto copies of (A) each of Holdings’ and the Seller’s formation document, (B) bylaws or other operating agreement, and (C) resolutions adopted by the applicable governing bodies of Holdings and the Seller authorizing the respective execution and delivery by Holdings and the Seller of this Agreement and the consummation by Holdings and the Seller of the transactions contemplated hereby (the “</w:t>
      </w:r>
      <w:r>
        <w:rPr>
          <w:rFonts w:ascii="Times New Roman" w:cs="Times New Roman" w:eastAsia="Times New Roman" w:hAnsi="Times New Roman"/>
          <w:sz w:val="18"/>
          <w:szCs w:val="18"/>
          <w:u w:val="single" w:color="auto"/>
          <w:color w:val="auto"/>
        </w:rPr>
        <w:t>Seller Certificate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304"/>
        <w:spacing w:after="0" w:line="266" w:lineRule="auto"/>
        <w:tabs>
          <w:tab w:leader="none" w:pos="19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confirmed it has scheduled delivery to Buyer of a CD or USB containing copies of all documents uploaded to the data room related to the transactions contemplated by this Agreement, as of the date hereof, maintained by the Seller and made available to the Buyer, including all documents referred to in Section 4.1(g)(iv)</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(i) the date hereof, the Seller shall have paid the Transaction Expenses incurred prior to or on the date hereof, and (ii) the Closing Date, the Seller shall have paid the aggregate amount of, if applicable, any and all other Transaction Expenses incurred prior to or on the Closing Date; provided that the condition set forth in this Section 5.1(k)(ii) will be satisfied by the transfer by the Buyer of an amount equal to the Purchase Price minus the Transaction Expenses owed by the Seller under this Section 5.1(k)(ii).</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color w:val="auto"/>
        </w:rPr>
        <w:t>Conditions to the Seller’s Obligations</w:t>
      </w:r>
      <w:r>
        <w:rPr>
          <w:rFonts w:ascii="Times New Roman" w:cs="Times New Roman" w:eastAsia="Times New Roman" w:hAnsi="Times New Roman"/>
          <w:sz w:val="18"/>
          <w:szCs w:val="18"/>
          <w:color w:val="auto"/>
        </w:rPr>
        <w:t>. The obligations of the Seller to consummate the transactions contemplated hereunder on the Closing Date are subject to the satisfaction or waiver, at or prior to the Closing Date, of each of the following conditions precedent:</w:t>
      </w:r>
    </w:p>
    <w:p>
      <w:pPr>
        <w:spacing w:after="0" w:line="175" w:lineRule="exact"/>
        <w:rPr>
          <w:sz w:val="20"/>
          <w:szCs w:val="20"/>
          <w:color w:val="auto"/>
        </w:rPr>
      </w:pPr>
    </w:p>
    <w:p>
      <w:pPr>
        <w:jc w:val="both"/>
        <w:ind w:firstLine="1304"/>
        <w:spacing w:after="0" w:line="261"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the Buyer, on the Closing Date certifying on behalf of the Buyer to the effect of the foregoing.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Buyer contained in Section 4.2 shall have been true and correct in all material respects as of the date hereof and shall be true and 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Buyer, on the Closing Date certifying on behalf of the Buyer to the effect of the foregoing.</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received a fully executed copy of the Note Purchase Agreement.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received a certificate of an authorized person of the Buyer, dated the Closing Date, certifying as to the incumbency of the officers executing this Agreement on behalf of the Buyer.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6" w:name="page177"/>
    <w:bookmarkEnd w:id="176"/>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color w:val="auto"/>
        </w:rPr>
        <w:t>Reports; Meetings</w:t>
      </w:r>
      <w:r>
        <w:rPr>
          <w:rFonts w:ascii="Times New Roman" w:cs="Times New Roman" w:eastAsia="Times New Roman" w:hAnsi="Times New Roman"/>
          <w:sz w:val="18"/>
          <w:szCs w:val="18"/>
          <w:color w:val="auto"/>
        </w:rPr>
        <w:t>. From and after the date hereof, the Seller (or Holdings on behalf of the Seller) shall provide the Buyer:</w:t>
      </w:r>
    </w:p>
    <w:p>
      <w:pPr>
        <w:spacing w:after="0" w:line="159" w:lineRule="exact"/>
        <w:rPr>
          <w:sz w:val="20"/>
          <w:szCs w:val="20"/>
          <w:color w:val="auto"/>
        </w:rPr>
      </w:pPr>
    </w:p>
    <w:p>
      <w:pPr>
        <w:jc w:val="both"/>
        <w:ind w:firstLine="1304"/>
        <w:spacing w:after="0" w:line="261" w:lineRule="auto"/>
        <w:tabs>
          <w:tab w:leader="none" w:pos="194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each Calendar Quarter, but in any event, in each case, no later than the Reporting Date for such Calendar Quarter, a reasonably detailed quarterly report setting forth, with respect to such same period, (i) the Clinical Updates,</w:t>
      </w:r>
    </w:p>
    <w:p>
      <w:pPr>
        <w:ind w:left="280" w:hanging="272"/>
        <w:spacing w:after="0"/>
        <w:tabs>
          <w:tab w:leader="none" w:pos="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Updates, (iii) the Regulatory Updates, and (iv) the Intellectual Property Updates (the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include in the Commercial Updates, any (i) material [***] updates and (ii) details as to the achievement of any development, sales, regulatory or other milestone event set forth in any Permitted Out-License and any material Other Licenses.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notify Buyer (and in no event more than [***] of Seller’s or Holdings’ Knowledge of the following events) of (i) any material action, demand, suit, claim, cause of action, proceeding or investigation pending or, to the Knowledge of the Seller and Holdings, threatened (in writing) by or against Holdings or any of its Subsidiaries, or (ii) any material proceeding or inquiry of any Governmental Entity pending or, to the Knowledge of the Seller and Holdings, threatened (in writing) against Holdings or any of its Subsidiaries, in each case, related to any Product, the Product Collateral or any Transaction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in the event that the Seller or any of its Affiliates enters into any Permitted Out-License, commercialization, co-promotion, collaboration, distribution, marketing or partnering program with respect to the Product, in each case that grants a license with respect to the Intellectual Property Product Rights to any Subsidiary of Holdings, at least [***] prior to the consummation of any such transaction, the Seller shall give the Buyer written notice thereof and will prior to such consummation cause any such Subsidiary to execute and deliver to the Buyer a joinder agreement and other documents reasonably requested and satisfactory to the Buyer in order to cause such Subsidiary to become a party to the applicable Transaction Documents as if such Subsidiary was a party thereto as of the date 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also provide the Buyer with such additional information regarding the updates included in each Report or Royalty Report as the Buyer may reasonably request from time to time, provided if there is more than one Buyer, such inspection and/or audit shall only be exercised by one Buyer Representative. At the Buyer Representative’s election, the Buyer Representative shall be entitled to a [***] update meeting, or as the Buyer Representative may otherwise reasonably request, to discuss the Reports and Royalty Reports delivered by the Seller pursuant to Section 6.1 and Section 6.2(b), respectively. The Seller shall prepare and maintain and shall cause Holdings and Holdings’ Subsidiaries and use Commercially Reasonable Efforts to cause its Affiliates and Licensees to prepare and maintain reasonably complete and accurate records of the information to be disclosed in each Report and each Royalty Report. All Reports and Royalty Reports, and the Confidential Information contained therein, shall be the Confidential Information of the Seller and Holdings and subject to the obligations of confidentiality set forth in ARTICLE 8</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Royalty Payments; Royalty Reports; Buy-Back Option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19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Commercial Sale of a Product in the Territory, the Seller shall pay to the Buyer, without any setoff or offset (subject, in each case, to Section 6.12 and Section 6.13), the Royalty Payment for each Calendar Quarter on or prior to the Reporting Date for such Calendar Quarter; provided that for any Net Sales made by a Related Party (except Holdings) for which payment is received by the Seller fewer than ten (10) calendar days prior to the applicable Reporting Date, such payment to the Buyer will be paid with the following Calendar Quarter’s Royalty Payment, and further provided that any adjustments to the Royalty Payment for a Calendar Quarter based on or arising out of any discrepancies with Holdings’ Form 10-Q or Form 10-K filed with the SEC will be paid with or credited against, as applicable, the following Calendar Quarter’s Royalty Payment. The Royalty Payment payable for the Calendar Quarter during which the Closing occurs shall be based on the entire period of such Calendar Quarter, and not prorated from the Closing Date through the end of such Calendar Quarter. A late fee of [***] over the Prime Rate (calculated on a per annum basis) will accrue on all unpaid amounts with respect to any Royalty Payment from the date such obligation was due. The imposition and payment of a late fee shall not constitute a waiver of the Buyer’s rights with respect to such payment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7" w:name="page178"/>
    <w:bookmarkEnd w:id="177"/>
    <w:p>
      <w:pPr>
        <w:jc w:val="both"/>
        <w:ind w:firstLine="1304"/>
        <w:spacing w:after="0" w:line="252" w:lineRule="auto"/>
        <w:tabs>
          <w:tab w:leader="none" w:pos="19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Commercial Sale of a Product in the Territory, for each Calendar Quarter, no later than the Reporting Date for such Calendar Quarter, the Seller shall provide to the Buyer a report (a “</w:t>
      </w:r>
      <w:r>
        <w:rPr>
          <w:rFonts w:ascii="Times New Roman" w:cs="Times New Roman" w:eastAsia="Times New Roman" w:hAnsi="Times New Roman"/>
          <w:sz w:val="18"/>
          <w:szCs w:val="18"/>
          <w:u w:val="single" w:color="auto"/>
          <w:color w:val="auto"/>
        </w:rPr>
        <w:t>Royalty Report</w:t>
      </w:r>
      <w:r>
        <w:rPr>
          <w:rFonts w:ascii="Times New Roman" w:cs="Times New Roman" w:eastAsia="Times New Roman" w:hAnsi="Times New Roman"/>
          <w:sz w:val="18"/>
          <w:szCs w:val="18"/>
          <w:color w:val="auto"/>
        </w:rPr>
        <w:t xml:space="preserve">”), in substantially the form attached to this Agreement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setting forth in reasonable detail with respect to all Products, (A) Gross Sales and Net Sales (1) for the applicable Calendar Quarter, (2) the most recent period of four (4) consecutive Calendar Quarters ended as of the last day of such Calendar Quarter, and (3) the calendar year to date, in each case, on a Product-by-Product basis (including a reasonably detailed break-down of all permitted deductions from Gross Sales used to determine Net Sales and any Net Sales described in Section 6.5(e)); (B) the calculation of the Royalty Payment payable to the Buyer for the applicable Calendar Quarter, identifying, on a Product-by-Product basis, the number of units of each Product sold by the Seller, its Affiliates, and each Licensee; and (C) if applicable, foreign currency exchange rates used (which shall be rates of exchange determined in a manner consistent with Holdings’ method for calculating rates of exchange in the preparation of Holdings’ annual financial statements in accordance with GAAP); provided that for any reports received by the Seller with respect to Net Sales by Licensees or Distributors fewer than [***] prior to the Reporting Date, the Seller shall deliver to the Buyer the relevant information from such reports in the following Calendar Quarter’s report and, provided, further, that any adjustments to the Royalty Payment for a Calendar Quarter based on or arising out of any discrepancies with Holdings’ Form 10-Q or Form 10-K filed with the SEC will be paid with or credited against, as applicable, the following Calendar Quarter’s Royalty Payment.</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required to be made by either party under this Agreement shall be made in United States Dollars via electronic funds transfer or wire transfer of immediately available funds to such bank account as the other party shall designate in writing prior to the date of such payment.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Holdings enters into a definitive agreement with a Person that is not an Affiliate of Seller to consummate a Change of Control (a “</w:t>
      </w:r>
      <w:r>
        <w:rPr>
          <w:rFonts w:ascii="Times New Roman" w:cs="Times New Roman" w:eastAsia="Times New Roman" w:hAnsi="Times New Roman"/>
          <w:sz w:val="18"/>
          <w:szCs w:val="18"/>
          <w:u w:val="single" w:color="auto"/>
          <w:color w:val="auto"/>
        </w:rPr>
        <w:t>CoC Agreement</w:t>
      </w:r>
      <w:r>
        <w:rPr>
          <w:rFonts w:ascii="Times New Roman" w:cs="Times New Roman" w:eastAsia="Times New Roman" w:hAnsi="Times New Roman"/>
          <w:sz w:val="18"/>
          <w:szCs w:val="18"/>
          <w:color w:val="auto"/>
        </w:rPr>
        <w:t>”), Holdings or such Person shall have the option to prepay (the “</w:t>
      </w:r>
      <w:r>
        <w:rPr>
          <w:rFonts w:ascii="Times New Roman" w:cs="Times New Roman" w:eastAsia="Times New Roman" w:hAnsi="Times New Roman"/>
          <w:sz w:val="18"/>
          <w:szCs w:val="18"/>
          <w:u w:val="single" w:color="auto"/>
          <w:color w:val="auto"/>
        </w:rPr>
        <w:t>Buy-Back Option</w:t>
      </w:r>
      <w:r>
        <w:rPr>
          <w:rFonts w:ascii="Times New Roman" w:cs="Times New Roman" w:eastAsia="Times New Roman" w:hAnsi="Times New Roman"/>
          <w:sz w:val="18"/>
          <w:szCs w:val="18"/>
          <w:color w:val="auto"/>
        </w:rPr>
        <w:t>”), or the Buyer Representative (if more than one Buyer, on behalf of all Buyers) may, other than in a Change of Control involving a Qualified Buyer, require the Seller to prepay or cause a prepayment (the “</w:t>
      </w:r>
      <w:r>
        <w:rPr>
          <w:rFonts w:ascii="Times New Roman" w:cs="Times New Roman" w:eastAsia="Times New Roman" w:hAnsi="Times New Roman"/>
          <w:sz w:val="18"/>
          <w:szCs w:val="18"/>
          <w:u w:val="single" w:color="auto"/>
          <w:color w:val="auto"/>
        </w:rPr>
        <w:t>Buy-Back Requirement</w:t>
      </w:r>
      <w:r>
        <w:rPr>
          <w:rFonts w:ascii="Times New Roman" w:cs="Times New Roman" w:eastAsia="Times New Roman" w:hAnsi="Times New Roman"/>
          <w:sz w:val="18"/>
          <w:szCs w:val="18"/>
          <w:color w:val="auto"/>
        </w:rPr>
        <w:t xml:space="preserve">”) of, a prespecified amount (“the </w:t>
      </w:r>
      <w:r>
        <w:rPr>
          <w:rFonts w:ascii="Times New Roman" w:cs="Times New Roman" w:eastAsia="Times New Roman" w:hAnsi="Times New Roman"/>
          <w:sz w:val="18"/>
          <w:szCs w:val="18"/>
          <w:u w:val="single" w:color="auto"/>
          <w:color w:val="auto"/>
        </w:rPr>
        <w:t>CoC Payment</w:t>
      </w:r>
      <w:r>
        <w:rPr>
          <w:rFonts w:ascii="Times New Roman" w:cs="Times New Roman" w:eastAsia="Times New Roman" w:hAnsi="Times New Roman"/>
          <w:sz w:val="18"/>
          <w:szCs w:val="18"/>
          <w:color w:val="auto"/>
        </w:rPr>
        <w:t>”) on the date of consummation of such Change of Control (the “</w:t>
      </w:r>
      <w:r>
        <w:rPr>
          <w:rFonts w:ascii="Times New Roman" w:cs="Times New Roman" w:eastAsia="Times New Roman" w:hAnsi="Times New Roman"/>
          <w:sz w:val="18"/>
          <w:szCs w:val="18"/>
          <w:u w:val="single" w:color="auto"/>
          <w:color w:val="auto"/>
        </w:rPr>
        <w:t>CoC Date</w:t>
      </w:r>
      <w:r>
        <w:rPr>
          <w:rFonts w:ascii="Times New Roman" w:cs="Times New Roman" w:eastAsia="Times New Roman" w:hAnsi="Times New Roman"/>
          <w:sz w:val="18"/>
          <w:szCs w:val="18"/>
          <w:color w:val="auto"/>
        </w:rPr>
        <w:t>”) to the Buyer and terminate this Agreement and all obligations hereunder and in respect of the Revenue Participation Right, with such pre-specified payment amount to be based on the CoC Date, as follows: (a) [***] if the CoC Date is after [***] but prior to or on [***], (b) [***], [***] if the CoC Date is after [***] but prior to or on [***], (c) [***], [***] if the CoC Date is after [***] but prior to or on [***], and (d) an amount equal to [***] if the CoC Date is after [***]. Upon entering into a CoC Agreement by Holdings, the Seller shall promptly but no later than [***] thereafter deliver notice of entering into such CoC Agreement to the Buyer, including whether the Seller is exercising a Buy-Back Option and whether the acquiring party is a Qualified Buyer. If the Seller elects to exercise the Buy-Back Option, or if the Buyer Representative (if more than one Buyer, on behalf of all Buyers) exercises the Buy-Back Requirement by delivering notice to the Seller within [***] after receiving such notice from the Seller, the Seller shall or shall cause to, promptly but no later than [***] following the consummation of such Change of Control, pay the CoC Payment to the Buyer. The Seller’s obligation to pay the CoC Payment following the Seller’s exercise of the Buy-Back Option or the Buyer Representative’s exercise of the Buy-Back Requirement shall be contingent upon the consummation of such Change of Control; if such Change of Control is not consummated, the exercise of such Buy-Back Option or such Buy-Back Requirement shall be void. The payment of the CoC Payment shall be made by wire transfer of immediately available funds to one or more accounts specified by the Buyer or, if not timely designated by Buyer, to the account to which payments under the Royalty Payments were transmitted or are to be transmitted pursuant to Section 6.2 Upon Buyer’s receipt of the CoC Payment, except as set forth in Section 9.5 this Agreement shall terminate and all rights and obligations of the parties hereunder and in respect of the Revenue Participation Right shall automatically without any further action of the parties be deemed to be released and irrevocably terminated. Notwithstanding any of the foregoing to the contrary, in the event that the Buy-Back Option or Buy-Back Requirement is exercised during any Calendar Quarter prior to or on the second anniversary of the Closing Date, during which the Seller has earned Net Sales and would otherwise be obligated to make a Royalty Payment to the Buyer, the Seller shall be obligated to make all Royalty Payments otherwise due in accordance with Section 6.2 for all such earned Net Sales up to the date that is [***] prior to the date such CoC Payment is due. The Seller shall remit the CoC Payment to the Buyer on the CoC Payment due date, and such CoC Payment shall include the foregoing amount of such final Royalty Payment.</w:t>
      </w:r>
    </w:p>
    <w:p>
      <w:pPr>
        <w:spacing w:after="0" w:line="19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b w:val="1"/>
          <w:bCs w:val="1"/>
          <w:color w:val="auto"/>
        </w:rPr>
        <w:t>Disclosures</w:t>
      </w:r>
      <w:r>
        <w:rPr>
          <w:rFonts w:ascii="Times New Roman" w:cs="Times New Roman" w:eastAsia="Times New Roman" w:hAnsi="Times New Roman"/>
          <w:sz w:val="18"/>
          <w:szCs w:val="18"/>
          <w:color w:val="auto"/>
        </w:rPr>
        <w:t>. Except for a press release and Holdings’ Form 10-K or Form 8-K describing the material terms of this Agreement and the transactions contemplated by this Agreement, in each case,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8" w:name="page179"/>
    <w:bookmarkEnd w:id="178"/>
    <w:p>
      <w:pPr>
        <w:jc w:val="both"/>
        <w:spacing w:after="0" w:line="252" w:lineRule="auto"/>
        <w:rPr>
          <w:sz w:val="20"/>
          <w:szCs w:val="20"/>
          <w:color w:val="auto"/>
        </w:rPr>
      </w:pPr>
      <w:r>
        <w:rPr>
          <w:rFonts w:ascii="Times New Roman" w:cs="Times New Roman" w:eastAsia="Times New Roman" w:hAnsi="Times New Roman"/>
          <w:sz w:val="18"/>
          <w:szCs w:val="18"/>
          <w:color w:val="auto"/>
        </w:rPr>
        <w:t>approved in form and substance by the Seller and the Buyer or any other public announcement using substantially the same text or disclosing substantially the same substance as such press release, Form 10-K, or Form 8-K,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or delayed), except as may be required by applicable law or stock exchange rule (in which case the party hereto required to make the press release or other public announcement or disclosure shall allow the other party hereto reasonable time to comment on such press release or other public announcement or disclosure in advance of such issuance, and such party hereto required to make the press release or other public announcement or disclosure shall reasonably consider such other party hereto’s reasonable comments), provided that no review or consent shall be required with respect to disclosures by either party hereto otherwise previously approved pursuant to this Section 6.3 and (b) notwithstanding anything herein to the contrary, each party hereto may, without the review or consent of the other party hereto, disclose (and nothing herein shall be construed to restrict either party hereto from disclosing) the Purchase Price and the amount and nature of the Revenue Participation Right and Royalty Payments (and relating accounting disclosures of the transactions contemplated hereby) in such party’s periodic reports and financial statements (other than such party’s initial disclosure regarding the transactions contemplated by this Agreement); provided that with respect to disclosing the nature of the Revenue Participation Right, such disclosure is consistent with prior disclosures.</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b w:val="1"/>
          <w:bCs w:val="1"/>
          <w:color w:val="auto"/>
        </w:rPr>
        <w:t>Inspections and Audits of the Seller</w:t>
      </w:r>
      <w:r>
        <w:rPr>
          <w:rFonts w:ascii="Times New Roman" w:cs="Times New Roman" w:eastAsia="Times New Roman" w:hAnsi="Times New Roman"/>
          <w:sz w:val="18"/>
          <w:szCs w:val="18"/>
          <w:color w:val="auto"/>
        </w:rPr>
        <w:t>. Following the Closing, upon at least [***] written notice and during normal business hours, no more frequently than [***] per [***], the Buyer Representative may cause an inspection and/or audit by an independent public accounting firm reasonably acceptable to the Seller to be made of the Seller’s (or Holdings’) books of account for the</w:t>
      </w:r>
    </w:p>
    <w:p>
      <w:pPr>
        <w:jc w:val="both"/>
        <w:ind w:firstLine="8"/>
        <w:spacing w:after="0" w:line="251" w:lineRule="auto"/>
        <w:tabs>
          <w:tab w:leader="none" w:pos="4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audit for the purpose of determining the correctness of Royalty Payments made under this Agreement, provided if there is more than one Buyer, such inspection and/or audit shall only be exercised by one Buyer Representative. Upon the Buyer Representative’s reasonable request, no more frequently than [***] per [***] while any Out-License remains in effect, the Seller or Holdings, as applicable, shall use Commercially Reasonable Efforts to exercise any rights it may have under any Out-License relating to a Product to cause an inspection and/or audit by an independent public accounting firm to be made of the books of account of any counterparty thereto for the purpose of determining the correctness of Royalty Payments made under this Agreement. All of the out-of-pocket expenses of any inspection or audit requested by the Buyer Representative hereunder (including any audits of any Related Parties and the fees and expenses of such independent public accounting firm designated for such purpose) shall be borne solely by the Buyer, unless the independent public accounting firm determines that Royalty Payments previously paid during the period of the audit were underpaid by an amount greater than [***] of the Royalty Payments actually paid during such period, in which case such expenses shall be borne by the Seller. Any such accounting firm shall not disclose the confidential information of the Seller, Holdings or any such Licensee relating to a Product to any Buyer, except to the extent such disclosure is necessary to determine the correctness of Royalty Payments or otherwise would be included in a Report or a Royalty Report. All information obtained by the Buyer as a result of any such inspection or audit shall be Confidential Information subject to ARTICLE 8. If any audit discloses any underpayments by the Seller to the Buyer, then such underpayment shall be paid by the Seller to the Buyer within [***] of it being so disclosed. If any audit discloses any overpayments by the Seller to the Buyer, then (i) the Seller shall have the right to credit the amount of the overpayment against each subsequent quarterly Royalty Payment due to the Buyer until the overpayment has been fully applied, or (ii) if requested by the Seller in writing, the Buyer shall refund an amount equal to any such remaining overpayment within [***] of receipt of the Seller’s written request.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b w:val="1"/>
          <w:bCs w:val="1"/>
          <w:color w:val="auto"/>
        </w:rPr>
        <w:t>Intellectual Property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Holdings shall, at their sole expense, either directly or by causing any Licensee to do so, use Commercially Reasonable Efforts to take such actions (including taking legal action to specifically enforce the applicable terms of any In-License or Out-License), and prepare, execute, deliver and file any and all agreements, documents or instruments which are necessary to diligently prosecute and maintain, and avoid disclaimer or abandonment of, the Patent Rights in the Territory. The Seller and Holdings shall use Commercially Reasonable Efforts to ensure that all patent applications corresponding to the Patent Rights are diligently prosecuted with the intent to protect all Products in the Territory. In the exercise of its reasonable business discretion, the Seller and Holdings shall use Commercially Reasonable Efforts to diligently defend or assert the Patent Rights against infringement or interference by any other Persons, and against any claims of invalidity (including any reexamination,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9" w:name="page180"/>
    <w:bookmarkEnd w:id="179"/>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opposition, or like proceeding) or unenforceability, including, without limitation, by bringing any legal action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infringement or defending any counterclaim of invalidity or action of a Third Party for declaratory judgment of non-infringement or non-interference, in each case in the Territory. Notwithstanding any other obligation of Seller or Holdings under this Section 6.5(a) Seller or Holdings shall (i) timely bring and prosecute infringement actions in response to certifications made under paragraph IV of 21 U.S.C. §355(j)(2)(A)(vii) or §355(b)(2)(A) with respect to any Orange Book Patent, (ii) defend the Orange Book Patents against any claim of invalidity or unenforceability, and (iii) not disclaim or abandon any Orange Book Patent.</w:t>
      </w:r>
    </w:p>
    <w:p>
      <w:pPr>
        <w:spacing w:after="0" w:line="184" w:lineRule="exact"/>
        <w:rPr>
          <w:sz w:val="20"/>
          <w:szCs w:val="20"/>
          <w:color w:val="auto"/>
        </w:rPr>
      </w:pPr>
    </w:p>
    <w:p>
      <w:pPr>
        <w:jc w:val="both"/>
        <w:ind w:firstLine="1304"/>
        <w:spacing w:after="0" w:line="258" w:lineRule="auto"/>
        <w:tabs>
          <w:tab w:leader="none" w:pos="19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to the Buyer a copy of any written notice received by the Seller or Holdings from a Third Party alleging or claiming that the making, having made, using, importing, offering for sale or selling of a Product infringes or misappropriates any Patents or other intellectual property rights of such Third Party, together with copies of material correspondence sent or received by the Seller or Holdings related thereto, as soon as practicable and in any event not more than [***] following such delivery or receipt.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inform the Buyer of any infringement by a Third Party of any Patent Right in the Territory of which any of the individuals named in the definition of “Knowledge of the Seller and Holdings” (or the successors of such Person at Holdings) becomes aware. Without limiting the foregoing, the Seller shall provide to the Buyer a copy of any written notice of any suspected infringement of any Patent Rights in the Territory delivered or received by the Seller or Holdings, as well as copies of material correspondence related thereto, as soon as practicable and in any event not more than [***] following such delivery or receipt.</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of initiating, or permitting a Licensee to initiate, an enforcement action regarding any suspected infringement by a Third Party of any Patent Right in the Territory, the Seller shall provide the Buyer with written notice of such enforcement action.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Seller or Holdings recovers monetary damages from a Third Party in an action brought for such Third Party’s infringement of any Patent Rights in the Territory relating to a Product, where such damages, whether in the form of judgment or settlement, are awarded for such infringement of such Patent Rights, (i) such recovery will be allocated first to the reimbursement of any expenses incurred by the Seller or Holdings (or any party to an In-License or Permitted Out-License of such Patent Rights entitled to such reimbursement under any such In-License or Permitted Out-License ) in bringing such action (including all reasonable attorney’s fees), (ii) any remaining amounts will be reduced, if applicable, to comply with allocation of recovered damages with licensors of such Patent Rights required under any In-Licenses or Licensees of such Patent Rights under any Permitted Out-Licenses, if any, and (iii) any residual amount of such damages after application of (i) and (ii) will be treated as Net Sales to the extent set forth therein with respect to the applicable Product for the purposes of this Agreement.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b w:val="1"/>
          <w:bCs w:val="1"/>
          <w:color w:val="auto"/>
        </w:rPr>
        <w:t>In-Licenses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9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(and in any event within [***]) provide the Buyer with (i) executed copies of any In-License entered into by the Seller or its Affiliates, and (ii) executed copies of each amendment, supplement, modification or written waiver of any provision of any In-License.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 and Holdings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ten (10) Business Days, after receipt by the Seller or Holdings of any (written or oral) notice from a counterparty to any In-License or its Affiliates of an alleged material breach under any In-License, the Seller shall provide the Buyer a copy thereof (or if restricted by applicable confidentiality obligations under such In-License, notification thereof and a reasonably detailed summary of such material breach). Each of the Seller and Holdings shall use its Commercially Reasonable Efforts to cure any such material breaches by it under any In-License and shall give written notice to the Buyer upon curing any such breach. The Seller shall provide the Buyer with written notice following becoming aware of a counterparty’s material breach of its obligations under any In-License.</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Seller nor Holdings shall terminate any In-License without providing the Buyer prior written notice. Promptly, and in any event within [***] following the Seller’s or Holdings’ notice to a counterparty to 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License of an alleged breach by such counterparty under any such In-License, the Seller shall provide the Buyer a copy thereof.</w:t>
      </w:r>
    </w:p>
    <w:p>
      <w:pPr>
        <w:spacing w:after="0" w:line="2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b w:val="1"/>
          <w:bCs w:val="1"/>
          <w:color w:val="auto"/>
        </w:rPr>
        <w:t>Permitted Licenses; Sales</w:t>
      </w:r>
      <w:r>
        <w:rPr>
          <w:rFonts w:ascii="Times New Roman" w:cs="Times New Roman" w:eastAsia="Times New Roman" w:hAnsi="Times New Roman"/>
          <w:sz w:val="17"/>
          <w:szCs w:val="17"/>
          <w:color w:val="auto"/>
        </w:rPr>
        <w:t>. [***]:</w:t>
      </w:r>
    </w:p>
    <w:p>
      <w:pPr>
        <w:spacing w:after="0" w:line="229" w:lineRule="exact"/>
        <w:rPr>
          <w:sz w:val="20"/>
          <w:szCs w:val="20"/>
          <w:color w:val="auto"/>
        </w:rPr>
      </w:pPr>
    </w:p>
    <w:p>
      <w:pPr>
        <w:jc w:val="both"/>
        <w:ind w:firstLine="1304"/>
        <w:spacing w:after="0" w:line="261" w:lineRule="auto"/>
        <w:tabs>
          <w:tab w:leader="none" w:pos="19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this Section 6.7, the Seller or Holdings may enter into (i) an Out-License (A) solely with the Buyer Representative’s prior written consent (such consent not to be unreasonably withheld, conditioned or delayed) or</w:t>
      </w:r>
    </w:p>
    <w:p>
      <w:pPr>
        <w:jc w:val="both"/>
        <w:ind w:firstLine="8"/>
        <w:spacing w:after="0" w:line="251" w:lineRule="auto"/>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(1) with a Qualified Buyer (if the Qualified Buyer assumes the obligations hereunder in accordance with Section 10.3) or (2) if the CoC Payment is made on the applicable CoC Date (each of (A) and (B)(1), a “</w:t>
      </w:r>
      <w:r>
        <w:rPr>
          <w:rFonts w:ascii="Times New Roman" w:cs="Times New Roman" w:eastAsia="Times New Roman" w:hAnsi="Times New Roman"/>
          <w:sz w:val="18"/>
          <w:szCs w:val="18"/>
          <w:u w:val="single" w:color="auto"/>
          <w:color w:val="auto"/>
        </w:rPr>
        <w:t>Permitted Out-License</w:t>
      </w:r>
      <w:r>
        <w:rPr>
          <w:rFonts w:ascii="Times New Roman" w:cs="Times New Roman" w:eastAsia="Times New Roman" w:hAnsi="Times New Roman"/>
          <w:sz w:val="18"/>
          <w:szCs w:val="18"/>
          <w:color w:val="auto"/>
        </w:rPr>
        <w:t>”); (ii) distribution, marketing, contract manufacturing, logistics, clinical trial or sales force agreements, and similar vendor or fee-for-service arrangements, and non-exclusive research, non-exclusive development and other non-exclusive licenses, in each case without the Buyer Representative’s prior written consent (“</w:t>
      </w:r>
      <w:r>
        <w:rPr>
          <w:rFonts w:ascii="Times New Roman" w:cs="Times New Roman" w:eastAsia="Times New Roman" w:hAnsi="Times New Roman"/>
          <w:sz w:val="18"/>
          <w:szCs w:val="18"/>
          <w:u w:val="single" w:color="auto"/>
          <w:color w:val="auto"/>
        </w:rPr>
        <w:t>Other License</w:t>
      </w:r>
      <w:r>
        <w:rPr>
          <w:rFonts w:ascii="Times New Roman" w:cs="Times New Roman" w:eastAsia="Times New Roman" w:hAnsi="Times New Roman"/>
          <w:sz w:val="18"/>
          <w:szCs w:val="18"/>
          <w:color w:val="auto"/>
        </w:rPr>
        <w:t>”), provided that (x) such Other License does not convey any Commercialization rights (other than by Distributors or Commercialization services performed by service providers for the benefit of the Seller, Holdings, or any of its Affiliates), and (y) such Permitted Out-License or Other License, as may be applicable, shall not assign, or otherwise convey title to or impose any Lien (other than the grant of the license, sublicense or other right) on any Product Collateral in favor of any Third Party; and (iii) the Intercompany License (any such Permitted Out-License, Other License or the Intercompany License, a “</w:t>
      </w:r>
      <w:r>
        <w:rPr>
          <w:rFonts w:ascii="Times New Roman" w:cs="Times New Roman" w:eastAsia="Times New Roman" w:hAnsi="Times New Roman"/>
          <w:sz w:val="18"/>
          <w:szCs w:val="18"/>
          <w:u w:val="single" w:color="auto"/>
          <w:color w:val="auto"/>
        </w:rPr>
        <w:t>Permitted License</w:t>
      </w:r>
      <w:r>
        <w:rPr>
          <w:rFonts w:ascii="Times New Roman" w:cs="Times New Roman" w:eastAsia="Times New Roman" w:hAnsi="Times New Roman"/>
          <w:sz w:val="18"/>
          <w:szCs w:val="18"/>
          <w:color w:val="auto"/>
        </w:rPr>
        <w:t>”). Neither Seller nor Holdings shall enter into definitive agreement with respect to any Sale without the Buyer Representative’s prior written consent, which may be exercised in its sole and absolute discretion.</w:t>
      </w:r>
    </w:p>
    <w:p>
      <w:pPr>
        <w:spacing w:after="0" w:line="192"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promptly (and in any event within [***]) provide the Buyer with (i) executed copies of each Permitted License, as may be applicable, and (ii) executed copies of each amendment, supplement, modification or written waiver of any material provision of a Permitted License, as may be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Holdings shall include in all Permitted Out-Licenses as may be applicable, provisions (i) requiring the Licensee (as applicable) to provide to Seller all information that Seller is required to provide in the Royalty Reports within the same time frame as required under Section 6.2(b), including but not limited to Gross Sales and Net Sales for the applicable Calendar Quarter and four (4) consecutive Calendar Quarters ended as of the last day of such Calendar Quarter and calendar year to date, on a Product-by-Product basis (including a reasonably detailed break-down of all permitted deductions from Gross Sales used to determine Net Sales and any Net Sales described in Section 6.5(e)) (collectively, the “</w:t>
      </w:r>
      <w:r>
        <w:rPr>
          <w:rFonts w:ascii="Times New Roman" w:cs="Times New Roman" w:eastAsia="Times New Roman" w:hAnsi="Times New Roman"/>
          <w:sz w:val="18"/>
          <w:szCs w:val="18"/>
          <w:u w:val="single" w:color="auto"/>
          <w:color w:val="auto"/>
        </w:rPr>
        <w:t>Licensee Reports</w:t>
      </w:r>
      <w:r>
        <w:rPr>
          <w:rFonts w:ascii="Times New Roman" w:cs="Times New Roman" w:eastAsia="Times New Roman" w:hAnsi="Times New Roman"/>
          <w:sz w:val="18"/>
          <w:szCs w:val="18"/>
          <w:color w:val="auto"/>
        </w:rPr>
        <w:t>”), (ii) allowing the Seller to provide such Licensee Reports to Buyer (and the Seller hereby covenants to provide such Licensee Reports (as applicable) promptly to the Buyer but in no event later than delivery of the respective Royalty Report under Section 6.2(b)), and (iii) for inspection and audit rights in favor of the Seller or Holdings, as applicable, substantially similar in nature and scope as provided to the Buyer pursuant to Section 6.4. Holdings agrees to comply with the foregoing requirements with respect to the Intercompany License and subject to such compliance, Buyer acknowledges and agrees that the Intercompany License in effect as of the Amendment Date complies with this Section 6.7(c).</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 and Holdings shall provide the Buyer prompt (and in any event within [***]) written notice of a material breach by a Licensee or of any of its obligations under any Permitted Out-License, of which any of the individuals named in the definition of “Knowledge of the Seller and Holdings” (or the successors of such Person at Holdings) becomes aware.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provide the Buyer with written notice promptly (and in any event within [***]) following the termination of any Permitted Out-License.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acknowledges and agrees that in the event that Seller or Holdings enters into (or plans to enter into) any Permitted License or other license (e.g. outside of the Territory), the Buyer shall, at the reasonable request of the Seller, enter into non-disturbance and similar agreements in a form reasonably acceptable to the Buyer in connection with such Permitted License to the extent reasonably requested by the counterparty (or prospective counter-party) to such Permitted License.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b w:val="1"/>
          <w:bCs w:val="1"/>
          <w:color w:val="auto"/>
        </w:rPr>
        <w:t>Restricted Indebtedness</w:t>
      </w:r>
      <w:r>
        <w:rPr>
          <w:rFonts w:ascii="Times New Roman" w:cs="Times New Roman" w:eastAsia="Times New Roman" w:hAnsi="Times New Roman"/>
          <w:sz w:val="18"/>
          <w:szCs w:val="18"/>
          <w:color w:val="auto"/>
        </w:rPr>
        <w:t>. Prior to the occurrence of a Release Event, Holdings shall not, and shall not permit any of its Subsidiaries to, create, incur, assume or suffer to exist any Restricted Indebtedness without the Buyer Representative’s prior consent. As a condition to the incurrence at any time of any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1" w:name="page182"/>
    <w:bookmarkEnd w:id="181"/>
    <w:p>
      <w:pPr>
        <w:jc w:val="both"/>
        <w:spacing w:after="0" w:line="266" w:lineRule="auto"/>
        <w:rPr>
          <w:sz w:val="20"/>
          <w:szCs w:val="20"/>
          <w:color w:val="auto"/>
        </w:rPr>
      </w:pPr>
      <w:r>
        <w:rPr>
          <w:rFonts w:ascii="Times New Roman" w:cs="Times New Roman" w:eastAsia="Times New Roman" w:hAnsi="Times New Roman"/>
          <w:sz w:val="18"/>
          <w:szCs w:val="18"/>
          <w:color w:val="auto"/>
        </w:rPr>
        <w:t>Indebtedness for borrowed money with one or more Senior Debt Providers, the Buyer shall enter, and the Seller and Holdings shall enter and cause such Senior Debt Provider to enter, into an Acceptable Intercreditor Agreement to be mutually agreed by the parties thereto. The Buyer and the Seller and Holdings agree to negotiate such Acceptable Intercreditor Agreement in good faith.</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b w:val="1"/>
          <w:bCs w:val="1"/>
          <w:color w:val="auto"/>
        </w:rPr>
        <w:t>Diligence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Holdings shall use Commercially Reasonable Efforts to (i) complete clinical development of Etripamil in the Territory, (ii) obtain and maintain Marketing Approvals for all Products for the Approved Indication in the Territory, (iii) conduct and complete any post-marketing Clinical Trials required by the FDA as a condition for maintaining U.S. Marketing Approval, and (iv) Commercialize all Products in the Territory. In furtherance of the foregoing, the Seller and Holdings shall use Commercially Reasonable Efforts to prepare, execute, deliver and file any and all agreements, documents or instruments that are necessary or desirable to secure and maintain such Marketing Approval required to Commercialize all Products in the Territory and the Seller and Holdings shall use Commercially Reasonable Efforts to not withdraw or abandon, or fail to take any action necessary to prevent the withdrawal or abandonment of, any such Marketing Approval in the Territory.</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Product-by-Product basis, if a Loss of Market Exclusivity has occurred in the Territory for a Product, the Seller’s and Holdings’ obligations under Section 6.9(a) shall no longer apply in the Territory for such Product.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b w:val="1"/>
          <w:bCs w:val="1"/>
          <w:color w:val="auto"/>
        </w:rPr>
        <w:t>Efforts to Consummate Transactions</w:t>
      </w:r>
      <w:r>
        <w:rPr>
          <w:rFonts w:ascii="Times New Roman" w:cs="Times New Roman" w:eastAsia="Times New Roman" w:hAnsi="Times New Roman"/>
          <w:sz w:val="18"/>
          <w:szCs w:val="18"/>
          <w:color w:val="auto"/>
        </w:rPr>
        <w:t>. Subject to the terms and conditions of this Agreement, the Seller will use its Commercially Reasonable Efforts and the Buyer will use its commercially reasonable efforts prior to the Closing to take, or cause to be taken, all actions and to do, or cause to be done, all things reasonably necessary under applicable law to consummate the transactions contemplated by this Agreement and the Transaction Documents.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 and to vest in Buyer good and valid right, title, and interest in and to the Revenue Participation Right, which is, as of the Closing, free and clear of all Liens, except for (a) Liens created in favor of Buyer on or after the Closing pursuant to the Note Purchase Agreement, and (b) liens for taxes or other government charges arising by operation of law in the ordinary course of business for sums which are not yet due and payable.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b w:val="1"/>
          <w:bCs w:val="1"/>
          <w:color w:val="auto"/>
        </w:rPr>
        <w:t>Continuing Efforts; Further Assurances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19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Amendment Date, the Seller and the Buyer agree to execute and deliver such other documents, certificates, agreements and other writings and to take such other actions as may be reasonably necessary in order to give effect to the transactions contemplated by this Agreement. After the Amendment Date, the Seller shall use its Commercially Reasonable Efforts to obtain and maintain any required consents, acknowledgements, certificates or waivers so that the transactions contemplated by this Agreement or any other Transaction Document may be consummated and shall not result in any default or breach or termination of any material contract in respect of the Revenue Participation Right or the Product Collateral.</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the Seller and Holdings shall cooperate and provide assistance as reasonably requested by the other party, at the expense of such other party (other than expenses that are Losses subject to indemnification in accordance with Article 7), in connection with any Third Party litigation, arbitration or other Third Party proceeding with respect to the Revenue Participation Right, or the Product Collateral (whether threatened, existing, initiated, or contemplated prior to, on or after the date hereof) to which any party hereto or any of its officers, directors, shareholders, agents or employees is or may become a party or is or may become otherwise directly or indirectly affected or as to which any such Persons have a direct or indirect interests, in each case relating to this Agreement, any other Transaction Document, the Revenue Participation Right or any other Product Collateral, or the transactions described herein or therein.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b w:val="1"/>
          <w:bCs w:val="1"/>
          <w:color w:val="auto"/>
        </w:rPr>
        <w:t>Non-Impairment; Back-Up Security Interest</w:t>
      </w:r>
      <w:r>
        <w:rPr>
          <w:rFonts w:ascii="Times New Roman" w:cs="Times New Roman" w:eastAsia="Times New Roman" w:hAnsi="Times New Roman"/>
          <w:sz w:val="18"/>
          <w:szCs w:val="18"/>
          <w:color w:val="auto"/>
        </w:rPr>
        <w:t>. Holdings shall not, and shall not permit any Subsidiary to, as may be applicable, (a) enter into any contracts or arrangement or otherwise knowingly take any action or knowingly fail to act in a manner that would, individually or in the aggregate,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2" w:name="page183"/>
    <w:bookmarkEnd w:id="182"/>
    <w:p>
      <w:pPr>
        <w:jc w:val="both"/>
        <w:spacing w:after="0" w:line="253" w:lineRule="auto"/>
        <w:rPr>
          <w:sz w:val="20"/>
          <w:szCs w:val="20"/>
          <w:color w:val="auto"/>
        </w:rPr>
      </w:pPr>
      <w:r>
        <w:rPr>
          <w:rFonts w:ascii="Times New Roman" w:cs="Times New Roman" w:eastAsia="Times New Roman" w:hAnsi="Times New Roman"/>
          <w:sz w:val="18"/>
          <w:szCs w:val="18"/>
          <w:color w:val="auto"/>
        </w:rPr>
        <w:t>materially and adversely affect the Buyer’s rights to the Revenue Participation Right or the Back-Up Security Interest, or (b) take any action or engage in any transaction (or series of actions or transactions), whether by reorganization, transfer of assets, merger, dissolution, amendment of organizational documents or otherwise, the primary purpose of which is to evade, avoid or seek to avoid the performance or observance of the covenants, agreements or obligations of the Seller or Holdings under the Transaction Documents; provided, however, that such clauses (a) and (b) shall not restrict the incurrence of Indebtedness or Liens or the entry into Out-Licenses, in each case to the extent not otherwise prohibited under this Agreement or otherwise be deemed to expand or modify any affirmative or negative covenants in this ARTICLE 6. At the Closing Date, each of the Seller and Holdings shall grant in favor of Buyer, and take such additional actions as reasonably requested by Buyer to ensure that thereafter, prior to the occurrence of a Release Event, Buyer has a valid, continuing, first priority security interest in and to all right, title and interest in, to and under the Revenue Participation Right and the Royalty Payments and a security interest in and to all right, title and interest in, to and under the Product Collateral in accordance with the terms set forth in Section 2.1</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7"/>
          <w:szCs w:val="17"/>
          <w:b w:val="1"/>
          <w:bCs w:val="1"/>
          <w:color w:val="auto"/>
        </w:rPr>
        <w:t>Certain 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and the Buyer agree that for U.S. federal Tax purposes, the Seller and the Buyer shall treat the transactions contemplated by this Agreement as a sale of the Revenue Participation Right. The Seller shall not, by reason of its duties and functions hereunder, be deemed to be acting as a partner of or to be engaged in a joint venture, association or syndication with, the Buyer for tax purposes. The parties hereto agree not to take any position that is inconsistent with the provisions of this Section 6.13(a) on any U.S. tax return or in any audit or other tax-related administrative or judicial proceeding in the U.S. unless the other party hereto has consented in writing (such consent not to be unreasonably withheld, conditioned or delayed) to such actions. If there is an inquiry by any Governmental Entity of the Buyer or the Seller related to the treatment described in this Section 6.13(a) the parties hereto shall cooperate with each other in responding to such inquiry in a reasonable manner which is consistent with this Section 6.13(a)</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as of the date hereof, all payments by the Seller to the Buyer and by the Buyer to the Seller shall be made without deduction or withholding for any Taxes. If any change in applicable law requires the deduction or withholding of any Tax from any payment by the Seller, then the Seller shall be entitled to withhold and deduct (or cause to be withheld and deducted) from any amount payable under this Agreement to the Buyer any Tax that it is required to withhold and deduct under applicable law. The Seller shall timely pay the full amount deducted or withheld to the relevant governmental authority in accordance with applicable law. For the avoidance of doubt and notwithstanding anything to the contrary in this Agreement, any amount payable by the Seller to the Buyer shall be increased as necessary so that after deduction or withholding of any Tax has been made (including such deductions and withholdings applicable to additional sums payable under this Section 6.13(b)) (whether as a result of a change in applicable law or otherwise), the Buyer receives an amount equal to the sum it would have received had no such deduction or withholding been made; provided, however, that if, as a result of a Withholding Action by the Buyer, the amount of any tax withheld or deducted exceeds the amount of such withholding or deduction that would have been required in the absence of such Withholding Action, the Seller shall be required to pay an additional amount only to the extent that the Seller would be required to pay any additional amount to the Buyer pursuant to this Section 6.13(b) if the Buyer had not committed such Withholding Action (except to the extent such excess additional amounts results from a change in applicable law that occurs after the date of such Withholding Action).</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18"/>
          <w:szCs w:val="18"/>
          <w:color w:val="auto"/>
        </w:rPr>
        <w:t>. The Seller shall use proceeds received from Buyer pursuant to this Agreement in support of Commercialization of the Products.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b w:val="1"/>
          <w:bCs w:val="1"/>
          <w:color w:val="auto"/>
        </w:rPr>
        <w:t>Intercompany License</w:t>
      </w:r>
      <w:r>
        <w:rPr>
          <w:rFonts w:ascii="Times New Roman" w:cs="Times New Roman" w:eastAsia="Times New Roman" w:hAnsi="Times New Roman"/>
          <w:sz w:val="18"/>
          <w:szCs w:val="18"/>
          <w:color w:val="auto"/>
        </w:rPr>
        <w:t>. The Seller and Holdings shall not (i) enter into any related party agreement that materially adversely affects Buyer’s rights under this Agreement (other than the Intercompany License) or (ii) amend, modify or supplement the Intercompany License in a way that materially adversely affects the Buyer’s interests under this Agreement (and any other ancillary agreement or transaction document contemplated by this Agreement), without prior written consent of the Buyer Representative. The Seller and Holdings shall provide the Buyer Representative with a copy of any amendments, modifications or supplements to the Intercompany License, whether or not the Buyer Representative’s consent is required pursuant to the foregoing. Without limiting the foregoing, neither Holdings nor Seller may terminate the Intercompany License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3" w:name="page184"/>
    <w:bookmarkEnd w:id="183"/>
    <w:p>
      <w:pPr>
        <w:spacing w:after="0" w:line="282" w:lineRule="auto"/>
        <w:rPr>
          <w:sz w:val="20"/>
          <w:szCs w:val="20"/>
          <w:color w:val="auto"/>
        </w:rPr>
      </w:pPr>
      <w:r>
        <w:rPr>
          <w:rFonts w:ascii="Times New Roman" w:cs="Times New Roman" w:eastAsia="Times New Roman" w:hAnsi="Times New Roman"/>
          <w:sz w:val="18"/>
          <w:szCs w:val="18"/>
          <w:color w:val="auto"/>
        </w:rPr>
        <w:t>the Buyer Representative. All obligations of Holdings and Seller under the Intercompany License, including indemnification obligations, are subordinated to Buyer’s rights under this Agreement pursuant to Section 10.15.</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b w:val="1"/>
          <w:bCs w:val="1"/>
          <w:color w:val="auto"/>
        </w:rPr>
        <w:t>Ownership of Seller</w:t>
      </w:r>
      <w:r>
        <w:rPr>
          <w:rFonts w:ascii="Times New Roman" w:cs="Times New Roman" w:eastAsia="Times New Roman" w:hAnsi="Times New Roman"/>
          <w:sz w:val="18"/>
          <w:szCs w:val="18"/>
          <w:color w:val="auto"/>
        </w:rPr>
        <w:t>. Holdings does and shall continue to hold directly or indirectly one hundred percent (100%) of the outstanding voting securities of Seller.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b w:val="1"/>
          <w:bCs w:val="1"/>
          <w:color w:val="auto"/>
        </w:rPr>
        <w:t>General Indemnity</w:t>
      </w:r>
      <w:r>
        <w:rPr>
          <w:rFonts w:ascii="Times New Roman" w:cs="Times New Roman" w:eastAsia="Times New Roman" w:hAnsi="Times New Roman"/>
          <w:sz w:val="17"/>
          <w:szCs w:val="17"/>
          <w:color w:val="auto"/>
        </w:rPr>
        <w:t>. From and after the Closing:</w:t>
      </w:r>
    </w:p>
    <w:p>
      <w:pPr>
        <w:spacing w:after="0" w:line="229" w:lineRule="exact"/>
        <w:rPr>
          <w:sz w:val="20"/>
          <w:szCs w:val="20"/>
          <w:color w:val="auto"/>
        </w:rPr>
      </w:pPr>
    </w:p>
    <w:p>
      <w:pPr>
        <w:jc w:val="both"/>
        <w:ind w:firstLine="1304"/>
        <w:spacing w:after="0" w:line="258" w:lineRule="auto"/>
        <w:tabs>
          <w:tab w:leader="none" w:pos="19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agrees to indemnify, defend and hold harmless the Buyer and its Affiliates and its and their directors, managers, trustees, officers, agents and employees (the “</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from, against and in respect of all Losses suffered or incurred by the Buyer Indemnified Parties to the extent arising out of or resulting from (i) any breach of any of the representations or warranties of the Seller in this Agreement, (ii) any breach of any of the covenants or agreements of the Seller in this Agreement and (iii) any Indemnified Taxes;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from, against and in respect of all Losses suffered or incurred by the Seller Indemnified Parties to the extent arising out of or resulting from (i) any breach of any of the representations or warranties of the Buyer in this Agreement and (ii) any breach of any of the covenants or agreements of the Buyer in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color w:val="auto"/>
        </w:rPr>
        <w:t>Notice of Claims</w:t>
      </w:r>
      <w:r>
        <w:rPr>
          <w:rFonts w:ascii="Times New Roman" w:cs="Times New Roman" w:eastAsia="Times New Roman" w:hAnsi="Times New Roman"/>
          <w:sz w:val="18"/>
          <w:szCs w:val="18"/>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suffered or incurred any Losses for which indemnification may be sought under this ARTICLE 7, the Indemnified Party shall so notify the other party from whom indemnification is sought under this ARTICLE 7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b w:val="1"/>
          <w:bCs w:val="1"/>
          <w:color w:val="auto"/>
        </w:rPr>
        <w:t>Claim Procedures</w:t>
      </w:r>
      <w:r>
        <w:rPr>
          <w:rFonts w:ascii="Times New Roman" w:cs="Times New Roman" w:eastAsia="Times New Roman" w:hAnsi="Times New Roman"/>
          <w:sz w:val="18"/>
          <w:szCs w:val="18"/>
          <w:color w:val="auto"/>
        </w:rPr>
        <w:t>. In case any such action is brought against an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will not be liable to such Indemnified Party under this Section 7.3 for any legal or other expenses subsequently incurred by such Indemnified Party in connection with the defense thereof other than reasonable costs of investigation. In any such proceeding, an Indemnified Party shall have the right to retain its own counsel reasonably satisfactory to the Indemnifying Party, but the reasonable fees and expenses of such counsel shall be at the expense of such Indemnified Party unless (a) the Indemnifying Party has assumed the defense of such proceeding and has failed within a reasonable time to retain counsel reasonably satisfactory to such Indemnified Party or (b) the named parties to any such proceeding (including any impleaded parties) include both the Indemnifying Party and the Indemnified Party and representation of both parties by the same counsel would be inappropriate due to actual or potential conflicts of interests between them based on the advice of such counsel.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The Indemnifying Party shall not be liable for any settlement of any proceeding effected without its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4" w:name="page185"/>
    <w:bookmarkEnd w:id="184"/>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consent. No Indemnifying Party shall, without the prior written consent of the Indemnified Party, which shall not be unreasonably withheld, conditioned, or delayed,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b w:val="1"/>
          <w:bCs w:val="1"/>
          <w:color w:val="auto"/>
        </w:rPr>
        <w:t>Limitations on Liability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19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claims arising from a breach of confidentiality obligations under ARTICLE 8 or in cases of fraud, gross negligence, or willful misconduct, no party hereto shall be liable for any consequential, punitive, special or incidental damages under this ARTICLE 7 (and no claim for indemnification hereunder shall be asserted) as a result of any breach or violation of any covenant or agreement of such party (including under this ARTICLE 7) in or pursuant to this Agreement. In connection with the foregoing, the parties hereto acknowledge and agree that (a) the Buyer’s damages, if any, for any such action or claim will include Losses for Royalty Payments that the Buyer was entitled to receive in respect of its ownership of the Royalty Payments but did not receive timely or at all due to such indemnifiable event and (b) the Buyer shall be entitled to make claims for all such missing or delayed Royalty Payments as Losses hereunder, and such missing or Royalty Payments shall not be deemed consequential, punitive, special, indirect or incidental damages.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b w:val="1"/>
          <w:bCs w:val="1"/>
          <w:color w:val="auto"/>
        </w:rPr>
        <w:t>Exclusive Remedy</w:t>
      </w:r>
      <w:r>
        <w:rPr>
          <w:rFonts w:ascii="Times New Roman" w:cs="Times New Roman" w:eastAsia="Times New Roman" w:hAnsi="Times New Roman"/>
          <w:sz w:val="18"/>
          <w:szCs w:val="18"/>
          <w:color w:val="auto"/>
        </w:rPr>
        <w:t>. Except as set forth in Section 10.10, from and after Closing, the rights of the 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fraud, gross negligence, or willful misconduct shall not be waived or limited in any way by this ARTICLE 7</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b w:val="1"/>
          <w:bCs w:val="1"/>
          <w:color w:val="auto"/>
        </w:rPr>
        <w:t>Tax Treatment of Indemnification Payments</w:t>
      </w:r>
      <w:r>
        <w:rPr>
          <w:rFonts w:ascii="Times New Roman" w:cs="Times New Roman" w:eastAsia="Times New Roman" w:hAnsi="Times New Roman"/>
          <w:sz w:val="18"/>
          <w:szCs w:val="18"/>
          <w:color w:val="auto"/>
        </w:rPr>
        <w:t>. For all purposes hereunder, any indemnification payments made pursuant to this ARTICLE 7 will be treated as an adjustment to the Purchase Price for Tax purposes, including U.S. federal income tax to the fullest extent permitted by applicable law.</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All representations and warranties made herein and in any other Transaction Document, any certificates or in any other writing delivered pursuant hereto or thereto shall survive the execution and delivery of this Agreement and shall continue to survive until the expiration or termination of this Agreement in accordance with ARTICLE 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Except as provided in this ARTICLE 8 Section 10.4 or otherwise agreed in writing by the parties, the parties hereto agree that, during the term of this Agreement and for [***] thereafter, each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pursuant to this Agreement (such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of the Disclosing Party), except for that portion of such information that:</w:t>
      </w:r>
    </w:p>
    <w:p>
      <w:pPr>
        <w:spacing w:after="0" w:line="186" w:lineRule="exact"/>
        <w:rPr>
          <w:sz w:val="20"/>
          <w:szCs w:val="20"/>
          <w:color w:val="auto"/>
        </w:rPr>
      </w:pPr>
    </w:p>
    <w:p>
      <w:pPr>
        <w:ind w:right="20" w:firstLine="1304"/>
        <w:spacing w:after="0" w:line="282" w:lineRule="auto"/>
        <w:tabs>
          <w:tab w:leader="none" w:pos="19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other than under an obligation of confidentiality, at the time of disclosure by the Disclosing Party;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5" w:name="page186"/>
    <w:bookmarkEnd w:id="185"/>
    <w:p>
      <w:pPr>
        <w:ind w:firstLine="1304"/>
        <w:spacing w:after="0" w:line="282" w:lineRule="auto"/>
        <w:tabs>
          <w:tab w:leader="none" w:pos="19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 or any other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Receiving Party or any of its Affiliates, as evidenced by written records, without the use of or reference of the Confidential Information;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on a non-confidential basis by a Third Party without obligations of confidentiality with respect thereto.</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b w:val="1"/>
          <w:bCs w:val="1"/>
          <w:color w:val="auto"/>
        </w:rPr>
        <w:t>Authorized Disclosure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9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hereto may disclose Confidential Information to the extent such disclosure is reasonably necessary in the following situations:</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prosecuting or defending litigation;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and regulations, including regulations promulgated by securities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valid order of a court of competent jurisdiction or other Governmental Entity;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regulatory, Tax or customs purposes;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0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audit purposes, provided that each recipient of Confidential Information must be bound by customary and reasonable obligations of confidentiality and non-use prior to any such disclosure;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prior written consent of the Disclosing Party;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0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its potential 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w:t>
      </w:r>
    </w:p>
    <w:p>
      <w:pPr>
        <w:spacing w:after="0" w:line="18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is necessary in connection with a permitted assignment pursuant to Section 10.3.</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the Receiving Party is required to make a disclosure of the Disclosing Party’s Confidential Information pursuant to Section 8.2(a)(i) (ii) (iii) or (iv) it will, except where impracticable, give reasonable advance notice to the Disclosing Party of such disclosure and use reasonable efforts to secure confidential treatment of such information. In any event, the Buyer shall not file any patent application based upon or using the Confidential Information of the Seller provided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to the contrary, materials and documentation relating to the Seller’s Intellectual Property Rights may be only disclosed to or accessed by the Buyer, its attorneys and auditors, and prospective assignees without further disclosure to any other Representative of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b w:val="1"/>
          <w:bCs w:val="1"/>
          <w:color w:val="auto"/>
        </w:rPr>
        <w:t>Mutual Termination</w:t>
      </w:r>
      <w:r>
        <w:rPr>
          <w:rFonts w:ascii="Times New Roman" w:cs="Times New Roman" w:eastAsia="Times New Roman" w:hAnsi="Times New Roman"/>
          <w:sz w:val="18"/>
          <w:szCs w:val="18"/>
          <w:color w:val="auto"/>
        </w:rPr>
        <w:t>. This Agreement may be terminated by mutual written agreement of the Buyer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b w:val="1"/>
          <w:bCs w:val="1"/>
          <w:color w:val="auto"/>
        </w:rPr>
        <w:t>Termination upon Failure to Achieve U.S. Marketing Approval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automatically terminate upon Seller’s or Holdings’ failure to achieve U.S. Marketing Approval by the Marketing Approval Deadline unless such date is extended by the mutual written agreement of the Seller and the Buyer.</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b w:val="1"/>
          <w:bCs w:val="1"/>
          <w:color w:val="auto"/>
        </w:rPr>
        <w:t>Buyer Termination for Unexpected Contraindications</w:t>
      </w:r>
      <w:r>
        <w:rPr>
          <w:rFonts w:ascii="Times New Roman" w:cs="Times New Roman" w:eastAsia="Times New Roman" w:hAnsi="Times New Roman"/>
          <w:sz w:val="18"/>
          <w:szCs w:val="18"/>
          <w:color w:val="auto"/>
        </w:rPr>
        <w:t>. If the Seller or Holdings receives U.S. Marketing Approval with one or more Unexpected Contraindications, then the Buyer Representative (if more than one Buyer, on behalf of all Buyers) may terminate this Agreement by delivering written notice to the Seller of such election.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b w:val="1"/>
          <w:bCs w:val="1"/>
          <w:color w:val="auto"/>
        </w:rPr>
        <w:t>Automatic Termination</w:t>
      </w:r>
      <w:r>
        <w:rPr>
          <w:rFonts w:ascii="Times New Roman" w:cs="Times New Roman" w:eastAsia="Times New Roman" w:hAnsi="Times New Roman"/>
          <w:sz w:val="18"/>
          <w:szCs w:val="18"/>
          <w:color w:val="auto"/>
        </w:rPr>
        <w:t>. Unless earlier terminated as provided in this ARTICLE 9 this Agreement shall continue in full force and effect until sixty (60) days after such time as the Seller is no longer obligated to make any Royalty Payments under this Agreement, at which point this Agreement shall automatically terminate, except with respect to any rights that shall have accrued prior to such termination.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Notwithstanding anything to the contrary in this ARTICLE 9 the following provisions shall survive termination of this Agreement: Section 6.3 (Disclosures), ARTICLE 7 (Indemnification), ARTICLE 8 (Confidentiality), this Section 9.5 (Survival) and ARTICLE 10 (Miscellaneous) Termination of the Agreement shall not relieve any party of liability in respect of breaches under this Agreement by any party on or prior to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Section 10.2: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1111 Dr.-Frederik-Philips Blvd., Ste. 420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Montreal, Quebec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H4M 2X6 Canada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Embarcadero Center, 20th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87" w:name="page188"/>
    <w:bookmarkEnd w:id="187"/>
    <w:p>
      <w:pPr>
        <w:ind w:left="130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Gian-Michele a Marca, Jason Savich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gmamarca@cooley.com, jsavich@cooley.com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Buyer: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ROYALTY I DAC</w:t>
      </w:r>
    </w:p>
    <w:p>
      <w:pPr>
        <w:ind w:left="1300"/>
        <w:spacing w:after="0" w:line="196"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Palmserston House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Denzille Lane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Dublin 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D02 WD37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Ireland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RTW Investments, LP, as Buyer Representative for the Buyer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 and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 and legalops@rtwfunds.com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Ryan Murr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rmurr@gibsondunn.com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notices and communications under this Agreement shall be deemed to have been duly given (a) when delivered by hand, if personally delivered, (b) when sent, if by email with PDF attachment, with an acknowledgement of receipt being produced by the recipient’s email account, or (c) one (1) Business Day following sending within the United States by overnight delivery via commercial one-day overnight courier service.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The Seller may not assign in whole or in part this Agreement or any of its rights or obligations hereunder without the Buyer Representative’s prior written consent, except in connection with a Change of Control or a Permitted Out-License, and only if upon closing any such transaction, the Seller causes such acquirer or Licensee, as applicable, to deliver a writing to the Buyer in which it assumes all of the obligations of the Seller to the Buyer under this Agreement, and such acquirer or Licensee as applicable, shall be deemed an assignee of the Seller under this Agreement; provided that, for the avoidance of doubt, nothing in this Section 10.3 shall restrict a Change of Control or the Seller licensing any Product Rights pursuant to a Permitted License. Following the Closing, Buyer may assign, without the consent of Seller, its obligations and rights under this Agreement to any Person, including to any Third Party or to one or more of its Affiliates, [***]. This Agreement shall be binding upon, inure to the benefit of and be enforceable by, the parties hereto and their respective permitted successors and assigns. Any purported assignment in violation of this Section 10.3 shall be null and void.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b w:val="1"/>
          <w:bCs w:val="1"/>
          <w:color w:val="auto"/>
        </w:rPr>
        <w:t>Amendment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9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modified or supplemented only in a writing signed by each of the parties hereto. Any provision of this Agreement may be waived only in a writing signed by the party hereto granting such waiver.</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hereto in exercising any right, power or remedy hereunder shall operate as a waiver thereof, nor shall any single or partial exercise of any such right, power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8" w:name="page189"/>
    <w:bookmarkEnd w:id="188"/>
    <w:p>
      <w:pPr>
        <w:jc w:val="both"/>
        <w:spacing w:after="0" w:line="282" w:lineRule="auto"/>
        <w:rPr>
          <w:sz w:val="20"/>
          <w:szCs w:val="20"/>
          <w:color w:val="auto"/>
        </w:rPr>
      </w:pPr>
      <w:r>
        <w:rPr>
          <w:rFonts w:ascii="Times New Roman" w:cs="Times New Roman" w:eastAsia="Times New Roman" w:hAnsi="Times New Roman"/>
          <w:sz w:val="18"/>
          <w:szCs w:val="18"/>
          <w:color w:val="auto"/>
        </w:rPr>
        <w:t>preclude any other or further exercise thereof or the exercise of any other right, power or remedy. No course of dealing between the parties hereto shall be effective to amend, modify, supplement or waive any provision of this Agreement.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b w:val="1"/>
          <w:bCs w:val="1"/>
          <w:color w:val="auto"/>
        </w:rPr>
        <w:t>No Third-Party Beneficiaries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third-party beneficiaries of the benefits provided for in Section 7.1.</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b w:val="1"/>
          <w:bCs w:val="1"/>
          <w:color w:val="auto"/>
        </w:rPr>
        <w:t>Jurisdiction; Venue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10.2.</w:t>
      </w:r>
    </w:p>
    <w:p>
      <w:pPr>
        <w:spacing w:after="0" w:line="19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term or provision of this Agreement shall for any reason be held to be invalid, illegal or unenforceable in any situation in any jurisdiction, then, to the extent that the economic and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9" w:name="page190"/>
    <w:bookmarkEnd w:id="189"/>
    <w:p>
      <w:pPr>
        <w:jc w:val="both"/>
        <w:spacing w:after="0" w:line="266" w:lineRule="auto"/>
        <w:rPr>
          <w:sz w:val="20"/>
          <w:szCs w:val="20"/>
          <w:color w:val="auto"/>
        </w:rPr>
      </w:pPr>
      <w:r>
        <w:rPr>
          <w:rFonts w:ascii="Times New Roman" w:cs="Times New Roman" w:eastAsia="Times New Roman" w:hAnsi="Times New Roman"/>
          <w:sz w:val="18"/>
          <w:szCs w:val="18"/>
          <w:color w:val="auto"/>
        </w:rPr>
        <w:t>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Each party hereto acknowledges and agrees that the other party would be 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On the date hereof, the Seller shall reimburse the Buyer for the Transaction Expenses incurred prior to or on the date hereof. Upon the earliest of (a) the Closing, (b) termination of this Agreement, and (c) termination of any of the transactions contemplated hereby, the Seller shall reimburse the Buyer for, if applicable, any and all other Transaction Expenses incurred prior to or on the Closing Date, which shall not, in the aggregate, exceed amounts permitted under the definition of “Transaction Expenses”.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10.14</w:t>
      </w:r>
      <w:r>
        <w:rPr>
          <w:sz w:val="20"/>
          <w:szCs w:val="20"/>
          <w:color w:val="auto"/>
        </w:rPr>
        <w:tab/>
      </w:r>
      <w:r>
        <w:rPr>
          <w:rFonts w:ascii="Times New Roman" w:cs="Times New Roman" w:eastAsia="Times New Roman" w:hAnsi="Times New Roman"/>
          <w:sz w:val="17"/>
          <w:szCs w:val="17"/>
          <w:b w:val="1"/>
          <w:bCs w:val="1"/>
          <w:color w:val="auto"/>
        </w:rPr>
        <w:t>Limited Recourse and Non-Petition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19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of the provisions of this Agreement, each of the parties hereto hereby agrees that if the net proceeds from a liquidation of the unsecured assets of the Buyer are less than the aggregate amount payable by the Buyer to the Seller in respect of its obligations under this Agreement (such negative amount being referred to herein as a shortfall), the amount payable by the Buyer to that party in respect of the Buyer’s obligations under this Agreement will be reduced to such amount of the net proceeds which are available to satisfy such payment obligation. In such circumstances the other assets of the Buyer will not be available for payment of such shortfall, and the Seller’s right to receive any further amounts in respect of such obligations shall be extinguished and that party may not take any further action to recover such amounts. [***].</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entitled at any time to institute against the Buyer, or join in any institution against the Buyer of, any bankruptcy, examinership, reorganization, arrangement, insolvency or liquidation proceedings or other proceedings under any applicable bankruptcy or similar law in connection with any obligation of the Buyer under this Agreement, save for lodging a claim in the liquidation of the Buyer which is initiated by another non-affiliated party or taking proceedings to obtain a declaration or judgment as to the obligations of the Buyer in relation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 and the Seller hereby agrees that no recourse under any obligation, covenant, or agreement of either party contained in this Agreement may be sought against any shareholder, officer, agent, employee or director of the Buyer, by the enforcement of any assessment or by any proceeding, by virtue of any statute or otherwise, it being expressly agreed and understood that this Agreement contains corporate obligations of the Buyer. Each of the parties hereto agrees that no personal liability shall attach to or be incurred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0" w:name="page191"/>
    <w:bookmarkEnd w:id="190"/>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officers, agents, employees or directors of the Buyer, or any of them, under or by reason of any of the obligations, covenants or agreements of the Buyer contained in this Agreement, or implied therefrom, and any and all personal liability of every such shareholder, officer, agent, employee or director for breaches by the Buyer of any such obligations, covenants or agreements, either at law or by statute or constitution is hereby deemed expressly waived by the parties hereto.</w:t>
      </w:r>
    </w:p>
    <w:p>
      <w:pPr>
        <w:spacing w:after="0" w:line="180" w:lineRule="exact"/>
        <w:rPr>
          <w:sz w:val="20"/>
          <w:szCs w:val="20"/>
          <w:color w:val="auto"/>
        </w:rPr>
      </w:pPr>
    </w:p>
    <w:p>
      <w:pPr>
        <w:ind w:left="660" w:right="1880" w:firstLine="644"/>
        <w:spacing w:after="0" w:line="500" w:lineRule="auto"/>
        <w:tabs>
          <w:tab w:leader="none" w:pos="19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Section 10.14 shall survive the termination of this Agreement. Section 10.15 </w:t>
      </w:r>
      <w:r>
        <w:rPr>
          <w:rFonts w:ascii="Times New Roman" w:cs="Times New Roman" w:eastAsia="Times New Roman" w:hAnsi="Times New Roman"/>
          <w:sz w:val="18"/>
          <w:szCs w:val="18"/>
          <w:b w:val="1"/>
          <w:bCs w:val="1"/>
          <w:color w:val="auto"/>
        </w:rPr>
        <w:t>Subordination of Obligations to Holdings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1304"/>
        <w:spacing w:after="0" w:line="253" w:lineRule="auto"/>
        <w:tabs>
          <w:tab w:leader="none" w:pos="19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hereby agrees that all liabilities or other obligations, including any costs, charges, expenses, reimbursement obligations, indemnification obligations and any other amounts, in each case, whether now existing or hereafter arising, of the Seller to Holdings in respect of the Intercompany License, whether now existing or hereafter arising, and whether due or to become due, absolute or contingent, liquidated or unliquidated, determined or undetermined (the “</w:t>
      </w:r>
      <w:r>
        <w:rPr>
          <w:rFonts w:ascii="Times New Roman" w:cs="Times New Roman" w:eastAsia="Times New Roman" w:hAnsi="Times New Roman"/>
          <w:sz w:val="18"/>
          <w:szCs w:val="18"/>
          <w:u w:val="single" w:color="auto"/>
          <w:color w:val="auto"/>
        </w:rPr>
        <w:t>Subordinated Obligations</w:t>
      </w:r>
      <w:r>
        <w:rPr>
          <w:rFonts w:ascii="Times New Roman" w:cs="Times New Roman" w:eastAsia="Times New Roman" w:hAnsi="Times New Roman"/>
          <w:sz w:val="18"/>
          <w:szCs w:val="18"/>
          <w:color w:val="auto"/>
        </w:rPr>
        <w:t>”) shall be subject, subordinate, and junior, in right of payment and exercise of remedies, to the payment in full in cash in immediately available funds of all liabilities or other obligations (except for and any contingent indemnification Obligations for which a claim or demand for payment has been not made at such time), including any costs, charges, expenses, reimbursement obligations, indemnification obligations and any other amounts, in each case, of the Seller to the Buyer hereunder, whether now existing or hereafter arising, and whether due or to become due, absolute or contingent, liquidated or unliquidated, determined or undetermined and whether or not allowed in any Bankruptcy Event (the “</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and such payment in full in cash of such Senior Obligations, a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Discharge Event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or distribution of assets of the Seller of any kind or character, whether in cash, property, or securities, upon the dissolution, winding up, or total or partial liquidation or reorganization, readjustment, arrangement, or similar proceeding relating to the Seller or its property, or in bankruptcy, insolvency, receivership, arrangement, or similar proceedings or upon an assignment for the benefit of creditors, or upon any other marshaling or composition of the assets and liabilities of Seller, or upon the occurrence of a Bankruptcy Event or otherwise upon any bankruptcy, insolvency, receivership, examinership or other similar proceeding relating to Seller or its property (such events, collectively, the “</w:t>
      </w:r>
      <w:r>
        <w:rPr>
          <w:rFonts w:ascii="Times New Roman" w:cs="Times New Roman" w:eastAsia="Times New Roman" w:hAnsi="Times New Roman"/>
          <w:sz w:val="18"/>
          <w:szCs w:val="18"/>
          <w:u w:val="single" w:color="auto"/>
          <w:color w:val="auto"/>
        </w:rPr>
        <w:t>Insolvency Events</w:t>
      </w:r>
      <w:r>
        <w:rPr>
          <w:rFonts w:ascii="Times New Roman" w:cs="Times New Roman" w:eastAsia="Times New Roman" w:hAnsi="Times New Roman"/>
          <w:sz w:val="18"/>
          <w:szCs w:val="18"/>
          <w:color w:val="auto"/>
        </w:rPr>
        <w:t>”): (i) the Senior Discharge Event must have occurred before any payments on account of Subordinated Obligations is made; and (ii) any payment on account of Subordinated Obligations to which Holdings would be entitled except for the provisions hereof, shall be paid or delivered by the trustee in bankruptcy, receiver, assignee for the benefit of creditors, or other liquidating agent making such payment or distribution directly to Buyer until the Senior Discharge Event has occurred.</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breach of this Agreement by Seller or Holdings has occurred, Seller may make, and Holdings shall be entitled to accept and receive, payments and repayments on account of the Subordinated Obligations. No payment or other amount due or payable by the Seller under the Intercompany License shall be made or permitted or required to be made by Seller or shall be accepted by Holdings if, at the time of the making of such payment, the Seller or Holdings is in breach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Holdings shall not, without the prior written consent of Buyer Representative, take any liens or security interests in any of the assets of Seller to secure amounts owing pursuant to the Intercompany License and any liens and security interests of Holdings which may exist in breach of the foregoing shall be and hereby are subordinated for all purposes and in all respects to the liens and security interests of Buyer granted under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10.15 shall continue to be effective or shall be reinstated (and the amount of Senior Obligations shall be reinstated), as the case may be, if, for any reason, any payment of the Senior Obligations shall be rescinded or must otherwise be restored by Buyer, whether as a result of any bankruptcy, insolvency, receivership, examinership or other similar proceeding or Bankruptcy Event, or otherwise, all as though such payment had not been made. The provisions of this Section 10.15 are intended to be and shall be enforceable as a subordination agreement within the meaning of Section 510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Holdings unconditionally guarantees, as a primary obligor and not merely as a surety, the due and punctual payment and performance of the Seller’s obligations hereunder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Holdings further agrees that the Obligations may be extended or renewed, in whole or in part, without notice to or further assent from it, and that it will remain bound upon its guarantee notwithstanding any extension or renewal of any Obligation. Holdings waives presentment to, demand of payment from and protest to the Seller, and also waives notice of acceptance of its guarantee and notice of protest for nonpayment.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b w:val="1"/>
          <w:bCs w:val="1"/>
          <w:color w:val="auto"/>
        </w:rPr>
        <w:t>Guarantee of Payment</w:t>
      </w:r>
      <w:r>
        <w:rPr>
          <w:rFonts w:ascii="Times New Roman" w:cs="Times New Roman" w:eastAsia="Times New Roman" w:hAnsi="Times New Roman"/>
          <w:sz w:val="18"/>
          <w:szCs w:val="18"/>
          <w:color w:val="auto"/>
        </w:rPr>
        <w:t>. Holdings further agrees that its guarantee hereunder constitutes a guarantee of payment when due and not of collection, and waives any right to require that any resort be had by the Buyer to any security held for the payment of the Obligations or credit on the books of the Buyer in favor of the Seller or any other person.</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b w:val="1"/>
          <w:bCs w:val="1"/>
          <w:color w:val="auto"/>
        </w:rPr>
        <w:t>No Limitations,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19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termination of this Agreement pursuant to Article 9 or Section 11.8 or (ii) the occurrence of a Release Event, the obligations of Holdings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Obligations or otherwise. Without limiting the generality of the foregoing, the obligations of Holdings hereunder shall not be discharged or impaired or otherwise affected by (i) the failure of the Buyer to assert any claim or demand or to enforce any right or remedy under the provisions of this Agreement or otherwise, (ii) any rescission, waiver, amendment or modification of, or any release from any of the terms or provisions of, this Agreement or any other agreement, (iii) the release of, or any impairment of or failure to perfect any Lien on or security interest in, any security held by the Buyer for the Obligations or any of them, (iv) any default, failure or delay, willful or otherwise, in the performance of the Obligations, or (v) any other act or omission that may or might in any manner or to any extent vary the risk of Holdings or otherwise operate as a discharge of Holdings as guarantor as a matter of law or equity. Holdings expressly authorizes the Buyer to take and hold security for the payment and performance of the Obligations, to exchange, waive or release any or all such security (with or without consideration), to enforce or apply such security and direct the order and manner of any sale thereof in its sole discretion or to release or substitute any one or more other guarantors or obligors upon or in respect of the Obligations, all without affecting the obligations of Holdings as a guarantor hereunder.</w:t>
      </w:r>
    </w:p>
    <w:p>
      <w:pPr>
        <w:spacing w:after="0" w:line="19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Holdings waives any defense based on or arising out of any defense of the Seller or the unenforceability of the Obligations or any part thereof from any cause, or the cessation from any cause of the liability of the Seller, other than the fact that Seller is no longer obligated to make any Royalty Payments under this Agreement.</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b w:val="1"/>
          <w:bCs w:val="1"/>
          <w:color w:val="auto"/>
        </w:rPr>
        <w:t>Reinstatement</w:t>
      </w:r>
      <w:r>
        <w:rPr>
          <w:rFonts w:ascii="Times New Roman" w:cs="Times New Roman" w:eastAsia="Times New Roman" w:hAnsi="Times New Roman"/>
          <w:sz w:val="18"/>
          <w:szCs w:val="18"/>
          <w:color w:val="auto"/>
        </w:rPr>
        <w:t>. Holdings agrees that its guarantee hereunder shall continue to be effective or be reinstated, as the case may be, if at any time payment, or any part thereof, of any Obligation is rescinded or must otherwise be restored by the Buyer upon the bankruptcy or reorganization of the Seller or otherwise.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b w:val="1"/>
          <w:bCs w:val="1"/>
          <w:color w:val="auto"/>
        </w:rPr>
        <w:t>Agreement To Pay; Subrogation</w:t>
      </w:r>
      <w:r>
        <w:rPr>
          <w:rFonts w:ascii="Times New Roman" w:cs="Times New Roman" w:eastAsia="Times New Roman" w:hAnsi="Times New Roman"/>
          <w:sz w:val="18"/>
          <w:szCs w:val="18"/>
          <w:color w:val="auto"/>
        </w:rPr>
        <w:t>. In furtherance of the foregoing and not in limitation of any other right that the Buyer has at law or in equity against Holdings by virtue hereof, upon the failure of the Seller to pay any Obligation when and as the same shall become due, Holdings hereby promises to and will forthwith pay, or cause to be paid, to Buyer in cash the amount of such unpaid Obligation. Upon payment by Holdings of any sums to the Buyer as provided above, all rights of Holdings against the Seller arising as a result thereof by way of right of subrogation, contribution, reimbursement, indemnity or otherwise shall in all respects be subject to Section 11.7.</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Holdings assumes all responsibility for being and keeping itself informed of the Seller’s financial condition and assets and of all other circumstances bearing upon the risk of nonpayment of the Obligations and the nature, scope and extent of the risks that Holdings assumes and incurs hereunder, and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the Buyer will not have any duty to advise Holdings of information known to it or any of them regarding such circumstances or risks.</w:t>
      </w:r>
    </w:p>
    <w:p>
      <w:pPr>
        <w:spacing w:after="0" w:line="2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11.7</w:t>
      </w:r>
      <w:r>
        <w:rPr>
          <w:sz w:val="20"/>
          <w:szCs w:val="20"/>
          <w:color w:val="auto"/>
        </w:rPr>
        <w:tab/>
      </w:r>
      <w:r>
        <w:rPr>
          <w:rFonts w:ascii="Times New Roman" w:cs="Times New Roman" w:eastAsia="Times New Roman" w:hAnsi="Times New Roman"/>
          <w:sz w:val="17"/>
          <w:szCs w:val="17"/>
          <w:b w:val="1"/>
          <w:bCs w:val="1"/>
          <w:color w:val="auto"/>
        </w:rPr>
        <w:t>Subordination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9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all of Holdings’ rights of indemnity, contribution or subrogation under applicable law or otherwise shall be fully subordinated to the payment in full the Obligations (except for and any contingent indemnification Obligations for which a claim or demand for payment has been not made at such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hereby agrees that all Indebtedness and other monetary obligations owed by it to Seller shall be fully subordinated to the payment in full of the Obligations (except for and any contingent indemnification Obligations for which a claim or demand for payment has been not made at such time).</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Holdings’ obligations as a guarantor under this Article 11 shall automatically terminate, without any action by any Person, upon the occurrence of a Release Event.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3" w:name="page194"/>
    <w:bookmarkEnd w:id="19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their respective representatives thereunto duly authorized as of the date first above written.</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MILESTONE PHARMACEUTICALS USA, INC.</w:t>
      </w:r>
    </w:p>
    <w:p>
      <w:pPr>
        <w:spacing w:after="0" w:line="225" w:lineRule="exact"/>
        <w:rPr>
          <w:sz w:val="20"/>
          <w:szCs w:val="20"/>
          <w:color w:val="auto"/>
        </w:rPr>
      </w:pPr>
    </w:p>
    <w:p>
      <w:pPr>
        <w:ind w:left="496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28632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MILESTONE PHARMACEUTICALS INC.</w:t>
      </w:r>
    </w:p>
    <w:p>
      <w:pPr>
        <w:spacing w:after="0" w:line="225" w:lineRule="exact"/>
        <w:rPr>
          <w:sz w:val="20"/>
          <w:szCs w:val="20"/>
          <w:color w:val="auto"/>
        </w:rPr>
      </w:pPr>
    </w:p>
    <w:p>
      <w:pPr>
        <w:ind w:left="496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2863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Amit Hasija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4" w:name="page195"/>
    <w:bookmarkEnd w:id="19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by their respective representatives thereunto duly authorized as of the date first above written.</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RTW ROYALTY I DAC</w:t>
      </w:r>
    </w:p>
    <w:p>
      <w:pPr>
        <w:spacing w:after="0" w:line="225" w:lineRule="exact"/>
        <w:rPr>
          <w:sz w:val="20"/>
          <w:szCs w:val="20"/>
          <w:color w:val="auto"/>
        </w:rPr>
      </w:pPr>
    </w:p>
    <w:p>
      <w:pPr>
        <w:ind w:left="496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/s/Roderick Wang,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28632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Roderick Wang, M.D.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Authorized Attorney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Etripamil</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Bill of Sale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Bill of Sale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Royalty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868680</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4.1(k)(i)</w:t>
      </w:r>
    </w:p>
    <w:p>
      <w:pPr>
        <w:sectPr>
          <w:pgSz w:w="11900" w:h="16838" w:orient="portrait"/>
          <w:cols w:equalWidth="0" w:num="1">
            <w:col w:w="9019"/>
          </w:cols>
          <w:pgMar w:left="1440" w:top="87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Patents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333-231347, 333-236971, 333-254838, 333-263807, 333-271522, 333-283160, 333-285765 and 333-289509) and on Form S-3 (Nos. 333-283162 and 333-271949) of Milestone Pharmaceuticals Inc. of our report dated March 20, 2026, relating to the consolidated financial statements,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Montréal,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1" w:name="page202"/>
    <w:bookmarkEnd w:id="20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Joseph Oliveto, certify that:</w:t>
      </w:r>
    </w:p>
    <w:p>
      <w:pPr>
        <w:spacing w:after="0" w:line="158" w:lineRule="exact"/>
        <w:rPr>
          <w:sz w:val="20"/>
          <w:szCs w:val="20"/>
          <w:color w:val="auto"/>
        </w:rPr>
      </w:pPr>
    </w:p>
    <w:p>
      <w:pPr>
        <w:ind w:left="680" w:hanging="630"/>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Milestone Pharmaceuticals Inc.;</w:t>
      </w:r>
    </w:p>
    <w:p>
      <w:pPr>
        <w:spacing w:after="0" w:line="157"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00" w:right="379" w:hanging="650"/>
        <w:spacing w:after="0" w:line="289" w:lineRule="auto"/>
        <w:tabs>
          <w:tab w:leader="none" w:pos="67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7"/>
          <w:szCs w:val="17"/>
          <w:color w:val="auto"/>
        </w:rPr>
      </w:pPr>
    </w:p>
    <w:p>
      <w:pPr>
        <w:ind w:left="1340" w:right="79" w:hanging="642"/>
        <w:spacing w:after="0" w:line="261" w:lineRule="auto"/>
        <w:tabs>
          <w:tab w:leader="none" w:pos="13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59" w:hanging="642"/>
        <w:spacing w:after="0" w:line="261" w:lineRule="auto"/>
        <w:tabs>
          <w:tab w:leader="none" w:pos="135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5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19" w:hanging="650"/>
        <w:spacing w:after="0" w:line="266" w:lineRule="auto"/>
        <w:tabs>
          <w:tab w:leader="none" w:pos="7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3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40" w:right="59" w:hanging="616"/>
        <w:spacing w:after="0" w:line="282" w:lineRule="auto"/>
        <w:tabs>
          <w:tab w:leader="none" w:pos="1367"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Joseph Oliveto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0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Joseph Oliveto</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2" w:name="page203"/>
    <w:bookmarkEnd w:id="20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Amit Hasija, certify that:</w:t>
      </w:r>
    </w:p>
    <w:p>
      <w:pPr>
        <w:spacing w:after="0" w:line="158" w:lineRule="exact"/>
        <w:rPr>
          <w:sz w:val="20"/>
          <w:szCs w:val="20"/>
          <w:color w:val="auto"/>
        </w:rPr>
      </w:pPr>
    </w:p>
    <w:p>
      <w:pPr>
        <w:ind w:left="680" w:hanging="630"/>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Milestone Pharmaceuticals Inc.;</w:t>
      </w:r>
    </w:p>
    <w:p>
      <w:pPr>
        <w:spacing w:after="0" w:line="157"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00" w:right="379" w:hanging="650"/>
        <w:spacing w:after="0" w:line="289" w:lineRule="auto"/>
        <w:tabs>
          <w:tab w:leader="none" w:pos="67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7"/>
          <w:szCs w:val="17"/>
          <w:color w:val="auto"/>
        </w:rPr>
      </w:pPr>
    </w:p>
    <w:p>
      <w:pPr>
        <w:ind w:left="1340" w:right="79" w:hanging="642"/>
        <w:spacing w:after="0" w:line="261" w:lineRule="auto"/>
        <w:tabs>
          <w:tab w:leader="none" w:pos="13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59" w:hanging="642"/>
        <w:spacing w:after="0" w:line="261" w:lineRule="auto"/>
        <w:tabs>
          <w:tab w:leader="none" w:pos="13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19" w:hanging="650"/>
        <w:spacing w:after="0" w:line="266" w:lineRule="auto"/>
        <w:tabs>
          <w:tab w:leader="none" w:pos="7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3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40" w:right="59" w:hanging="616"/>
        <w:spacing w:after="0" w:line="282" w:lineRule="auto"/>
        <w:tabs>
          <w:tab w:leader="none" w:pos="1367"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00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color w:val="auto"/>
        </w:rPr>
        <w:t>Amit Hasija</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3" w:name="page204"/>
    <w:bookmarkEnd w:id="2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2"/>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Joseph Oliveto, Chief Executive Officer of Milestone Pharmaceuticals Inc. (the “Company”), and Amit Hasija, Chief Financial Officer of the Company, each hereby certifies that, to the best of his or her knowledge:</w:t>
      </w:r>
    </w:p>
    <w:p>
      <w:pPr>
        <w:spacing w:after="0" w:line="180" w:lineRule="exact"/>
        <w:rPr>
          <w:sz w:val="20"/>
          <w:szCs w:val="20"/>
          <w:color w:val="auto"/>
        </w:rPr>
      </w:pPr>
    </w:p>
    <w:p>
      <w:pPr>
        <w:ind w:left="700" w:right="819" w:hanging="650"/>
        <w:spacing w:after="0" w:line="266" w:lineRule="auto"/>
        <w:tabs>
          <w:tab w:leader="none" w:pos="7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700" w:right="259" w:hanging="650"/>
        <w:spacing w:after="0" w:line="282" w:lineRule="auto"/>
        <w:tabs>
          <w:tab w:leader="none" w:pos="7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20, 2025</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Oliveto</w:t>
            </w:r>
          </w:p>
        </w:tc>
        <w:tc>
          <w:tcPr>
            <w:tcW w:w="42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Amit Hasija</w:t>
            </w:r>
          </w:p>
        </w:tc>
      </w:tr>
      <w:tr>
        <w:trPr>
          <w:trHeight w:val="191"/>
        </w:trPr>
        <w:tc>
          <w:tcPr>
            <w:tcW w:w="4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Oliveto</w:t>
            </w:r>
          </w:p>
        </w:tc>
        <w:tc>
          <w:tcPr>
            <w:tcW w:w="420" w:type="dxa"/>
            <w:vAlign w:val="bottom"/>
          </w:tcPr>
          <w:p>
            <w:pPr>
              <w:spacing w:after="0"/>
              <w:rPr>
                <w:sz w:val="16"/>
                <w:szCs w:val="16"/>
                <w:color w:val="auto"/>
              </w:rPr>
            </w:pPr>
          </w:p>
        </w:tc>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Amit Hasija</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Milestone Pharmaceuticals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1"/>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lvl w:ilvl="1">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1."/>
      <w:numFmt w:val="decimal"/>
      <w:start w:val="2"/>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1"/>
    </w:lvl>
    <w:lvl w:ilvl="1">
      <w:lvlJc w:val="left"/>
      <w:lvlText w:val="(%2)"/>
      <w:numFmt w:val="decimal"/>
      <w:start w:val="30"/>
    </w:lvl>
  </w:abstractNum>
  <w:abstractNum w:abstractNumId="52">
    <w:nsid w:val="6A5EE64"/>
    <w:multiLevelType w:val="hybridMultilevel"/>
    <w:lvl w:ilvl="0">
      <w:lvlJc w:val="left"/>
      <w:lvlText w:val="%1."/>
      <w:numFmt w:val="decimal"/>
      <w:start w:val="3"/>
    </w:lvl>
    <w:lvl w:ilvl="1">
      <w:lvlJc w:val="left"/>
      <w:lvlText w:val="%2"/>
      <w:numFmt w:val="decimal"/>
      <w:start w:val="1"/>
    </w:lvl>
  </w:abstractNum>
  <w:abstractNum w:abstractNumId="53">
    <w:nsid w:val="14330624"/>
    <w:multiLevelType w:val="hybridMultilevel"/>
    <w:lvl w:ilvl="0">
      <w:lvlJc w:val="left"/>
      <w:lvlText w:val="%1."/>
      <w:numFmt w:val="decimal"/>
      <w:start w:val="5"/>
    </w:lvl>
  </w:abstractNum>
  <w:abstractNum w:abstractNumId="54">
    <w:nsid w:val="7FFFCA11"/>
    <w:multiLevelType w:val="hybridMultilevel"/>
    <w:lvl w:ilvl="0">
      <w:lvlJc w:val="left"/>
      <w:lvlText w:val="%1."/>
      <w:numFmt w:val="decimal"/>
      <w:start w:val="1"/>
    </w:lvl>
    <w:lvl w:ilvl="1">
      <w:lvlJc w:val="left"/>
      <w:lvlText w:val="%2."/>
      <w:numFmt w:val="decimal"/>
      <w:start w:val="1"/>
    </w:lvl>
  </w:abstractNum>
  <w:abstractNum w:abstractNumId="55">
    <w:nsid w:val="1A27709E"/>
    <w:multiLevelType w:val="hybridMultilevel"/>
    <w:lvl w:ilvl="0">
      <w:lvlJc w:val="left"/>
      <w:lvlText w:val="%1."/>
      <w:numFmt w:val="decimal"/>
      <w:start w:val="2"/>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6"/>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3"/>
    </w:lvl>
  </w:abstractNum>
  <w:abstractNum w:abstractNumId="62">
    <w:nsid w:val="885E1B"/>
    <w:multiLevelType w:val="hybridMultilevel"/>
    <w:lvl w:ilvl="0">
      <w:lvlJc w:val="left"/>
      <w:lvlText w:val="(%1)"/>
      <w:numFmt w:val="lowerRoman"/>
      <w:start w:val="2"/>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8"/>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4"/>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3"/>
    </w:lvl>
  </w:abstractNum>
  <w:abstractNum w:abstractNumId="69">
    <w:nsid w:val="68EBC550"/>
    <w:multiLevelType w:val="hybridMultilevel"/>
    <w:lvl w:ilvl="0">
      <w:lvlJc w:val="left"/>
      <w:lvlText w:val="(%1)"/>
      <w:numFmt w:val="lowerRoman"/>
      <w:start w:val="18"/>
    </w:lvl>
  </w:abstractNum>
  <w:abstractNum w:abstractNumId="70">
    <w:nsid w:val="2DF6D648"/>
    <w:multiLevelType w:val="hybridMultilevel"/>
    <w:lvl w:ilvl="0">
      <w:lvlJc w:val="left"/>
      <w:lvlText w:val="(%1)"/>
      <w:numFmt w:val="lowerRoman"/>
      <w:start w:val="24"/>
    </w:lvl>
  </w:abstractNum>
  <w:abstractNum w:abstractNumId="71">
    <w:nsid w:val="46B7D447"/>
    <w:multiLevelType w:val="hybridMultilevel"/>
    <w:lvl w:ilvl="0">
      <w:lvlJc w:val="left"/>
      <w:lvlText w:val="(%1)"/>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5"/>
    </w:lvl>
    <w:lvl w:ilvl="1">
      <w:lvlJc w:val="left"/>
      <w:lvlText w:val="(%2)"/>
      <w:numFmt w:val="lowerRoman"/>
      <w:start w:val="1"/>
    </w:lvl>
  </w:abstractNum>
  <w:abstractNum w:abstractNumId="74">
    <w:nsid w:val="57FC4FBB"/>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75">
    <w:nsid w:val="CC1016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6">
    <w:nsid w:val="43F18422"/>
    <w:multiLevelType w:val="hybridMultilevel"/>
    <w:lvl w:ilvl="0">
      <w:lvlJc w:val="left"/>
      <w:lvlText w:val="%1"/>
      <w:numFmt w:val="lowerLetter"/>
      <w:start w:val="1"/>
    </w:lvl>
    <w:lvl w:ilvl="1">
      <w:lvlJc w:val="left"/>
      <w:lvlText w:val="(%2)"/>
      <w:numFmt w:val="lowerRoman"/>
      <w:start w:val="5"/>
    </w:lvl>
  </w:abstractNum>
  <w:abstractNum w:abstractNumId="77">
    <w:nsid w:val="60EF0119"/>
    <w:multiLevelType w:val="hybridMultilevel"/>
    <w:lvl w:ilvl="0">
      <w:lvlJc w:val="left"/>
      <w:lvlText w:val="(%1)"/>
      <w:numFmt w:val="lowerLetter"/>
      <w:start w:val="13"/>
    </w:lvl>
    <w:lvl w:ilvl="1">
      <w:lvlJc w:val="left"/>
      <w:lvlText w:val="%2"/>
      <w:numFmt w:val="lowerRoman"/>
      <w:start w:val="1"/>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10"/>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1"/>
    </w:lvl>
    <w:lvl w:ilvl="1">
      <w:lvlJc w:val="left"/>
      <w:lvlText w:val="(%2)"/>
      <w:numFmt w:val="lowerLetter"/>
      <w:start w:val="1"/>
    </w:lvl>
  </w:abstractNum>
  <w:abstractNum w:abstractNumId="83">
    <w:nsid w:val="50801EE1"/>
    <w:multiLevelType w:val="hybridMultilevel"/>
    <w:lvl w:ilvl="0">
      <w:lvlJc w:val="left"/>
      <w:lvlText w:val="(%1)"/>
      <w:numFmt w:val="lowerLetter"/>
      <w:start w:val="35"/>
    </w:lvl>
    <w:lvl w:ilvl="1">
      <w:lvlJc w:val="left"/>
      <w:lvlText w:val="(%2)"/>
      <w:numFmt w:val="lowerLetter"/>
      <w:start w:val="2"/>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lowerLetter"/>
      <w:start w:val="2"/>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2"/>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upperLetter"/>
      <w:start w:val="1"/>
    </w:lvl>
    <w:lvl w:ilvl="1">
      <w:lvlJc w:val="left"/>
      <w:lvlText w:val="(%2)"/>
      <w:numFmt w:val="lowerLetter"/>
      <w:start w:val="1"/>
    </w:lvl>
  </w:abstractNum>
  <w:abstractNum w:abstractNumId="91">
    <w:nsid w:val="5F3534A4"/>
    <w:multiLevelType w:val="hybridMultilevel"/>
    <w:lvl w:ilvl="0">
      <w:lvlJc w:val="left"/>
      <w:lvlText w:val="(%1)"/>
      <w:numFmt w:val="upperLetter"/>
      <w:start w:val="2"/>
    </w:lvl>
    <w:lvl w:ilvl="1">
      <w:lvlJc w:val="left"/>
      <w:lvlText w:val="(%2)"/>
      <w:numFmt w:val="lowerLetter"/>
      <w:start w:val="2"/>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1)"/>
      <w:numFmt w:val="lowerLetter"/>
      <w:start w:val="1"/>
    </w:lvl>
  </w:abstractNum>
  <w:abstractNum w:abstractNumId="98">
    <w:nsid w:val="71C91298"/>
    <w:multiLevelType w:val="hybridMultilevel"/>
    <w:lvl w:ilvl="0">
      <w:lvlJc w:val="left"/>
      <w:lvlText w:val="(%1)"/>
      <w:numFmt w:val="lowerLetter"/>
      <w:start w:val="3"/>
    </w:lvl>
  </w:abstractNum>
  <w:abstractNum w:abstractNumId="99">
    <w:nsid w:val="9DAF632"/>
    <w:multiLevelType w:val="hybridMultilevel"/>
    <w:lvl w:ilvl="0">
      <w:lvlJc w:val="left"/>
      <w:lvlText w:val="(%1)"/>
      <w:numFmt w:val="lowerLetter"/>
      <w:start w:val="1"/>
    </w:lvl>
    <w:lvl w:ilvl="1">
      <w:lvlJc w:val="left"/>
      <w:lvlText w:val="(%2)"/>
      <w:numFmt w:val="lowerRoman"/>
      <w:start w:val="1"/>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1"/>
    </w:lvl>
  </w:abstractNum>
  <w:abstractNum w:abstractNumId="103">
    <w:nsid w:val="1D545C4D"/>
    <w:multiLevelType w:val="hybridMultilevel"/>
    <w:lvl w:ilvl="0">
      <w:lvlJc w:val="left"/>
      <w:lvlText w:val="(%1)"/>
      <w:numFmt w:val="lowerLetter"/>
      <w:start w:val="4"/>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8">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6" Type="http://schemas.openxmlformats.org/officeDocument/2006/relationships/image" Target="media/image144.png"/><Relationship Id="rId168" Type="http://schemas.openxmlformats.org/officeDocument/2006/relationships/image" Target="media/image145.png"/><Relationship Id="rId186"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151" Type="http://schemas.openxmlformats.org/officeDocument/2006/relationships/hyperlink" Target="http://www.sec.gov/Archives/edgar/data/1408443/000110465919029792/a18-41190_11ex3d1.htm" TargetMode="External"/><Relationship Id="rId152" Type="http://schemas.openxmlformats.org/officeDocument/2006/relationships/hyperlink" Target="http://www.sec.gov/Archives/edgar/data/1408443/000110465919029792/a18-41190_11ex3d2.htm" TargetMode="External"/><Relationship Id="rId153" Type="http://schemas.openxmlformats.org/officeDocument/2006/relationships/hyperlink" Target="http://www.sec.gov/Archives/edgar/data/1408443/000104746919002654/a2238612zex-4_1.htm" TargetMode="External"/><Relationship Id="rId154" Type="http://schemas.openxmlformats.org/officeDocument/2006/relationships/hyperlink" Target="https://www.sec.gov/Archives/edgar/data/0001408443/000110465920085814/tm2025424d1_ex4-1.htm" TargetMode="External"/><Relationship Id="rId155" Type="http://schemas.openxmlformats.org/officeDocument/2006/relationships/hyperlink" Target="https://www.sec.gov/Archives/edgar/data/0001408443/000110465920118163/tm2033321d3_ex4-1.htm" TargetMode="External"/><Relationship Id="rId156" Type="http://schemas.openxmlformats.org/officeDocument/2006/relationships/hyperlink" Target="https://www.sec.gov/Archives/edgar/data/1408443/000110465924030267/tm247820d1_ex4-1.htm" TargetMode="External"/><Relationship Id="rId157" Type="http://schemas.openxmlformats.org/officeDocument/2006/relationships/hyperlink" Target="https://www.sec.gov/Archives/edgar/data/1408443/000110465922037280/tm2210321d2_ex4-10.htm" TargetMode="External"/><Relationship Id="rId158" Type="http://schemas.openxmlformats.org/officeDocument/2006/relationships/hyperlink" Target="https://www.sec.gov/Archives/edgar/data/1408443/000110465923037189/tm2310615d1_ex4-1.htm" TargetMode="External"/><Relationship Id="rId159" Type="http://schemas.openxmlformats.org/officeDocument/2006/relationships/hyperlink" Target="https://www.sec.gov/Archives/edgar/data/1408443/000110465925067579/tm2520713d1_ex4-1.htm" TargetMode="External"/><Relationship Id="rId160" Type="http://schemas.openxmlformats.org/officeDocument/2006/relationships/hyperlink" Target="https://www.sec.gov/Archives/edgar/data/1408443/000110465925067579/tm2520713d1_ex4-2.htm" TargetMode="External"/><Relationship Id="rId161" Type="http://schemas.openxmlformats.org/officeDocument/2006/relationships/hyperlink" Target="https://www.sec.gov/Archives/edgar/data/1408443/000110465925067579/tm2520713d1_ex4-3.htm" TargetMode="External"/><Relationship Id="rId162" Type="http://schemas.openxmlformats.org/officeDocument/2006/relationships/hyperlink" Target="http://www.sec.gov/Archives/edgar/data/1408443/000104746919002213/a2238338zex-10_1.htm" TargetMode="External"/><Relationship Id="rId163" Type="http://schemas.openxmlformats.org/officeDocument/2006/relationships/hyperlink" Target="http://www.sec.gov/Archives/edgar/data/1408443/000104746919002213/a2238338zex-10_2.htm" TargetMode="External"/><Relationship Id="rId164" Type="http://schemas.openxmlformats.org/officeDocument/2006/relationships/hyperlink" Target="https://www.sec.gov/Archives/edgar/data/1408443/000110465925058874/tm2517690d1_ex10-1.htm" TargetMode="External"/><Relationship Id="rId165" Type="http://schemas.openxmlformats.org/officeDocument/2006/relationships/hyperlink" Target="http://www.sec.gov/Archives/edgar/data/1408443/000104746919002213/a2238338zex-10_4.htm" TargetMode="External"/><Relationship Id="rId167" Type="http://schemas.openxmlformats.org/officeDocument/2006/relationships/hyperlink" Target="http://www.sec.gov/Archives/edgar/data/1408443/000104746919002213/a2238338zex-10_5.htm" TargetMode="External"/><Relationship Id="rId169" Type="http://schemas.openxmlformats.org/officeDocument/2006/relationships/hyperlink" Target="http://www.sec.gov/Archives/edgar/data/1408443/000104746919002213/a2238338zex-10_6.htm" TargetMode="External"/><Relationship Id="rId170" Type="http://schemas.openxmlformats.org/officeDocument/2006/relationships/hyperlink" Target="http://www.sec.gov/Archives/edgar/data/1408443/000104746919002213/a2238338zex-10_7.htm" TargetMode="External"/><Relationship Id="rId171" Type="http://schemas.openxmlformats.org/officeDocument/2006/relationships/hyperlink" Target="http://www.sec.gov/Archives/edgar/data/1408443/000110465919028279/a19-9652_1ex4d13.htm" TargetMode="External"/><Relationship Id="rId172" Type="http://schemas.openxmlformats.org/officeDocument/2006/relationships/hyperlink" Target="https://www.sec.gov/Archives/edgar/data/1408443/000104746919002654/a2238612zex-10_9.htm" TargetMode="External"/><Relationship Id="rId173" Type="http://schemas.openxmlformats.org/officeDocument/2006/relationships/hyperlink" Target="https://www.sec.gov/Archives/edgar/data/1408443/000110465920070959/tm2021988d1_ex10-1.htm" TargetMode="External"/><Relationship Id="rId174" Type="http://schemas.openxmlformats.org/officeDocument/2006/relationships/hyperlink" Target="https://www.sec.gov/Archives/edgar/data/1408443/000110465919049436/a19-18452_1ex10d1.htm" TargetMode="External"/><Relationship Id="rId175" Type="http://schemas.openxmlformats.org/officeDocument/2006/relationships/hyperlink" Target="https://www.sec.gov/Archives/edgar/data/1408443/000110465920070959/tm2021988d1_ex10-2.htm" TargetMode="External"/><Relationship Id="rId176" Type="http://schemas.openxmlformats.org/officeDocument/2006/relationships/hyperlink" Target="https://www.sec.gov/Archives/edgar/data/1408443/000104746919002654/a2238612zex-10_11.htm" TargetMode="External"/><Relationship Id="rId177" Type="http://schemas.openxmlformats.org/officeDocument/2006/relationships/hyperlink" Target="https://www.sec.gov/Archives/edgar/data/1408443/000110465920070959/tm2021988d1_ex10-3.htm" TargetMode="External"/><Relationship Id="rId178" Type="http://schemas.openxmlformats.org/officeDocument/2006/relationships/hyperlink" Target="https://www.sec.gov/Archives/edgar/data/1408443/000110465922024083/tm226897d1_ex10-1.htm" TargetMode="External"/><Relationship Id="rId179" Type="http://schemas.openxmlformats.org/officeDocument/2006/relationships/hyperlink" Target="https://www.sec.gov/Archives/edgar/data/0001408443/000110465920085814/tm2025424d1_ex10-1.htm" TargetMode="External"/><Relationship Id="rId180" Type="http://schemas.openxmlformats.org/officeDocument/2006/relationships/hyperlink" Target="https://www.sec.gov/Archives/edgar/data/1408443/000110465925025055/tm259429d2_ex1-1.htm" TargetMode="External"/><Relationship Id="rId181" Type="http://schemas.openxmlformats.org/officeDocument/2006/relationships/hyperlink" Target="http://www.sec.gov/Archives/edgar/data/1408443/000104746919002213/a2238338zex-10_14.htm" TargetMode="External"/><Relationship Id="rId182" Type="http://schemas.openxmlformats.org/officeDocument/2006/relationships/hyperlink" Target="https://www.sec.gov/Archives/edgar/data/0001408443/000104746919002654/a2238612zex-10_12.htm" TargetMode="External"/><Relationship Id="rId183" Type="http://schemas.openxmlformats.org/officeDocument/2006/relationships/hyperlink" Target="https://www.sec.gov/Archives/edgar/data/1408443/000155837021011282/mist-20210630xex10d1.htm" TargetMode="External"/><Relationship Id="rId184" Type="http://schemas.openxmlformats.org/officeDocument/2006/relationships/hyperlink" Target="https://www.sec.gov/Archives/edgar/data/1408443/000155837023004871/mist-20221231xex10d18.htm" TargetMode="External"/><Relationship Id="rId185" Type="http://schemas.openxmlformats.org/officeDocument/2006/relationships/hyperlink" Target="https://www.sec.gov/Archives/edgar/data/1408443/000155837024015147/mist-20240930xex10d1.htm" TargetMode="External"/><Relationship Id="rId187" Type="http://schemas.openxmlformats.org/officeDocument/2006/relationships/hyperlink" Target="https://www.sec.gov/Archives/edgar/data/1408443/000110465923037189/tm2310615d1_ex10-1.htm" TargetMode="External"/><Relationship Id="rId188" Type="http://schemas.openxmlformats.org/officeDocument/2006/relationships/hyperlink" Target="https://www.sec.gov/Archives/edgar/data/1408443/000110465923039764/tm2311047d1_ex10-1.htm" TargetMode="External"/><Relationship Id="rId189" Type="http://schemas.openxmlformats.org/officeDocument/2006/relationships/hyperlink" Target="https://www.sec.gov/Archives/edgar/data/1408443/000110465923039764/tm2311047d1_ex10-2.htm" TargetMode="External"/><Relationship Id="rId190" Type="http://schemas.openxmlformats.org/officeDocument/2006/relationships/hyperlink" Target="https://www.sec.gov/Archives/edgar/data/1408443/000155837023018665/mist-20230930xex10d1.htm" TargetMode="External"/><Relationship Id="rId191" Type="http://schemas.openxmlformats.org/officeDocument/2006/relationships/hyperlink" Target="https://www.sec.gov/Archives/edgar/data/1408443/000110465924079854/tm2419444d1_ex10-1.htm" TargetMode="External"/><Relationship Id="rId192" Type="http://schemas.openxmlformats.org/officeDocument/2006/relationships/hyperlink" Target="https://www.sec.gov/Archives/edgar/data/1408443/000155837025002849/mist-20241231xex19d1.htm" TargetMode="External"/><Relationship Id="rId193" Type="http://schemas.openxmlformats.org/officeDocument/2006/relationships/hyperlink" Target="https://www.sec.gov/Archives/edgar/data/1408443/000155837024003666/mis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2026-03-20T06:14:01Z</dcterms:created>
  <dcterms:modified xsi:type="dcterms:W3CDTF">2026-03-20T06:14:01Z</dcterms:modified>
</cp:coreProperties>
</file>